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09.10.2026  |  335 Studien  |  wissen.m-vf.de</w:t>
      </w:r>
    </w:p>
    <w:p>
      <w:pPr>
        <w:pStyle w:val="Heading1"/>
      </w:pPr>
      <w:r>
        <w:t>Aufgenommen am 09.10.2026</w:t>
      </w:r>
    </w:p>
    <w:p>
      <w:pPr>
        <w:pStyle w:val="Heading2"/>
      </w:pPr>
      <w:r>
        <w:t>Telemedicine-Nutzung in Japan 2020–2024: Persistierende Ungleichheiten</w:t>
      </w:r>
    </w:p>
    <w:p>
      <w:r>
        <w:rPr>
          <w:i/>
          <w:color w:val="666666"/>
          <w:sz w:val="18"/>
        </w:rPr>
        <w:t>Ito H et al.  ·  J Med Internet Res  ·  08.10.2026  ·  PMID 42849039</w:t>
      </w:r>
    </w:p>
    <w:p>
      <w:r>
        <w:t>Longitudinale Panelstudie zur Entwicklung von Chancenungleichheiten bei der Telemedizin-Adoption in Japan über vier Jahre mit 10.818 Teilnehmern.</w:t>
      </w:r>
    </w:p>
    <w:p>
      <w:r>
        <w:rPr>
          <w:b/>
        </w:rPr>
        <w:t xml:space="preserve">Ergebnis: </w:t>
      </w:r>
      <w:r>
        <w:t>Telemedizin-Adoption stieg von 2,6% (2020) auf 7,0% (2024). Altersbedingte Ungleichheiten verschärften sich: Bei 70–75-Jährigen +1,0 Prozentpunkte vs. 18–29-Jährigen +13,1 Prozentpunkte (DID –12,1 PP, 95% KI –18,2 bis –5,9). Arbeitslose zeigten kleinere Zunahmen (+2,8 vs. +5,7 PP bei höheren Angestellten; DID –2,9 PP).</w:t>
      </w:r>
    </w:p>
    <w:p>
      <w:r>
        <w:rPr>
          <w:b/>
          <w:sz w:val="19"/>
        </w:rPr>
        <w:t xml:space="preserve">Übertragbarkeit: </w:t>
      </w:r>
      <w:r>
        <w:rPr>
          <w:sz w:val="19"/>
        </w:rPr>
        <w:t>Japan, nationale Kohorte mit berichteten Adoptionsdaten, digitale Gerechtigkeit systemübergreifend relevant</w:t>
      </w:r>
    </w:p>
    <w:p>
      <w:r>
        <w:rPr>
          <w:color w:val="5A7D3A"/>
          <w:sz w:val="18"/>
        </w:rPr>
        <w:t>https://pubmed.ncbi.nlm.nih.gov/42849039/</w:t>
      </w:r>
    </w:p>
    <w:p>
      <w:pPr>
        <w:pStyle w:val="Heading2"/>
      </w:pPr>
      <w:r>
        <w:t>Retinoid-Umstellung in vier europäischen Ländern nach Schwangerschaftsprävention 2018</w:t>
      </w:r>
    </w:p>
    <w:p>
      <w:r>
        <w:rPr>
          <w:i/>
          <w:color w:val="666666"/>
          <w:sz w:val="18"/>
        </w:rPr>
        <w:t>Riera-Arnau J et al.  ·  Drug Saf  ·  08.10.2026  ·  PMID 42848129</w:t>
      </w:r>
    </w:p>
    <w:p>
      <w:r>
        <w:t>Unterbrochene Zeitreihenanalyse zum Effekt der EU-Schwangerschaftspräventionsprogramm-Aktualisierung 2018 auf Wechsel von oralen Retinoiden zu Alternativmedikamenten bei Frauen im gebärfähigen Alter in vier europäischen Ländern mit 88.992 Frauen.</w:t>
      </w:r>
    </w:p>
    <w:p>
      <w:r>
        <w:rPr>
          <w:b/>
        </w:rPr>
        <w:t xml:space="preserve">Ergebnis: </w:t>
      </w:r>
      <w:r>
        <w:t>32,0% (28.446/88.992) wechselten zu Alternativmedikamenten über den Studienzeitraum. Mediane Wechselraten: 1,8–6,5% monatlich präimplementiert, 1,2–2,3% postimplementiert. Kleine aber statistisch signifikante Abnahme der Wechselrate nach Intervention in Italien (–0,035%, p&lt;0,01), Spanien VID (–0,04%, p&lt;0,01) und BIFAP (–0,03%, p=0,02); Effekte verschwanden bei Ausschluss COVID-19-Lockdown-Periode.</w:t>
      </w:r>
    </w:p>
    <w:p>
      <w:r>
        <w:rPr>
          <w:b/>
          <w:sz w:val="19"/>
        </w:rPr>
        <w:t xml:space="preserve">Übertragbarkeit: </w:t>
      </w:r>
      <w:r>
        <w:rPr>
          <w:sz w:val="19"/>
        </w:rPr>
        <w:t>Niederlande, Spanien, Italien, Dänemark – europäische Sozialversicherungssysteme, Pharmacoepidemiology-Daten</w:t>
      </w:r>
    </w:p>
    <w:p>
      <w:r>
        <w:rPr>
          <w:color w:val="5A7D3A"/>
          <w:sz w:val="18"/>
        </w:rPr>
        <w:t>https://pubmed.ncbi.nlm.nih.gov/42848129/</w:t>
      </w:r>
    </w:p>
    <w:p>
      <w:pPr>
        <w:pStyle w:val="Heading2"/>
      </w:pPr>
      <w:r>
        <w:t>Prähabilitationsakzeptanz bei Hüft- und Kniegelenkersatz: Qualitative Stakeholder-Perspektiven</w:t>
      </w:r>
    </w:p>
    <w:p>
      <w:r>
        <w:rPr>
          <w:i/>
          <w:color w:val="666666"/>
          <w:sz w:val="18"/>
        </w:rPr>
        <w:t>Burgess N et al.  ·  Musculoskeletal Care  ·  Dez. 2026  ·  PMID 42847740</w:t>
      </w:r>
    </w:p>
    <w:p>
      <w:r>
        <w:t>Qualitative Studie mit 30 Interviews (15 Patienten, 15 Fachpersonen) zu Akzeptanz, Barrieren und Lösungen bei Prähabilitationsprogrammen vor Hüft- und Kniegelenksersatz in Australien.</w:t>
      </w:r>
    </w:p>
    <w:p>
      <w:r>
        <w:rPr>
          <w:b/>
        </w:rPr>
        <w:t xml:space="preserve">Ergebnis: </w:t>
      </w:r>
      <w:r>
        <w:t>Prähabilitationsmaßnahme wurde allgemein als akzeptabel und vorteilhaft bewertet. Drei Hauptkonzepte: (1) Verständnis variierte, aber positive Bewertung überwiegend; (2) Barrieren/Förderfaktoren auf Patienten-, Fachpersonen- und Systemebene identifiziert (lange Wartelisten, mangelndes Vertrauen, Gesprächssicherheit); (3) Beide Gruppen betonten individuelle Anpassung, multimodale Intervention und kontinuierliche Unterstützung im OP-Verlauf als erfolgskritisch.</w:t>
      </w:r>
    </w:p>
    <w:p>
      <w:r>
        <w:rPr>
          <w:b/>
          <w:sz w:val="19"/>
        </w:rPr>
        <w:t xml:space="preserve">Übertragbarkeit: </w:t>
      </w:r>
      <w:r>
        <w:rPr>
          <w:sz w:val="19"/>
        </w:rPr>
        <w:t>Australien, öffentliches Versorgungssystem – Prozessqualität und Patientenperspektive gut übertragbar</w:t>
      </w:r>
    </w:p>
    <w:p>
      <w:r>
        <w:rPr>
          <w:color w:val="5A7D3A"/>
          <w:sz w:val="18"/>
        </w:rPr>
        <w:t>https://pubmed.ncbi.nlm.nih.gov/42847740/</w:t>
      </w:r>
    </w:p>
    <w:p>
      <w:pPr>
        <w:pStyle w:val="Heading2"/>
      </w:pPr>
      <w:r>
        <w:t>ADHS-Medikation in Norwegen: Anhaltende Anstiege nach COVID-19</w:t>
      </w:r>
    </w:p>
    <w:p>
      <w:r>
        <w:rPr>
          <w:i/>
          <w:color w:val="666666"/>
          <w:sz w:val="18"/>
        </w:rPr>
        <w:t>Reme BA et al.  ·  Scand J Public Health  ·  08.10.2026  ·  PMID 42847285</w:t>
      </w:r>
    </w:p>
    <w:p>
      <w:r>
        <w:t>Register-basierte Zeitreihenanalyse der ADHS-Arzneimittelverordnungen in Norwegen 2009–2024 mit 63,7 Millionen Personenjahren.</w:t>
      </w:r>
    </w:p>
    <w:p>
      <w:r>
        <w:rPr>
          <w:b/>
        </w:rPr>
        <w:t xml:space="preserve">Ergebnis: </w:t>
      </w:r>
      <w:r>
        <w:t>ADHS-Medikation vor 2020 stabil, danach deutlicher Anstieg. Größte Anstiege bei weiblichen Adoleszenten (15–24 Jahre): +19 Prozentpunkte (von 5,2% auf 24,4% jährlich). Männliche Jugendliche (15–24 Jahre): +9,0 Prozentpunkte (von 2,7% auf 11,7%). Der Anstieg blieb auch nach 2020 dauerhaft.</w:t>
      </w:r>
    </w:p>
    <w:p>
      <w:r>
        <w:rPr>
          <w:b/>
          <w:sz w:val="19"/>
        </w:rPr>
        <w:t xml:space="preserve">Übertragbarkeit: </w:t>
      </w:r>
      <w:r>
        <w:rPr>
          <w:sz w:val="19"/>
        </w:rPr>
        <w:t>Norwegen, nationale Verordnungsdatenbank, Fragestellung zur Versorgungspraxis systemübergreifend</w:t>
      </w:r>
    </w:p>
    <w:p>
      <w:r>
        <w:rPr>
          <w:color w:val="5A7D3A"/>
          <w:sz w:val="18"/>
        </w:rPr>
        <w:t>https://pubmed.ncbi.nlm.nih.gov/42847285/</w:t>
      </w:r>
    </w:p>
    <w:p>
      <w:pPr>
        <w:pStyle w:val="Heading2"/>
      </w:pPr>
      <w:r>
        <w:t>Agent-basiertes Modell der Demenzbetreuung in der Gemeinde: Validierte Baseline-Szenarien</w:t>
      </w:r>
    </w:p>
    <w:p>
      <w:r>
        <w:rPr>
          <w:i/>
          <w:color w:val="666666"/>
          <w:sz w:val="18"/>
        </w:rPr>
        <w:t>Zhu C et al.  ·  Front Public Health  ·  23.09.2026  ·  PMID 42846501</w:t>
      </w:r>
    </w:p>
    <w:p>
      <w:r>
        <w:t>Entwicklung und Validierung eines regelgestützten agentengestützten Modells (ABM) zur Simulation der Langzeitdynamiken in der gemeindlichen Demenzbetreuung mit evidenzgestützten Parametern.</w:t>
      </w:r>
    </w:p>
    <w:p>
      <w:r>
        <w:rPr>
          <w:b/>
        </w:rPr>
        <w:t xml:space="preserve">Ergebnis: </w:t>
      </w:r>
      <w:r>
        <w:t>BPSD-Prävalenz stieg von 75,6% (Start) auf 96,4% (Monat 60; Monte-Carlo 95% KI 96,3–96,5%). Durchschnittliche Betreuungslast erhöhte sich von 0,505 auf 0,782. Im Monat 60 befanden sich durchschnittlich 161 Betreuungseinheiten in institutioneller Betreuung. Lokale Sensitivitätsanalysen zeigten begrenzte Variabilität in Primäroutcomes über getestete Bereiche.</w:t>
      </w:r>
    </w:p>
    <w:p>
      <w:r>
        <w:rPr>
          <w:b/>
          <w:sz w:val="19"/>
        </w:rPr>
        <w:t xml:space="preserve">Übertragbarkeit: </w:t>
      </w:r>
      <w:r>
        <w:rPr>
          <w:sz w:val="19"/>
        </w:rPr>
        <w:t>China, strukturiertes Health Services Research-Modell für spezialisierte Versorgungsforschung</w:t>
      </w:r>
    </w:p>
    <w:p>
      <w:r>
        <w:rPr>
          <w:color w:val="5A7D3A"/>
          <w:sz w:val="18"/>
        </w:rPr>
        <w:t>https://pubmed.ncbi.nlm.nih.gov/42846501/</w:t>
      </w:r>
    </w:p>
    <w:p>
      <w:pPr>
        <w:pStyle w:val="Heading2"/>
      </w:pPr>
      <w:r>
        <w:t>Psychosoziales Wohlbefinden bei Long COVID: Patientenzentrierte Interventionsstrategien</w:t>
      </w:r>
    </w:p>
    <w:p>
      <w:r>
        <w:rPr>
          <w:i/>
          <w:color w:val="666666"/>
          <w:sz w:val="18"/>
        </w:rPr>
        <w:t>Martinez BD et al.  ·  Front Psychiatry  ·  23.09.2026  ·  PMID 42846347</w:t>
      </w:r>
    </w:p>
    <w:p>
      <w:r>
        <w:t>Qualitative Studie mit 19 semi-strukturierten Interviews und Community Advisory Team-Fokusgruppen zu Faktoren und patientengenerierten Strategien für psychosoziales Wohlbefinden bei Long COVID.</w:t>
      </w:r>
    </w:p>
    <w:p>
      <w:r>
        <w:rPr>
          <w:b/>
        </w:rPr>
        <w:t xml:space="preserve">Ergebnis: </w:t>
      </w:r>
      <w:r>
        <w:t>Drei Primärfaktoren beeinflussen negativ psychosoziales Wohlbefinden: Identitätsstörung (Verlust von Fähigkeiten, Selbstständigkeit), Isolation (reduzierte soziale Partizipation, Stigmatisierung), Unsicherheit (Krankheits-/Behandlungspfade, Invaliditätssysteme). Patienten identifizierten: Case-Management, strukturierte Peersupport, Public-Awareness-Kampagnen und persönliche Adaptationspraktiken als förderlich.</w:t>
      </w:r>
    </w:p>
    <w:p>
      <w:r>
        <w:rPr>
          <w:b/>
          <w:sz w:val="19"/>
        </w:rPr>
        <w:t xml:space="preserve">Übertragbarkeit: </w:t>
      </w:r>
      <w:r>
        <w:rPr>
          <w:sz w:val="19"/>
        </w:rPr>
        <w:t>USA, systemunabhängig – psychosoziale Versorgungsfragen krankheitsübergreifend relevant</w:t>
      </w:r>
    </w:p>
    <w:p>
      <w:r>
        <w:rPr>
          <w:color w:val="5A7D3A"/>
          <w:sz w:val="18"/>
        </w:rPr>
        <w:t>https://pubmed.ncbi.nlm.nih.gov/42846347/</w:t>
      </w:r>
    </w:p>
    <w:p>
      <w:pPr>
        <w:pStyle w:val="Heading1"/>
      </w:pPr>
      <w:r>
        <w:t>Aufgenommen am 08.10.2026</w:t>
      </w:r>
    </w:p>
    <w:p>
      <w:pPr>
        <w:pStyle w:val="Heading2"/>
      </w:pPr>
      <w:r>
        <w:t>Ärztevariabilität dominiert Schicht-Effekte in der ED</w:t>
      </w:r>
    </w:p>
    <w:p>
      <w:r>
        <w:rPr>
          <w:i/>
          <w:color w:val="666666"/>
          <w:sz w:val="18"/>
        </w:rPr>
        <w:t>Büyükkaya MŞ et al.  ·  Postgrad Med J  ·  07.10.2026  ·  PMID 42842596</w:t>
      </w:r>
    </w:p>
    <w:p>
      <w:r>
        <w:t>Retrospektive Beobachtungsstudie zu diagnostischer Ressourcentechnik (Labor, Bildgebung, Konsile) bei 11.032 niedrig-akuten ED-Besuchen in der Türkei nach Schichtzeit und Arzt.</w:t>
      </w:r>
    </w:p>
    <w:p>
      <w:r>
        <w:rPr>
          <w:b/>
        </w:rPr>
        <w:t xml:space="preserve">Ergebnis: </w:t>
      </w:r>
      <w:r>
        <w:t>Laborquoten 9,5% (p=0,997), Bildgebung 12,6–13,5% (p=0,485) zeigen keine signifikante Schicht-Variation. Arzt-Level-Variation deutlich größer: Labor 3,5–21,5%, Bildgebung 6,3–28,7%. Ärztliche Spezialisierung dominiert.</w:t>
      </w:r>
    </w:p>
    <w:p>
      <w:r>
        <w:rPr>
          <w:b/>
          <w:sz w:val="19"/>
        </w:rPr>
        <w:t xml:space="preserve">Übertragbarkeit: </w:t>
      </w:r>
      <w:r>
        <w:rPr>
          <w:sz w:val="19"/>
        </w:rPr>
        <w:t>Türkei, aber Frage zur Ärzte-Variabilität und Ressourcennutzung systemunabhängig</w:t>
      </w:r>
    </w:p>
    <w:p>
      <w:r>
        <w:rPr>
          <w:color w:val="5A7D3A"/>
          <w:sz w:val="18"/>
        </w:rPr>
        <w:t>https://pubmed.ncbi.nlm.nih.gov/42842596/</w:t>
      </w:r>
    </w:p>
    <w:p>
      <w:pPr>
        <w:pStyle w:val="Heading2"/>
      </w:pPr>
      <w:r>
        <w:t>Durst bei Herzinsuffizienz-Patienten auf Transplantwarteliste</w:t>
      </w:r>
    </w:p>
    <w:p>
      <w:r>
        <w:rPr>
          <w:i/>
          <w:color w:val="666666"/>
          <w:sz w:val="18"/>
        </w:rPr>
        <w:t>Wefer F et al.  ·  Nurs Crit Care  ·  Nov. 2026  ·  PMID 42841439</w:t>
      </w:r>
    </w:p>
    <w:p>
      <w:r>
        <w:t>Qualitative Mischmethod-Studie mit 10 Patienteninterviews und 2 Fokusgruppen (5 Pflegekräfte) sowie 59 Pflegekräfte-Befragung zur Erfahrung mit Durst bei hochgradig Herzkranken.</w:t>
      </w:r>
    </w:p>
    <w:p>
      <w:r>
        <w:rPr>
          <w:b/>
        </w:rPr>
        <w:t xml:space="preserve">Ergebnis: </w:t>
      </w:r>
      <w:r>
        <w:t>Patienten berichten heterogenes Durstserleben (mild bis schwer). Pflege hält es für relevant, nutzt aber sehr unterschiedliche Assessmentstrategien; &lt;50% bewerten Durst regelmäßig. Patienten und Pflegekräfte wünschen standardisierte Beratung.</w:t>
      </w:r>
    </w:p>
    <w:p>
      <w:r>
        <w:rPr>
          <w:b/>
          <w:sz w:val="19"/>
        </w:rPr>
        <w:t xml:space="preserve">Übertragbarkeit: </w:t>
      </w:r>
      <w:r>
        <w:rPr>
          <w:sz w:val="19"/>
        </w:rPr>
        <w:t>Deutschland (Ruhr-Universität Bochum, Bad Oeynhausen), direkt übertragbar</w:t>
      </w:r>
    </w:p>
    <w:p>
      <w:r>
        <w:rPr>
          <w:color w:val="5A7D3A"/>
          <w:sz w:val="18"/>
        </w:rPr>
        <w:t>https://pubmed.ncbi.nlm.nih.gov/42841439/</w:t>
      </w:r>
    </w:p>
    <w:p>
      <w:pPr>
        <w:pStyle w:val="Heading2"/>
      </w:pPr>
      <w:r>
        <w:t>Primary care accessibility reduces inappropriate ED attendance</w:t>
      </w:r>
    </w:p>
    <w:p>
      <w:r>
        <w:rPr>
          <w:i/>
          <w:color w:val="666666"/>
          <w:sz w:val="18"/>
        </w:rPr>
        <w:t>Koh JJE et al.  ·  Singapore Med J  ·  05.10.2026  ·  PMID 42839708</w:t>
      </w:r>
    </w:p>
    <w:p>
      <w:r>
        <w:t>Retrospektive Kohortenstudie untersuchte, wie Erreichbarkeit und Verfügbarkeit von Hausarztpraxen die unangemessene Notfallaufnahmebesuche (12,5% von 135.838 Besuchen) beeinflussen.</w:t>
      </w:r>
    </w:p>
    <w:p>
      <w:r>
        <w:rPr>
          <w:b/>
        </w:rPr>
        <w:t xml:space="preserve">Ergebnis: </w:t>
      </w:r>
      <w:r>
        <w:t>Reisezeit &gt;5 Min zu nächster Praxis erhöhte unangemessene ED-Besuche um 13–24%, Reisedistanz &gt;1 km um 10–33%. Mehr als 3 Praxen im 1-km-Radius reduzierten unangemessene Besuche um ≥12%.</w:t>
      </w:r>
    </w:p>
    <w:p>
      <w:r>
        <w:rPr>
          <w:b/>
          <w:sz w:val="19"/>
        </w:rPr>
        <w:t xml:space="preserve">Übertragbarkeit: </w:t>
      </w:r>
      <w:r>
        <w:rPr>
          <w:sz w:val="19"/>
        </w:rPr>
        <w:t>Singapur, aber Fragestellung systemunabhängig zur Primärversorgung</w:t>
      </w:r>
    </w:p>
    <w:p>
      <w:r>
        <w:rPr>
          <w:color w:val="5A7D3A"/>
          <w:sz w:val="18"/>
        </w:rPr>
        <w:t>https://pubmed.ncbi.nlm.nih.gov/42839708/</w:t>
      </w:r>
    </w:p>
    <w:p>
      <w:pPr>
        <w:pStyle w:val="Heading2"/>
      </w:pPr>
      <w:r>
        <w:t>Ärzt- und Praxis-Level-Variation in Studienteilnahme bei Krebs</w:t>
      </w:r>
    </w:p>
    <w:p>
      <w:r>
        <w:rPr>
          <w:i/>
          <w:color w:val="666666"/>
          <w:sz w:val="18"/>
        </w:rPr>
        <w:t>Jiang C et al.  ·  JAMA Netw Open  ·  01.10.2026  ·  PMID 42837155</w:t>
      </w:r>
    </w:p>
    <w:p>
      <w:r>
        <w:t>Kohortenstudie von 205.743 Patienten mit fortgeschrittenem Krebs (2011–2024) zur Klinische-Studien-Teilnahme in 1.664 Arzt-Praxen, 107 Zentren (Flatiron-Daten).</w:t>
      </w:r>
    </w:p>
    <w:p>
      <w:r>
        <w:rPr>
          <w:b/>
        </w:rPr>
        <w:t xml:space="preserve">Ergebnis: </w:t>
      </w:r>
      <w:r>
        <w:t>Studienteilnahme 5,2% (2011: 3,9%, 2024: 6,8%). 23,4% Ärzte mit 83,6% Einschlüssen; 19,6% Praxen mit 80,5% der Patienten. Arzt- (12,3%) und Praxis-Level (15,1%) erklären mehr Variation als beobachtbare Patientenfaktoren (11,4%).</w:t>
      </w:r>
    </w:p>
    <w:p>
      <w:r>
        <w:rPr>
          <w:b/>
          <w:sz w:val="19"/>
        </w:rPr>
        <w:t xml:space="preserve">Übertragbarkeit: </w:t>
      </w:r>
      <w:r>
        <w:rPr>
          <w:sz w:val="19"/>
        </w:rPr>
        <w:t>USA, aber Fragestellung zu System- und Anbieter-Barrieren in der Forschung systemunabhängig</w:t>
      </w:r>
    </w:p>
    <w:p>
      <w:r>
        <w:rPr>
          <w:color w:val="5A7D3A"/>
          <w:sz w:val="18"/>
        </w:rPr>
        <w:t>https://pubmed.ncbi.nlm.nih.gov/42837155/</w:t>
      </w:r>
    </w:p>
    <w:p>
      <w:pPr>
        <w:pStyle w:val="Heading2"/>
      </w:pPr>
      <w:r>
        <w:t>Person-zentrierte Demenzpflege durch Coaching umsetzen</w:t>
      </w:r>
    </w:p>
    <w:p>
      <w:r>
        <w:rPr>
          <w:i/>
          <w:color w:val="666666"/>
          <w:sz w:val="18"/>
        </w:rPr>
        <w:t>Moczygemba W et al.  ·  Gerontologist  ·  03.10.2026  ·  PMID 42830447</w:t>
      </w:r>
    </w:p>
    <w:p>
      <w:r>
        <w:t>Pre-post-Studie zur Implementierung des Care Community Coaching Program (CCCP) in 38 Langzeitpflegeeinrichtungen Ohios zur Umsetzung von Dementia Care Practice Recommendations.</w:t>
      </w:r>
    </w:p>
    <w:p>
      <w:r>
        <w:rPr>
          <w:b/>
        </w:rPr>
        <w:t xml:space="preserve">Ergebnis: </w:t>
      </w:r>
      <w:r>
        <w:t>Signifikante Verbesserungen in 8 von 9 Leitlinien-Bereichen für personenzentrierte Versorgung; Baseline-Implementationsrate 61,8%, Arbeitskräfte-Praktiken 78,3%. Barriers und Facilitators dokumentiert.</w:t>
      </w:r>
    </w:p>
    <w:p>
      <w:r>
        <w:rPr>
          <w:b/>
          <w:sz w:val="19"/>
        </w:rPr>
        <w:t xml:space="preserve">Übertragbarkeit: </w:t>
      </w:r>
      <w:r>
        <w:rPr>
          <w:sz w:val="19"/>
        </w:rPr>
        <w:t>USA, aber Fragestellung zur Implementierungsforschung systemübergreifend relevant</w:t>
      </w:r>
    </w:p>
    <w:p>
      <w:r>
        <w:rPr>
          <w:color w:val="5A7D3A"/>
          <w:sz w:val="18"/>
        </w:rPr>
        <w:t>https://pubmed.ncbi.nlm.nih.gov/42830447/</w:t>
      </w:r>
    </w:p>
    <w:p>
      <w:pPr>
        <w:pStyle w:val="Heading2"/>
      </w:pPr>
      <w:r>
        <w:t>Stressabbau senkt Blutdruck bei Normotensiven</w:t>
      </w:r>
    </w:p>
    <w:p>
      <w:r>
        <w:rPr>
          <w:i/>
          <w:color w:val="666666"/>
          <w:sz w:val="18"/>
        </w:rPr>
        <w:t>Kamijima J et al.  ·  J Hum Hypertens  ·  03.10.2026  ·  PMID 42829395</w:t>
      </w:r>
    </w:p>
    <w:p>
      <w:r>
        <w:t>Systematisches Review und Metaanalyse von 22 RCTs (n=3.089) zu Stressmanagement-Interventionen und Blutdruckveränderungen bei gesunden Erwachsenen ohne Hypertonie.</w:t>
      </w:r>
    </w:p>
    <w:p>
      <w:r>
        <w:rPr>
          <w:b/>
        </w:rPr>
        <w:t xml:space="preserve">Ergebnis: </w:t>
      </w:r>
      <w:r>
        <w:t>Mind-Body-Übung: −2,17 mmHg systolisch (95% KI −3,29 bis −1,05), −1,69 mmHg diastolisch; Meditation: −1,49/−1,00 mmHg; Relaxation: −4,76/−1,71 mmHg. Primärprävention möglich.</w:t>
      </w:r>
    </w:p>
    <w:p>
      <w:r>
        <w:rPr>
          <w:b/>
          <w:sz w:val="19"/>
        </w:rPr>
        <w:t xml:space="preserve">Übertragbarkeit: </w:t>
      </w:r>
      <w:r>
        <w:rPr>
          <w:sz w:val="19"/>
        </w:rPr>
        <w:t>Internationale Datenbasis, systemunabhängige Fragestellung zu Prävention</w:t>
      </w:r>
    </w:p>
    <w:p>
      <w:r>
        <w:rPr>
          <w:color w:val="5A7D3A"/>
          <w:sz w:val="18"/>
        </w:rPr>
        <w:t>https://pubmed.ncbi.nlm.nih.gov/42829395/</w:t>
      </w:r>
    </w:p>
    <w:p>
      <w:pPr>
        <w:pStyle w:val="Heading2"/>
      </w:pPr>
      <w:r>
        <w:t>Verweildauer bei Mundkrebs in Deutschland</w:t>
      </w:r>
    </w:p>
    <w:p>
      <w:r>
        <w:rPr>
          <w:i/>
          <w:color w:val="666666"/>
          <w:sz w:val="18"/>
        </w:rPr>
        <w:t>Cirkel LL et al.  ·  Reports (MDPI)  ·  02.09.2026  ·  PMID 42784021</w:t>
      </w:r>
    </w:p>
    <w:p>
      <w:r>
        <w:t>Retrospektive Multizenter-Analyse von 3.957 Krebshospitalisierungen (2019–2024) aus 34 deutschen Krankenhäusern zu Verweildauer und Einflussfaktoren.</w:t>
      </w:r>
    </w:p>
    <w:p>
      <w:r>
        <w:rPr>
          <w:b/>
        </w:rPr>
        <w:t xml:space="preserve">Ergebnis: </w:t>
      </w:r>
      <w:r>
        <w:t>Mediane Verweildauer 6 Tage (IQR 3–13), Mittel 10,2 Tage. 49,4% ≥7 Tage, 23,5% ≥14 Tage. Alter &gt;80 Jahre: Rate Ratio 1,17 (95% KI 1,13–1,21); hohe Komorbiditätslast: RR 1,58 (1,54–1,63); Bluttransfusion RR 1,80, komplexe Intensivbehandlung RR 1,70.</w:t>
      </w:r>
    </w:p>
    <w:p>
      <w:r>
        <w:rPr>
          <w:b/>
          <w:sz w:val="19"/>
        </w:rPr>
        <w:t xml:space="preserve">Übertragbarkeit: </w:t>
      </w:r>
      <w:r>
        <w:rPr>
          <w:sz w:val="19"/>
        </w:rPr>
        <w:t>Deutsche Routinedaten, 49 Krankenhäuser, direkt übertragbar</w:t>
      </w:r>
    </w:p>
    <w:p>
      <w:r>
        <w:rPr>
          <w:color w:val="5A7D3A"/>
          <w:sz w:val="18"/>
        </w:rPr>
        <w:t>https://pubmed.ncbi.nlm.nih.gov/42784021/</w:t>
      </w:r>
    </w:p>
    <w:p>
      <w:pPr>
        <w:pStyle w:val="Heading1"/>
      </w:pPr>
      <w:r>
        <w:t>Aufgenommen am 07.10.2026</w:t>
      </w:r>
    </w:p>
    <w:p>
      <w:pPr>
        <w:pStyle w:val="Heading2"/>
      </w:pPr>
      <w:r>
        <w:t>Reisebelastungen bei Methadon-Ambulanzbesuchen</w:t>
      </w:r>
    </w:p>
    <w:p>
      <w:r>
        <w:rPr>
          <w:i/>
          <w:color w:val="666666"/>
          <w:sz w:val="18"/>
        </w:rPr>
        <w:t>Austin EJ et al.  ·  JAMA Netw Open  ·  01.10.2026  ·  PMID 42837152</w:t>
      </w:r>
    </w:p>
    <w:p>
      <w:r>
        <w:t>Mixed-Methods-Studie (Befragung + qualitative Interviews) zu Reiseerfahrungen von 98 Patienten an Opioid-Behandlungsprogrammen in Washington State.</w:t>
      </w:r>
    </w:p>
    <w:p>
      <w:r>
        <w:rPr>
          <w:b/>
        </w:rPr>
        <w:t xml:space="preserve">Ergebnis: </w:t>
      </w:r>
      <w:r>
        <w:t>Mittlere Reisedauer 82,5 Min (Spannweite 10–330 Min) und durchschnittliche Kosten 15,80 USD pro Besuch. 55,1% fuhren selbst, 21,4% wurden gefahren, 12,3% nutzten ÖPNV. Kernproblem: Unpredictable Wartezeiten und Konflikte mit Beruf/Familie beeinträchtigen Adhärenz.</w:t>
      </w:r>
    </w:p>
    <w:p>
      <w:r>
        <w:rPr>
          <w:b/>
          <w:sz w:val="19"/>
        </w:rPr>
        <w:t xml:space="preserve">Übertragbarkeit: </w:t>
      </w:r>
      <w:r>
        <w:rPr>
          <w:sz w:val="19"/>
        </w:rPr>
        <w:t>USA-Kontext, aber Problematik der Behandlungszugang für marginalisierte Gruppen systemübergreifend</w:t>
      </w:r>
    </w:p>
    <w:p>
      <w:r>
        <w:rPr>
          <w:color w:val="5A7D3A"/>
          <w:sz w:val="18"/>
        </w:rPr>
        <w:t>https://pubmed.ncbi.nlm.nih.gov/42837152/</w:t>
      </w:r>
    </w:p>
    <w:p>
      <w:pPr>
        <w:pStyle w:val="Heading2"/>
      </w:pPr>
      <w:r>
        <w:t>Palliative care in chronic heart failure in the Netherlands</w:t>
      </w:r>
    </w:p>
    <w:p>
      <w:r>
        <w:rPr>
          <w:i/>
          <w:color w:val="666666"/>
          <w:sz w:val="18"/>
        </w:rPr>
        <w:t>Aertsen-van der Kuip MSA et al.  ·  Neth Heart J  ·  06.10.2026  ·  PMID 42837105</w:t>
      </w:r>
    </w:p>
    <w:p>
      <w:r>
        <w:t>Befragung von 120 niederländischen Fachleuten zur Implementierung von Palliativversorgung und Advance Care Planning bei chronischer Herzinsuffizienz.</w:t>
      </w:r>
    </w:p>
    <w:p>
      <w:r>
        <w:rPr>
          <w:b/>
        </w:rPr>
        <w:t xml:space="preserve">Ergebnis: </w:t>
      </w:r>
      <w:r>
        <w:t>97% der Fachleute bewerteten Palliativversorgung als (sehr) wichtig, aber nur etwa ein Drittel bot diese regelmäßig an. 78% konnten Palliativbedarf erkennen, nur 23% fühlten sich ausreichend qualifiziert. Hauptprobleme: fehlende Fähigkeiten und Zeitmangel.</w:t>
      </w:r>
    </w:p>
    <w:p>
      <w:r>
        <w:rPr>
          <w:b/>
          <w:sz w:val="19"/>
        </w:rPr>
        <w:t xml:space="preserve">Übertragbarkeit: </w:t>
      </w:r>
      <w:r>
        <w:rPr>
          <w:sz w:val="19"/>
        </w:rPr>
        <w:t>Niederlande, Sozialversicherungssystem, direkt übertragbar auf Deutschland</w:t>
      </w:r>
    </w:p>
    <w:p>
      <w:r>
        <w:rPr>
          <w:color w:val="5A7D3A"/>
          <w:sz w:val="18"/>
        </w:rPr>
        <w:t>https://pubmed.ncbi.nlm.nih.gov/42837105/</w:t>
      </w:r>
    </w:p>
    <w:p>
      <w:pPr>
        <w:pStyle w:val="Heading2"/>
      </w:pPr>
      <w:r>
        <w:t>Unterversorgung mit Kompressionstherapie bei Ulcus cruris venosum</w:t>
      </w:r>
    </w:p>
    <w:p>
      <w:r>
        <w:rPr>
          <w:i/>
          <w:color w:val="666666"/>
          <w:sz w:val="18"/>
        </w:rPr>
        <w:t>Stücker M et al.  ·  Int Wound J  ·  Okt. 2026  ·  PMID 42834577</w:t>
      </w:r>
    </w:p>
    <w:p>
      <w:r>
        <w:t>Retrospektive Kohortenanalyse von Routinedaten von 3,35 Millionen Versicherten zu Häufigkeit und Determinanten der Kompressionstherapie bei venösen Beindoloren und Ulzera.</w:t>
      </w:r>
    </w:p>
    <w:p>
      <w:r>
        <w:rPr>
          <w:b/>
        </w:rPr>
        <w:t xml:space="preserve">Ergebnis: </w:t>
      </w:r>
      <w:r>
        <w:t>Prävalenz: 0,50% für Ulcus cruris venosum (n=16.615), 7,27% für chronische Venenerkrankung (n=243.681). Über 5 Jahre: 75,85% mit Ulcus erhielten Kompression, aber 24,15% nicht – obwohl Kompression leitliniengerecht ist. Multimorbidität war höher bei Behandelten.</w:t>
      </w:r>
    </w:p>
    <w:p>
      <w:r>
        <w:rPr>
          <w:b/>
          <w:sz w:val="19"/>
        </w:rPr>
        <w:t xml:space="preserve">Übertragbarkeit: </w:t>
      </w:r>
      <w:r>
        <w:rPr>
          <w:sz w:val="19"/>
        </w:rPr>
        <w:t>Deutsche Routinedaten aus der gesetzlichen Krankenversicherung</w:t>
      </w:r>
    </w:p>
    <w:p>
      <w:r>
        <w:rPr>
          <w:color w:val="5A7D3A"/>
          <w:sz w:val="18"/>
        </w:rPr>
        <w:t>https://pubmed.ncbi.nlm.nih.gov/42834577/</w:t>
      </w:r>
    </w:p>
    <w:p>
      <w:pPr>
        <w:pStyle w:val="Heading2"/>
      </w:pPr>
      <w:r>
        <w:t>Qualität der Pflegeheimversorgung für Veteranen nach Hospitalisierung</w:t>
      </w:r>
    </w:p>
    <w:p>
      <w:r>
        <w:rPr>
          <w:i/>
          <w:color w:val="666666"/>
          <w:sz w:val="18"/>
        </w:rPr>
        <w:t>Burke RE et al.  ·  J Gen Intern Med  ·  30.09.2026  ·  PMID 42816723</w:t>
      </w:r>
    </w:p>
    <w:p>
      <w:r>
        <w:t>Retrospektive Kohortenstudie zur Verfügbarkeit und Nutzung hochqualitativer Pflegeheime (SNF) durch ältere Veteranen nach stationärer Aufnahme.</w:t>
      </w:r>
    </w:p>
    <w:p>
      <w:r>
        <w:rPr>
          <w:b/>
        </w:rPr>
        <w:t xml:space="preserve">Ergebnis: </w:t>
      </w:r>
      <w:r>
        <w:t>Von 926.860 Veteranen ≥66 Jahre nutzten &gt;92% private Medicare-Pflegeheime. Nur 34,4% wählten das bestbewertete SNF in der Nähe, 15,4% wählten das schlechteste. 64,5% hätten Zugang zu höher bewerteten Einrichtungen gehabt; 43,7% zu 5+ besseren Alternativen.</w:t>
      </w:r>
    </w:p>
    <w:p>
      <w:r>
        <w:rPr>
          <w:b/>
          <w:sz w:val="19"/>
        </w:rPr>
        <w:t xml:space="preserve">Übertragbarkeit: </w:t>
      </w:r>
      <w:r>
        <w:rPr>
          <w:sz w:val="19"/>
        </w:rPr>
        <w:t>USA-System, aber Frage der Qualitätssteuerung und Patientenwahl systemübergreifend relevant</w:t>
      </w:r>
    </w:p>
    <w:p>
      <w:r>
        <w:rPr>
          <w:color w:val="5A7D3A"/>
          <w:sz w:val="18"/>
        </w:rPr>
        <w:t>https://pubmed.ncbi.nlm.nih.gov/42816723/</w:t>
      </w:r>
    </w:p>
    <w:p>
      <w:pPr>
        <w:pStyle w:val="Heading2"/>
      </w:pPr>
      <w:r>
        <w:t>Partizipation nach Schlaganfall im jungen Erwachsenenalter</w:t>
      </w:r>
    </w:p>
    <w:p>
      <w:r>
        <w:rPr>
          <w:i/>
          <w:color w:val="666666"/>
          <w:sz w:val="18"/>
        </w:rPr>
        <w:t>Donnelly MR et al.  ·  Am J Occup Ther  ·  30.09.2026  ·  PMID 42813599</w:t>
      </w:r>
    </w:p>
    <w:p>
      <w:r>
        <w:t>Scoping Review von 15 Studien zur Partizipation junger Erwachsener (18–45 Jahre) nach Schlaganfall in Rollen und Aktivitäten des Erwachsenenlebens.</w:t>
      </w:r>
    </w:p>
    <w:p>
      <w:r>
        <w:rPr>
          <w:b/>
        </w:rPr>
        <w:t xml:space="preserve">Ergebnis: </w:t>
      </w:r>
      <w:r>
        <w:t>Schlaganfall führt zu Unterbrechung der beruflichen und sozialen Laufbahn; multi-dimensionale Effekte auf Rollen (Partner, Eltern), Bildung und Karriere. Rehabilitation fokussiert typischerweise auf motorische Funktionen, adressiert aber nicht die entwicklungsspezifischen Bedürfnisse junger Erwachsener.</w:t>
      </w:r>
    </w:p>
    <w:p>
      <w:r>
        <w:rPr>
          <w:b/>
          <w:sz w:val="19"/>
        </w:rPr>
        <w:t xml:space="preserve">Übertragbarkeit: </w:t>
      </w:r>
      <w:r>
        <w:rPr>
          <w:sz w:val="19"/>
        </w:rPr>
        <w:t>Qualitative HSR-Synthese, Erkenntnisse zur Versorgungsplanung systemunabhängig</w:t>
      </w:r>
    </w:p>
    <w:p>
      <w:r>
        <w:rPr>
          <w:color w:val="5A7D3A"/>
          <w:sz w:val="18"/>
        </w:rPr>
        <w:t>https://pubmed.ncbi.nlm.nih.gov/42813599/</w:t>
      </w:r>
    </w:p>
    <w:p>
      <w:pPr>
        <w:pStyle w:val="Heading2"/>
      </w:pPr>
      <w:r>
        <w:t>Atriale Kardiomyopathie und klinische Langzeitfolgen</w:t>
      </w:r>
    </w:p>
    <w:p>
      <w:r>
        <w:rPr>
          <w:i/>
          <w:color w:val="666666"/>
          <w:sz w:val="18"/>
        </w:rPr>
        <w:t>Kazi K et al.  ·  Europace  ·  02.09.2026  ·  PMID 42809232</w:t>
      </w:r>
    </w:p>
    <w:p>
      <w:r>
        <w:t>Kohortenstudie zu Assoziationen zwischen echokardiographischen Merkmalen atrialerKardiomyopathie und Inzidenz von Vorhofflimmern, Herzinsuffizienz und Schlaganfall. (Abstract ohne konkrete Ergebnisse verfügbar)</w:t>
      </w:r>
    </w:p>
    <w:p>
      <w:r>
        <w:rPr>
          <w:b/>
        </w:rPr>
        <w:t xml:space="preserve">Ergebnis: </w:t>
      </w:r>
      <w:r>
        <w:t>Abstract enthält keine benennbaren Zahlen oder Ergebnisse; nur Studiendesign beschrieben. Ausschluss.</w:t>
      </w:r>
    </w:p>
    <w:p>
      <w:r>
        <w:rPr>
          <w:b/>
          <w:sz w:val="19"/>
        </w:rPr>
        <w:t xml:space="preserve">Übertragbarkeit: </w:t>
      </w:r>
      <w:r>
        <w:rPr>
          <w:sz w:val="19"/>
        </w:rPr>
        <w:t>Ausgeschlossen</w:t>
      </w:r>
    </w:p>
    <w:p>
      <w:r>
        <w:rPr>
          <w:color w:val="5A7D3A"/>
          <w:sz w:val="18"/>
        </w:rPr>
        <w:t>https://pubmed.ncbi.nlm.nih.gov/42809232/</w:t>
      </w:r>
    </w:p>
    <w:p>
      <w:pPr>
        <w:pStyle w:val="Heading1"/>
      </w:pPr>
      <w:r>
        <w:t>Aufgenommen am 06.10.2026</w:t>
      </w:r>
    </w:p>
    <w:p>
      <w:pPr>
        <w:pStyle w:val="Heading2"/>
      </w:pPr>
      <w:r>
        <w:t>Zugang zu sexueller und reproduktiver Gesundheit bei Jugendlichen in Mogadischu: Qualitative Studie</w:t>
      </w:r>
    </w:p>
    <w:p>
      <w:r>
        <w:rPr>
          <w:i/>
          <w:color w:val="666666"/>
          <w:sz w:val="18"/>
        </w:rPr>
        <w:t>Asowe HA et al.  ·  Sex Health  ·  20.10.2026  ·  PMID 42833641</w:t>
      </w:r>
    </w:p>
    <w:p>
      <w:r>
        <w:t>Qualitative Mixed-Methods-Studie zu Zugang und Inanspruchnahme von Sexual- und Reproduktionsgesundheits-Dienstleistungen bei Jugendlichen in Mogadischu, Somalia.</w:t>
      </w:r>
    </w:p>
    <w:p>
      <w:r>
        <w:rPr>
          <w:b/>
        </w:rPr>
        <w:t xml:space="preserve">Ergebnis: </w:t>
      </w:r>
      <w:r>
        <w:t>21 Gesundheitseinrichtungen identifiziert, aber Dienste nicht auf Jugendliche zugeschnitten. Hauptbarrieren: Stigma, soziale Normen, Geschlechterdynamiken (männliche Zustimmung erforderlich), finanzielle und logistische Hindernisse. Dringend Bedarf für jugendfreundliche, geschlechtssensible Dienste und Norm-Veränderungsaktivitäten.</w:t>
      </w:r>
    </w:p>
    <w:p>
      <w:r>
        <w:rPr>
          <w:b/>
          <w:sz w:val="19"/>
        </w:rPr>
        <w:t xml:space="preserve">Übertragbarkeit: </w:t>
      </w:r>
      <w:r>
        <w:rPr>
          <w:sz w:val="19"/>
        </w:rPr>
        <w:t>Humanitarian-setting, Systemkontext sehr unterschiedlich, Befunde zu Zugangsbarrieren aber international relevant</w:t>
      </w:r>
    </w:p>
    <w:p>
      <w:r>
        <w:rPr>
          <w:color w:val="5A7D3A"/>
          <w:sz w:val="18"/>
        </w:rPr>
        <w:t>https://pubmed.ncbi.nlm.nih.gov/42833641/</w:t>
      </w:r>
    </w:p>
    <w:p>
      <w:pPr>
        <w:pStyle w:val="Heading2"/>
      </w:pPr>
      <w:r>
        <w:t>Expert Agreement on Palliative Reasoning and Monitoring in Heart Failure: International Delphi Study</w:t>
      </w:r>
    </w:p>
    <w:p>
      <w:r>
        <w:rPr>
          <w:i/>
          <w:color w:val="666666"/>
          <w:sz w:val="18"/>
        </w:rPr>
        <w:t>De Leeuw JCB et al.  ·  J Pain Symptom Manage  ·  05.10.2026  ·  PMID 42833597</w:t>
      </w:r>
    </w:p>
    <w:p>
      <w:r>
        <w:t>Internationale Delphi-Studie zur Etablierung von Expertenkonsens über palliative Versorgung bei Herzinsuffizienz aus neun europäischen Ländern.</w:t>
      </w:r>
    </w:p>
    <w:p>
      <w:r>
        <w:rPr>
          <w:b/>
        </w:rPr>
        <w:t xml:space="preserve">Ergebnis: </w:t>
      </w:r>
      <w:r>
        <w:t>156 Experten (Runde 1) und 121 (Runde 2, 78,1% Retention) erreichten Konsens über alle Schritte der palliativen Versorgung (I-CVI 0,82–0,95). Von 33 Symptomen erreichtenÂ 76% Übereinstimmung zu Relevanz und Formulierung. Monitoring-Instrument für Symptome, Wünsche und Bedarf entwickelt.</w:t>
      </w:r>
    </w:p>
    <w:p>
      <w:r>
        <w:rPr>
          <w:b/>
          <w:sz w:val="19"/>
        </w:rPr>
        <w:t xml:space="preserve">Übertragbarkeit: </w:t>
      </w:r>
      <w:r>
        <w:rPr>
          <w:sz w:val="19"/>
        </w:rPr>
        <w:t>Niederländische/europäische Leitung, neun europäische Länder, systemvergleichbar</w:t>
      </w:r>
    </w:p>
    <w:p>
      <w:r>
        <w:rPr>
          <w:color w:val="5A7D3A"/>
          <w:sz w:val="18"/>
        </w:rPr>
        <w:t>https://pubmed.ncbi.nlm.nih.gov/42833597/</w:t>
      </w:r>
    </w:p>
    <w:p>
      <w:pPr>
        <w:pStyle w:val="Heading2"/>
      </w:pPr>
      <w:r>
        <w:t>FOCUS-Tool zur Priorisierung von Guideline-Empfehlungen für Shared Decision Making</w:t>
      </w:r>
    </w:p>
    <w:p>
      <w:r>
        <w:rPr>
          <w:i/>
          <w:color w:val="666666"/>
          <w:sz w:val="18"/>
        </w:rPr>
        <w:t>Orduhan C et al.  ·  J Clin Epidemiol  ·  05.10.2026  ·  PMID 42833371</w:t>
      </w:r>
    </w:p>
    <w:p>
      <w:r>
        <w:t>Entwicklung und Test des FOCUS-Tools zur systematischen Identifikation von Guideline-Empfehlungen, die sich für Shared Decision Making eignen.</w:t>
      </w:r>
    </w:p>
    <w:p>
      <w:r>
        <w:rPr>
          <w:b/>
        </w:rPr>
        <w:t xml:space="preserve">Ergebnis: </w:t>
      </w:r>
      <w:r>
        <w:t>Fünf Items definiert: (1) multiple Optionen mit unterschiedlichen Nutzen-Schaden-Profilen, (2) Entscheidung mit Auswirkungen, (3) potenzielle Diskrepanz in Werten/Vorlieben, (4) Behandlungslast und finanzielle Aspekte, (5) Unsicherheit der Evidenz. Mittelwerte ≥3,38 auf 5-Punkt-Skala für Verständlichkeit, Anwendbarkeit und Nützlichkeit. 12 Teilnehmer aus acht Ländern, gute Akzeptanz.</w:t>
      </w:r>
    </w:p>
    <w:p>
      <w:r>
        <w:rPr>
          <w:b/>
          <w:sz w:val="19"/>
        </w:rPr>
        <w:t xml:space="preserve">Übertragbarkeit: </w:t>
      </w:r>
      <w:r>
        <w:rPr>
          <w:sz w:val="19"/>
        </w:rPr>
        <w:t>Deutsche Beteiligung, internationale Guideline-Entwicklung, systemunabhängige Methode</w:t>
      </w:r>
    </w:p>
    <w:p>
      <w:r>
        <w:rPr>
          <w:color w:val="5A7D3A"/>
          <w:sz w:val="18"/>
        </w:rPr>
        <w:t>https://pubmed.ncbi.nlm.nih.gov/42833371/</w:t>
      </w:r>
    </w:p>
    <w:p>
      <w:pPr>
        <w:pStyle w:val="Heading2"/>
      </w:pPr>
      <w:r>
        <w:t>National Ovarian Cancer Audit (NOCA) 2026: Qualitätsverbesserung der Ovarialkarzinom-Versorgung</w:t>
      </w:r>
    </w:p>
    <w:p>
      <w:r>
        <w:rPr>
          <w:i/>
          <w:color w:val="666666"/>
          <w:sz w:val="18"/>
        </w:rPr>
        <w:t>Zachou G et al.  ·  Clin Oncol (R Coll Radiol)  ·  10.09.2026  ·  PMID 42828886</w:t>
      </w:r>
    </w:p>
    <w:p>
      <w:r>
        <w:t>Nationale englisch-walisische Auditberichte zu Struktur-, Prozess- und Outcome-Qualität in der Ovarialkarzinom-Behandlung mit Quality-Improvement-Empfehlungen.</w:t>
      </w:r>
    </w:p>
    <w:p>
      <w:r>
        <w:rPr>
          <w:b/>
        </w:rPr>
        <w:t xml:space="preserve">Ergebnis: </w:t>
      </w:r>
      <w:r>
        <w:t>Daten nicht im Abstract verfügbar, aber Audit mit anschließenden Qualitätsverbesserungs-Interventionen durchgeführt. Fokus auf Standardisierung der Versorgung und Reduktion von Variabilität.</w:t>
      </w:r>
    </w:p>
    <w:p>
      <w:r>
        <w:rPr>
          <w:b/>
          <w:sz w:val="19"/>
        </w:rPr>
        <w:t xml:space="preserve">Übertragbarkeit: </w:t>
      </w:r>
      <w:r>
        <w:rPr>
          <w:sz w:val="19"/>
        </w:rPr>
        <w:t>Englisch-walisisches System, aber Audit-Methodologie und Qualitätsziele auf deutsches System übertragbar</w:t>
      </w:r>
    </w:p>
    <w:p>
      <w:r>
        <w:rPr>
          <w:color w:val="5A7D3A"/>
          <w:sz w:val="18"/>
        </w:rPr>
        <w:t>https://pubmed.ncbi.nlm.nih.gov/42828886/</w:t>
      </w:r>
    </w:p>
    <w:p>
      <w:pPr>
        <w:pStyle w:val="Heading2"/>
      </w:pPr>
      <w:r>
        <w:t>Langfristiges Rezidivrisiko nach Hysterektomie zur Prolaps-Behandlung</w:t>
      </w:r>
    </w:p>
    <w:p>
      <w:r>
        <w:rPr>
          <w:i/>
          <w:color w:val="666666"/>
          <w:sz w:val="18"/>
        </w:rPr>
        <w:t>Latack KR et al.  ·  Int Urogynecol J  ·  01.10.2026  ·  PMID 42821111</w:t>
      </w:r>
    </w:p>
    <w:p>
      <w:r>
        <w:t>Retrospektive Versicherungsanspruchsanalyse zu Prolaps-Retreatment nach Hysterektomie bei Prolaps-Diagnose, stratifiziert nach chirurgischem Zugang und Begleitverfahren.</w:t>
      </w:r>
    </w:p>
    <w:p>
      <w:r>
        <w:rPr>
          <w:b/>
        </w:rPr>
        <w:t xml:space="preserve">Ergebnis: </w:t>
      </w:r>
      <w:r>
        <w:t>7017 Patienten (Durchschnittsalter 51,3 Jahre). Concurrent Prolaps-Verfahren in 82%. Nach 24.129 Personenjahren: 399 Patienten (5,7%) retreated. Inzidenzrate 16,5 pro 1000 Personenjahre (95% CI 14,9–18,2). Vaginal vs. laparoskopisch: kein signifikanter Unterschied nach Adjustierung (aHR 1,39). Mit Colpopexy: abdominaler Zugang deutlich höheres Risiko.</w:t>
      </w:r>
    </w:p>
    <w:p>
      <w:r>
        <w:rPr>
          <w:b/>
          <w:sz w:val="19"/>
        </w:rPr>
        <w:t xml:space="preserve">Übertragbarkeit: </w:t>
      </w:r>
      <w:r>
        <w:rPr>
          <w:sz w:val="19"/>
        </w:rPr>
        <w:t>US-Versicherungsdaten, aber gynäkologische Fragestellung zur Prozessoptimierung systemunabhängig übertragbar</w:t>
      </w:r>
    </w:p>
    <w:p>
      <w:r>
        <w:rPr>
          <w:color w:val="5A7D3A"/>
          <w:sz w:val="18"/>
        </w:rPr>
        <w:t>https://pubmed.ncbi.nlm.nih.gov/42821111/</w:t>
      </w:r>
    </w:p>
    <w:p>
      <w:pPr>
        <w:pStyle w:val="Heading2"/>
      </w:pPr>
      <w:r>
        <w:t>Nachbarschafts-Umgebung und Präeklampsie-Risiko: Machine-Learning-Analyse</w:t>
      </w:r>
    </w:p>
    <w:p>
      <w:r>
        <w:rPr>
          <w:i/>
          <w:color w:val="666666"/>
          <w:sz w:val="18"/>
        </w:rPr>
        <w:t>Paris CF et al.  ·  Pregnancy (Hoboken)  ·  29.09.2026  ·  PMID 42819622</w:t>
      </w:r>
    </w:p>
    <w:p>
      <w:r>
        <w:t>Matched-Case-Control-Studie mit Machine Learning zur Bestimmung der relativen Bedeutung von Nachbarschaftsfaktoren (soziale Vulnerabilität, gebaute Umgebung) für Präeklampsie-Risiko in Philadelphia.</w:t>
      </w:r>
    </w:p>
    <w:p>
      <w:r>
        <w:rPr>
          <w:b/>
        </w:rPr>
        <w:t xml:space="preserve">Ergebnis: </w:t>
      </w:r>
      <w:r>
        <w:t>18.754 Teilnehmer (4.689 Präeklampsie-Fälle, 14.065 Kontrollen). Drei Nachbarschafts-Gesundheits-Vulnerabilitätsfaktoren am wichtigsten: Prävalenz von Adipositas, hohem Blutdruck und kurzer Schlafdauer bei Erwachsenen. Assoziationen mit Nachbarschafts-Hypertonie-Prävalenz besonders relevant für Präeklampsie-Prävention.</w:t>
      </w:r>
    </w:p>
    <w:p>
      <w:r>
        <w:rPr>
          <w:b/>
          <w:sz w:val="19"/>
        </w:rPr>
        <w:t xml:space="preserve">Übertragbarkeit: </w:t>
      </w:r>
      <w:r>
        <w:rPr>
          <w:sz w:val="19"/>
        </w:rPr>
        <w:t>US-Daten aus Philadelphia, aber sozialstrukturelle Fragestellung und Risiko-Identifikation systemunabhängig relevant</w:t>
      </w:r>
    </w:p>
    <w:p>
      <w:r>
        <w:rPr>
          <w:color w:val="5A7D3A"/>
          <w:sz w:val="18"/>
        </w:rPr>
        <w:t>https://pubmed.ncbi.nlm.nih.gov/42819622/</w:t>
      </w:r>
    </w:p>
    <w:p>
      <w:pPr>
        <w:pStyle w:val="Heading1"/>
      </w:pPr>
      <w:r>
        <w:t>Aufgenommen am 05.10.2026</w:t>
      </w:r>
    </w:p>
    <w:p>
      <w:pPr>
        <w:pStyle w:val="Heading2"/>
      </w:pPr>
      <w:r>
        <w:t>TALK-Debriefing-Methode verbessert Interprofessionalität und Patientensicherheit</w:t>
      </w:r>
    </w:p>
    <w:p>
      <w:r>
        <w:rPr>
          <w:i/>
          <w:color w:val="666666"/>
          <w:sz w:val="18"/>
        </w:rPr>
        <w:t>Targino JSO et al.  ·  J Eval Clin Pract  ·  Okt. 2026  ·  PMID 42829905</w:t>
      </w:r>
    </w:p>
    <w:p>
      <w:r>
        <w:t>Qualitative Aktionsforschung mit 12 Gesundheitsfachpersonen untersuchte Auswirkungen der TALK-Debriefing-Methode auf interprofessionelle Kommunikation und Patientensicherheit in brasilianischer Sekundärversorgung.</w:t>
      </w:r>
    </w:p>
    <w:p>
      <w:r>
        <w:rPr>
          <w:b/>
        </w:rPr>
        <w:t xml:space="preserve">Ergebnis: </w:t>
      </w:r>
      <w:r>
        <w:t>TALK-Methode funktionierte als strukturierendes Instrument für reflektive Praxis und reorganisierte interprofessionelle Interaktionen. Teilnehmer berichteten Verbesserungen in Kommunikation, Teamintegration und Versorgungsplanung sowie psychologisch sichere, nicht-punitives Umfeld. Barrieren: Zeitknappheit, Arbeitsbelastung, variable Engagement, begrenzte institutionelle Unterstützung.</w:t>
      </w:r>
    </w:p>
    <w:p>
      <w:r>
        <w:rPr>
          <w:b/>
          <w:sz w:val="19"/>
        </w:rPr>
        <w:t xml:space="preserve">Übertragbarkeit: </w:t>
      </w:r>
      <w:r>
        <w:rPr>
          <w:sz w:val="19"/>
        </w:rPr>
        <w:t>Qualitatives Design, systemunabhängige Fragestellung zu Kommunikation und Teamentwicklung</w:t>
      </w:r>
    </w:p>
    <w:p>
      <w:r>
        <w:rPr>
          <w:color w:val="5A7D3A"/>
          <w:sz w:val="18"/>
        </w:rPr>
        <w:t>https://pubmed.ncbi.nlm.nih.gov/42829905/</w:t>
      </w:r>
    </w:p>
    <w:p>
      <w:pPr>
        <w:pStyle w:val="Heading2"/>
      </w:pPr>
      <w:r>
        <w:t>Ernährungsberatung reduziert Alkoholkonsum bei mild kognitiver Beeinträchtigung</w:t>
      </w:r>
    </w:p>
    <w:p>
      <w:r>
        <w:rPr>
          <w:i/>
          <w:color w:val="666666"/>
          <w:sz w:val="18"/>
        </w:rPr>
        <w:t>Scheuermann JS et al.  ·  BMC Public Health  ·  03.10.2026  ·  PMID 42829430</w:t>
      </w:r>
    </w:p>
    <w:p>
      <w:r>
        <w:t>Sekundäranalyse eines RCT untersuchte, ob Ernährungsberatung (WFPB oder DGE-Richtlinien) den Alkoholkonsum bei 189 Personen mit milder kognitiver Beeinträchtigung über 12 Monate reduziert.</w:t>
      </w:r>
    </w:p>
    <w:p>
      <w:r>
        <w:rPr>
          <w:b/>
        </w:rPr>
        <w:t xml:space="preserve">Ergebnis: </w:t>
      </w:r>
      <w:r>
        <w:t>Beide Interventionen führten zu signifikanter Reduktion des Alkoholkonsums (Cohens d = 0,30 für WFPB; d = 0,39 für DGE). Frauen profitierten substanziell nur von DGE-Beratung (d = 0,33). Höherer Baseline-Alkoholkonsum, höheres Alter und bessere Adhärenz waren Prädiktoren für stärkere Reduktion.</w:t>
      </w:r>
    </w:p>
    <w:p>
      <w:r>
        <w:rPr>
          <w:b/>
          <w:sz w:val="19"/>
        </w:rPr>
        <w:t xml:space="preserve">Übertragbarkeit: </w:t>
      </w:r>
      <w:r>
        <w:rPr>
          <w:sz w:val="19"/>
        </w:rPr>
        <w:t>Deutsche RCT mit deutschen Interventionen (DGE-Richtlinien), Routine-Datenerfassung übertragbar</w:t>
      </w:r>
    </w:p>
    <w:p>
      <w:r>
        <w:rPr>
          <w:color w:val="5A7D3A"/>
          <w:sz w:val="18"/>
        </w:rPr>
        <w:t>https://pubmed.ncbi.nlm.nih.gov/42829430/</w:t>
      </w:r>
    </w:p>
    <w:p>
      <w:pPr>
        <w:pStyle w:val="Heading2"/>
      </w:pPr>
      <w:r>
        <w:t>Telehealth-Coaching für periphere arterielle Verschlusskrankheit kosteneffektiv unter günstigen Bedingungen</w:t>
      </w:r>
    </w:p>
    <w:p>
      <w:r>
        <w:rPr>
          <w:i/>
          <w:color w:val="666666"/>
          <w:sz w:val="18"/>
        </w:rPr>
        <w:t>Heider D et al.  ·  Am J Prev Cardiol  ·  14.07.2026  ·  PMID 42828241</w:t>
      </w:r>
    </w:p>
    <w:p>
      <w:r>
        <w:t>Kosteneffektivitätsanalyse eines 12-Monatigen Telehealth-Coaching- und Remote-Monitoring-Programms (TeGeCoach) für 394 PAD-Patienten basierend auf Krankenkassendaten und Fragebögen.</w:t>
      </w:r>
    </w:p>
    <w:p>
      <w:r>
        <w:rPr>
          <w:b/>
        </w:rPr>
        <w:t xml:space="preserve">Ergebnis: </w:t>
      </w:r>
      <w:r>
        <w:t>Bei WTP-Schwellenwert von 50.000 Euro: ITT 30% Wahrscheinlichkeit kosteneffektiv; mITT 79%; PP 95%. Interventionskosten 672 Euro. Unter PP-Analyse kosteneffektiv, aber ITT-Szenario nicht. Anpassung der Implementierung notwendig.</w:t>
      </w:r>
    </w:p>
    <w:p>
      <w:r>
        <w:rPr>
          <w:b/>
          <w:sz w:val="19"/>
        </w:rPr>
        <w:t xml:space="preserve">Übertragbarkeit: </w:t>
      </w:r>
      <w:r>
        <w:rPr>
          <w:sz w:val="19"/>
        </w:rPr>
        <w:t>Deutsche Krankenversicherungsdaten, praktische Implementierungsfrage für deutsche Versorgung</w:t>
      </w:r>
    </w:p>
    <w:p>
      <w:r>
        <w:rPr>
          <w:color w:val="5A7D3A"/>
          <w:sz w:val="18"/>
        </w:rPr>
        <w:t>https://pubmed.ncbi.nlm.nih.gov/42828241/</w:t>
      </w:r>
    </w:p>
    <w:p>
      <w:pPr>
        <w:pStyle w:val="Heading2"/>
      </w:pPr>
      <w:r>
        <w:t>Wiederholte pulmonale Rehabilitation bei COPD bleibt wirksam trotz kleinerer Gewinne</w:t>
      </w:r>
    </w:p>
    <w:p>
      <w:r>
        <w:rPr>
          <w:i/>
          <w:color w:val="666666"/>
          <w:sz w:val="18"/>
        </w:rPr>
        <w:t>Mohammed J et al.  ·  Can J Respir Ther  ·  30.09.2026  ·  PMID 42828082</w:t>
      </w:r>
    </w:p>
    <w:p>
      <w:r>
        <w:t>Retrospektive Analyse von 429 COPD-Patienten, die zwei Rehabilitationsprogramme (PR1 und PR2) an Ciro (Niederlande) zwischen 2005 und 2022 absolvierten.</w:t>
      </w:r>
    </w:p>
    <w:p>
      <w:r>
        <w:rPr>
          <w:b/>
        </w:rPr>
        <w:t xml:space="preserve">Ergebnis: </w:t>
      </w:r>
      <w:r>
        <w:t>Nach PR1 und PR2 signifikante Verbesserungen: 6MWD (PR1: 37,0 m [29,2–44,8]; PR2: 27,0 m [19,2–34,8]), Quadrizeps-Kraft (PR1: 10,4 Nm; PR2: 8,6 Nm), CAT, SGRQ, HADS und COPM. Gewinne nach PR2 kleiner, aber klinisch bedeutsam. Alle Outcomes zwischen PR1 und PR2 signifikant rückläufig.</w:t>
      </w:r>
    </w:p>
    <w:p>
      <w:r>
        <w:rPr>
          <w:b/>
          <w:sz w:val="19"/>
        </w:rPr>
        <w:t xml:space="preserve">Übertragbarkeit: </w:t>
      </w:r>
      <w:r>
        <w:rPr>
          <w:sz w:val="19"/>
        </w:rPr>
        <w:t>Niederländisches spezialisiertes Rehabilitationszentrum, vergleichbares System, Ergebnisse übertragbar</w:t>
      </w:r>
    </w:p>
    <w:p>
      <w:r>
        <w:rPr>
          <w:color w:val="5A7D3A"/>
          <w:sz w:val="18"/>
        </w:rPr>
        <w:t>https://pubmed.ncbi.nlm.nih.gov/42828082/</w:t>
      </w:r>
    </w:p>
    <w:p>
      <w:pPr>
        <w:pStyle w:val="Heading2"/>
      </w:pPr>
      <w:r>
        <w:t>Theory of Mind: kognitives Endophänotyp bei juveniler myoklonischer Epilepsie?</w:t>
      </w:r>
    </w:p>
    <w:p>
      <w:r>
        <w:rPr>
          <w:i/>
          <w:color w:val="666666"/>
          <w:sz w:val="18"/>
        </w:rPr>
        <w:t>Crespo-Pimentel B et al.  ·  Epilepsia  ·  01.10.2026  ·  PMID 42821310</w:t>
      </w:r>
    </w:p>
    <w:p>
      <w:r>
        <w:t>Prospektive Querschnittsstudie mit 52 Patienten mit juveniler myoklonischer Epilepsie (JME), 13 nicht-betroffenen Geschwistern und 64 gesunden Kontrollen untersuchte soziale Kognition als mögliches Endophänotyp.</w:t>
      </w:r>
    </w:p>
    <w:p>
      <w:r>
        <w:rPr>
          <w:b/>
        </w:rPr>
        <w:t xml:space="preserve">Ergebnis: </w:t>
      </w:r>
      <w:r>
        <w:t>JME-Patienten zeigten reduzierte Leistung bei Aufgaben zu Mentalisieren über Überzeugungen (Faux Pas Test, Reading Mind in the Eyes). Geschwister unterschieden sich nicht signifikant von JME-Patienten oder Kontrollen. Selektive Beeinträchtigung des Mentalisierens über Überzeugungen in JME, aber keine Evidenz für Endophänotyp-Rolle in dieser Stichprobe.</w:t>
      </w:r>
    </w:p>
    <w:p>
      <w:r>
        <w:rPr>
          <w:b/>
          <w:sz w:val="19"/>
        </w:rPr>
        <w:t xml:space="preserve">Übertragbarkeit: </w:t>
      </w:r>
      <w:r>
        <w:rPr>
          <w:sz w:val="19"/>
        </w:rPr>
        <w:t>Österreich-basierte Studie, systemunabhängige neuropsychologische Fragestellung</w:t>
      </w:r>
    </w:p>
    <w:p>
      <w:r>
        <w:rPr>
          <w:color w:val="5A7D3A"/>
          <w:sz w:val="18"/>
        </w:rPr>
        <w:t>https://pubmed.ncbi.nlm.nih.gov/42821310/</w:t>
      </w:r>
    </w:p>
    <w:p>
      <w:pPr>
        <w:pStyle w:val="Heading2"/>
      </w:pPr>
      <w:r>
        <w:t>Schlechte Adhärenz zu evidenzbasierter kardiovaskulärer Prävention bei schweren psychischen Erkrankungen in Norwegen</w:t>
      </w:r>
    </w:p>
    <w:p>
      <w:r>
        <w:rPr>
          <w:i/>
          <w:color w:val="666666"/>
          <w:sz w:val="18"/>
        </w:rPr>
        <w:t>Larsen S et al.  ·  Nord J Psychiatry  ·  30.09.2026  ·  PMID 42813764</w:t>
      </w:r>
    </w:p>
    <w:p>
      <w:r>
        <w:t>Multizenter-Studie mit 230 Patienten (Schizophrenie/bipolare Störung oder Antipsychotika-Nutzer) untersuchte Adhärenz zu evidenzbasierter kardiovaskulärer Prävention mittels Fidelity Scale.</w:t>
      </w:r>
    </w:p>
    <w:p>
      <w:r>
        <w:rPr>
          <w:b/>
        </w:rPr>
        <w:t xml:space="preserve">Ergebnis: </w:t>
      </w:r>
      <w:r>
        <w:t>Seiten zeigten geringe Fidelity-Scores (höher bei Richtlinien als bei Praktiken). Alle Risikofaktoren hochprevalent: tägliches Rauchen/Schnuff 58,1%. Zwischen Fidelity und Patientenergebnissen keine signifikanten Assoziationen nach Adjustierung. Spezialistische Versorgungsanbieter zeigten niedrige Adhärenz zu evidenzbasierter kardiovaskulärer Risikomanagement-Praxis.</w:t>
      </w:r>
    </w:p>
    <w:p>
      <w:r>
        <w:rPr>
          <w:b/>
          <w:sz w:val="19"/>
        </w:rPr>
        <w:t xml:space="preserve">Übertragbarkeit: </w:t>
      </w:r>
      <w:r>
        <w:rPr>
          <w:sz w:val="19"/>
        </w:rPr>
        <w:t>Norwegische spezialisierte psychische Gesundheitsversorgung, vergleichbar mit deutschem System</w:t>
      </w:r>
    </w:p>
    <w:p>
      <w:r>
        <w:rPr>
          <w:color w:val="5A7D3A"/>
          <w:sz w:val="18"/>
        </w:rPr>
        <w:t>https://pubmed.ncbi.nlm.nih.gov/42813764/</w:t>
      </w:r>
    </w:p>
    <w:p>
      <w:pPr>
        <w:pStyle w:val="Heading1"/>
      </w:pPr>
      <w:r>
        <w:t>Aufgenommen am 04.10.2026</w:t>
      </w:r>
    </w:p>
    <w:p>
      <w:pPr>
        <w:pStyle w:val="Heading2"/>
      </w:pPr>
      <w:r>
        <w:t>Längere MOUD-Dauer senkt postpartales Überdosis- und Sterblichkeitsrisiko</w:t>
      </w:r>
    </w:p>
    <w:p>
      <w:r>
        <w:rPr>
          <w:i/>
          <w:color w:val="666666"/>
          <w:sz w:val="18"/>
        </w:rPr>
        <w:t>Kim A et al.  ·  JAMA Netw Open  ·  01.10.2026  ·  PMID 42826020</w:t>
      </w:r>
    </w:p>
    <w:p>
      <w:r>
        <w:t>Retrospektive Kohorte mit Tennessee-Medicaid-Daten zu Schwangerschaften mit Medikamentöser Opioid-Abhängigkeitsbehandlung (MOUD) und postpartalem Überdosis-/Mortalitätsrisiko.</w:t>
      </w:r>
    </w:p>
    <w:p>
      <w:r>
        <w:rPr>
          <w:b/>
        </w:rPr>
        <w:t xml:space="preserve">Ergebnis: </w:t>
      </w:r>
      <w:r>
        <w:t>Unter 9.360 Schwangerschaften betrug die 1-Jahres-Postpartum-Mortalität/-Überdosisrate 1,58% (148 Fälle). Längere MOUD-Dauer während Schwangerschaft assoziiert mit niedrigerem Risiko: adjustierte Hazard Ratio für 132 vs. 1 Tag MOUD-Versorgung 0,52 (95%-KI 0,31–0,88).</w:t>
      </w:r>
    </w:p>
    <w:p>
      <w:r>
        <w:rPr>
          <w:b/>
          <w:sz w:val="19"/>
        </w:rPr>
        <w:t xml:space="preserve">Übertragbarkeit: </w:t>
      </w:r>
      <w:r>
        <w:rPr>
          <w:sz w:val="19"/>
        </w:rPr>
        <w:t>US-Medicaid-Daten; Fragestellung zur kontinuierlichen Opioid-Substitutionsbehandlung systemunabhängig relevant.</w:t>
      </w:r>
    </w:p>
    <w:p>
      <w:r>
        <w:rPr>
          <w:color w:val="5A7D3A"/>
          <w:sz w:val="18"/>
        </w:rPr>
        <w:t>https://pubmed.ncbi.nlm.nih.gov/42826020/</w:t>
      </w:r>
    </w:p>
    <w:p>
      <w:pPr>
        <w:pStyle w:val="Heading2"/>
      </w:pPr>
      <w:r>
        <w:t>Regionale Disparitäten beim direkten Rettungsdienst-Transport zu geriatrischen Notfallstationen</w:t>
      </w:r>
    </w:p>
    <w:p>
      <w:r>
        <w:rPr>
          <w:i/>
          <w:color w:val="666666"/>
          <w:sz w:val="18"/>
        </w:rPr>
        <w:t>Varg S et al.  ·  BMC Geriatr  ·  02.10.2026  ·  PMID 42823763</w:t>
      </w:r>
    </w:p>
    <w:p>
      <w:r>
        <w:t>Schwedische Register-Studie zu geografischen Unterschieden bei direkter Rettungsdienst-Zuweisung älterer Patienten (≥65J.) zu Notaufnahmen versus geriatrischen Spezialstationen.</w:t>
      </w:r>
    </w:p>
    <w:p>
      <w:r>
        <w:rPr>
          <w:b/>
        </w:rPr>
        <w:t xml:space="preserve">Ergebnis: </w:t>
      </w:r>
      <w:r>
        <w:t>Von 8.208 älteren Patienten wurden 7% (603) direkt zu geriatrischen Stationen transportiert. Zwischen Krankenhauseinzugsgebieten stark variierend (4–21%). Nach Adjustierung reduzierte sich Varianz um 41%, aber erhebliche regionale Unterschiede blieben (MOR=1,54).</w:t>
      </w:r>
    </w:p>
    <w:p>
      <w:r>
        <w:rPr>
          <w:b/>
          <w:sz w:val="19"/>
        </w:rPr>
        <w:t xml:space="preserve">Übertragbarkeit: </w:t>
      </w:r>
      <w:r>
        <w:rPr>
          <w:sz w:val="19"/>
        </w:rPr>
        <w:t>Schweden (Steuerfinanzierung); Prozessqualität und Zugangssteuerung in Primärversorgung auf deutsche Kontexte nur eingeschränkt übertragbar.</w:t>
      </w:r>
    </w:p>
    <w:p>
      <w:r>
        <w:rPr>
          <w:color w:val="5A7D3A"/>
          <w:sz w:val="18"/>
        </w:rPr>
        <w:t>https://pubmed.ncbi.nlm.nih.gov/42823763/</w:t>
      </w:r>
    </w:p>
    <w:p>
      <w:pPr>
        <w:pStyle w:val="Heading2"/>
      </w:pPr>
      <w:r>
        <w:t>Aktualisiertes WHO-STEPS-Modul zur Mundhygiene-Surveillance in der Bevölkerung</w:t>
      </w:r>
    </w:p>
    <w:p>
      <w:r>
        <w:rPr>
          <w:i/>
          <w:color w:val="666666"/>
          <w:sz w:val="18"/>
        </w:rPr>
        <w:t>Rendell N et al.  ·  Bull World Health Organ  ·  01.10.2026  ·  PMID 42820175</w:t>
      </w:r>
    </w:p>
    <w:p>
      <w:r>
        <w:t>WHO-Entwicklung eines aktualisierten Moduls zur Routine-Überwachung von Mundhygieneproblemen in Bevölkerungsumfragen zu nichtübertragbaren Erkrankungen.</w:t>
      </w:r>
    </w:p>
    <w:p>
      <w:r>
        <w:rPr>
          <w:b/>
        </w:rPr>
        <w:t xml:space="preserve">Ergebnis: </w:t>
      </w:r>
      <w:r>
        <w:t>Neues STEPS-Modul ergänzt bisherige Selbstangaben durch klinische Bewertungskomponente. Kann von Zahn- und Nicht-Zahnfachpersonal nach kurzer Schulung durchgeführt werden. Praktisch skalierbar zur Schließung persistierender Überwachungslücken.</w:t>
      </w:r>
    </w:p>
    <w:p>
      <w:r>
        <w:rPr>
          <w:b/>
          <w:sz w:val="19"/>
        </w:rPr>
        <w:t xml:space="preserve">Übertragbarkeit: </w:t>
      </w:r>
      <w:r>
        <w:rPr>
          <w:sz w:val="19"/>
        </w:rPr>
        <w:t>WHO-Empfehlung für globale Anwendbarkeit; für deutsche Public-Health-Surveillance relevant.</w:t>
      </w:r>
    </w:p>
    <w:p>
      <w:r>
        <w:rPr>
          <w:color w:val="5A7D3A"/>
          <w:sz w:val="18"/>
        </w:rPr>
        <w:t>https://pubmed.ncbi.nlm.nih.gov/42820175/</w:t>
      </w:r>
    </w:p>
    <w:p>
      <w:pPr>
        <w:pStyle w:val="Heading2"/>
      </w:pPr>
      <w:r>
        <w:t>Standardisierte Entlassungskriterien von Intensivstationen: Pilotimplementierung</w:t>
      </w:r>
    </w:p>
    <w:p>
      <w:r>
        <w:rPr>
          <w:i/>
          <w:color w:val="666666"/>
          <w:sz w:val="18"/>
        </w:rPr>
        <w:t>Hiller M et al.  ·  BMC Health Serv Res  ·  28.09.2026  ·  PMID 42811355</w:t>
      </w:r>
    </w:p>
    <w:p>
      <w:r>
        <w:t>Deutsche prospektive Pilotstudie zur Implementierbarkeit und klinischen Nutzbarkeit eines standardisierten Satzes von ICU-Entlassungskriterien in zwei Kliniken.</w:t>
      </w:r>
    </w:p>
    <w:p>
      <w:r>
        <w:rPr>
          <w:b/>
        </w:rPr>
        <w:t xml:space="preserve">Ergebnis: </w:t>
      </w:r>
      <w:r>
        <w:t>Elf patientenspezifische und organisationsspezifische Kriterien zeigten &gt;80% Completion bei Entlassungsentscheidungen und wurden als Kern-Set definiert. Organisationsspezifische Kriterien sollten je Klinik, Patientengruppen und Empfängerabteilungen angepasst werden.</w:t>
      </w:r>
    </w:p>
    <w:p>
      <w:r>
        <w:rPr>
          <w:b/>
          <w:sz w:val="19"/>
        </w:rPr>
        <w:t xml:space="preserve">Übertragbarkeit: </w:t>
      </w:r>
      <w:r>
        <w:rPr>
          <w:sz w:val="19"/>
        </w:rPr>
        <w:t>Deutsche Routinedaten aus zwei ICU-Stationen; direkt auf deutsches Versorgungssystem übertragbar.</w:t>
      </w:r>
    </w:p>
    <w:p>
      <w:r>
        <w:rPr>
          <w:color w:val="5A7D3A"/>
          <w:sz w:val="18"/>
        </w:rPr>
        <w:t>https://pubmed.ncbi.nlm.nih.gov/42811355/</w:t>
      </w:r>
    </w:p>
    <w:p>
      <w:pPr>
        <w:pStyle w:val="Heading2"/>
      </w:pPr>
      <w:r>
        <w:t>Arbeitgeberperspektiven auf Arbeitsplatzinklusion bei psychischen Erkrankungen</w:t>
      </w:r>
    </w:p>
    <w:p>
      <w:r>
        <w:rPr>
          <w:i/>
          <w:color w:val="666666"/>
          <w:sz w:val="18"/>
        </w:rPr>
        <w:t>Krumm S et al.  ·  BMC Health Serv Res  ·  28.09.2026  ·  PMID 42811348</w:t>
      </w:r>
    </w:p>
    <w:p>
      <w:r>
        <w:t>Qualitative Interview-Studie mit 29 deutschen Arbeitgebern zu Sichtweisen auf Inklusion von Arbeitnehmern mit psychischen Problemen.</w:t>
      </w:r>
    </w:p>
    <w:p>
      <w:r>
        <w:rPr>
          <w:b/>
        </w:rPr>
        <w:t xml:space="preserve">Ergebnis: </w:t>
      </w:r>
      <w:r>
        <w:t>Arbeitgeber beschrieben ambivalente Orientierungen: Normalisierungstrends einerseits, aber Verunsicherung bei Arbeitsorganisation, Teamdynamiken und Vorhersehbarkeit andererseits. Offenbarung, Eigenverantwortung und gegenseitiges Vertrauen wurden als zentral für Unterstützung betont.</w:t>
      </w:r>
    </w:p>
    <w:p>
      <w:r>
        <w:rPr>
          <w:b/>
          <w:sz w:val="19"/>
        </w:rPr>
        <w:t xml:space="preserve">Übertragbarkeit: </w:t>
      </w:r>
      <w:r>
        <w:rPr>
          <w:sz w:val="19"/>
        </w:rPr>
        <w:t>Deutsche Qualitätsstudie; direkt für deutsche Arbeitsmarkt- und Versorgungspolitik relevant.</w:t>
      </w:r>
    </w:p>
    <w:p>
      <w:r>
        <w:rPr>
          <w:color w:val="5A7D3A"/>
          <w:sz w:val="18"/>
        </w:rPr>
        <w:t>https://pubmed.ncbi.nlm.nih.gov/42811348/</w:t>
      </w:r>
    </w:p>
    <w:p>
      <w:pPr>
        <w:pStyle w:val="Heading2"/>
      </w:pPr>
      <w:r>
        <w:t>Radiotherapie-Personalnotstand UK: Reforming der Zertifizierung zur Schließung der Lücke</w:t>
      </w:r>
    </w:p>
    <w:p>
      <w:r>
        <w:rPr>
          <w:i/>
          <w:color w:val="666666"/>
          <w:sz w:val="18"/>
        </w:rPr>
        <w:t>Vulpe H et al.  ·  Eur J Cancer  ·  16.09.2026  ·  PMID 42810149</w:t>
      </w:r>
    </w:p>
    <w:p>
      <w:r>
        <w:t>Politische Analyse zur Personalknappheit in der klinischen Onkologie/Strahlentherapie im UK und Vorschlag für Regulierungsreform zur internationalen Rekrutierung.</w:t>
      </w:r>
    </w:p>
    <w:p>
      <w:r>
        <w:rPr>
          <w:b/>
        </w:rPr>
        <w:t xml:space="preserve">Ergebnis: </w:t>
      </w:r>
      <w:r>
        <w:t>17% Unterbesetzung in klinischer Onkologie heute, 26% prognostiziert bis 2030. UK-Dualausbildung (Radiotherapie + Systemtherapie) behindert Rekrutierung international trainierter Radiation Oncologists aus Systemen mit separaten Fachrichtungen.</w:t>
      </w:r>
    </w:p>
    <w:p>
      <w:r>
        <w:rPr>
          <w:b/>
          <w:sz w:val="19"/>
        </w:rPr>
        <w:t xml:space="preserve">Übertragbarkeit: </w:t>
      </w:r>
      <w:r>
        <w:rPr>
          <w:sz w:val="19"/>
        </w:rPr>
        <w:t>UK-Healthcare-System mit NHS; Regulierungsfragen systemabhängig, aber Workforceplanung grundsätzlich relevant.</w:t>
      </w:r>
    </w:p>
    <w:p>
      <w:r>
        <w:rPr>
          <w:color w:val="5A7D3A"/>
          <w:sz w:val="18"/>
        </w:rPr>
        <w:t>https://pubmed.ncbi.nlm.nih.gov/42810149/</w:t>
      </w:r>
    </w:p>
    <w:p>
      <w:pPr>
        <w:pStyle w:val="Heading2"/>
      </w:pPr>
      <w:r>
        <w:t>Geschlechter- und Diversitätsfaktoren in psychiatrischer Krankenhausbehandlung: Studienprotokoll PSY-DIVER</w:t>
      </w:r>
    </w:p>
    <w:p>
      <w:r>
        <w:rPr>
          <w:i/>
          <w:color w:val="666666"/>
          <w:sz w:val="18"/>
        </w:rPr>
        <w:t>Peters SJ et al.  ·  BMC Psychiatry  ·  24.09.2026  ·  PMID 42806324</w:t>
      </w:r>
    </w:p>
    <w:p>
      <w:r>
        <w:t>Deutsches Studienprotokoll zur Untersuchung von Geschlechts- und Diversitätsfaktoren (Alter, Migration, sexuelle Orientierung, Religion, SES) in der stationären psychiatrischen Versorgung.</w:t>
      </w:r>
    </w:p>
    <w:p>
      <w:r>
        <w:rPr>
          <w:b/>
        </w:rPr>
        <w:t xml:space="preserve">Ergebnis: </w:t>
      </w:r>
      <w:r>
        <w:t>Geplantes Mixed-Methods-Design mit Routinedaten-Analyse (500.000 stationäre Fälle 2015–2024), 31 Interviews und Online-Befragungen, Delphi-Prozess. NLP-gestützte Extraktion von Diversitätsvariablen aus klinischen Texten.</w:t>
      </w:r>
    </w:p>
    <w:p>
      <w:r>
        <w:rPr>
          <w:b/>
          <w:sz w:val="19"/>
        </w:rPr>
        <w:t xml:space="preserve">Übertragbarkeit: </w:t>
      </w:r>
      <w:r>
        <w:rPr>
          <w:sz w:val="19"/>
        </w:rPr>
        <w:t>Deutsche Studienplanung, neun psychiatrische LVR-Kliniken; hochgradig auf deutsches System übertragbar.</w:t>
      </w:r>
    </w:p>
    <w:p>
      <w:r>
        <w:rPr>
          <w:color w:val="5A7D3A"/>
          <w:sz w:val="18"/>
        </w:rPr>
        <w:t>https://pubmed.ncbi.nlm.nih.gov/42806324/</w:t>
      </w:r>
    </w:p>
    <w:p>
      <w:pPr>
        <w:pStyle w:val="Heading1"/>
      </w:pPr>
      <w:r>
        <w:t>Aufgenommen am 03.10.2026</w:t>
      </w:r>
    </w:p>
    <w:p>
      <w:pPr>
        <w:pStyle w:val="Heading2"/>
      </w:pPr>
      <w:r>
        <w:t>Rural medical students in China: nur 23% planen längerfristiges Bleiben im Landdienst</w:t>
      </w:r>
    </w:p>
    <w:p>
      <w:r>
        <w:rPr>
          <w:i/>
          <w:color w:val="666666"/>
          <w:sz w:val="18"/>
        </w:rPr>
        <w:t>Zhang X et al.  ·  BMC Health Serv Res  ·  21.09.2026  ·  PMID 42823771</w:t>
      </w:r>
    </w:p>
    <w:p>
      <w:r>
        <w:t>Qualitative Studie zu Bleibechancen ländlich ausgebildeter Medizinstudierender in chinesischen Stadtgesundheitszentren nach Pflichtdienst.</w:t>
      </w:r>
    </w:p>
    <w:p>
      <w:r>
        <w:rPr>
          <w:b/>
        </w:rPr>
        <w:t xml:space="preserve">Ergebnis: </w:t>
      </w:r>
      <w:r>
        <w:t>Von 26 befragten Studierenden wollten nur 23,1% (6/26) über die vorgeschriebene Dienstzeit hinaus bleiben. Führungsunterstützung erwies sich als prominentester Faktor für Unterschiede zwischen Bleibern und Weggehern. Work-Family-Balance war Erleichterungsfaktor. Karrieremobilitätsmechanismen wurden als unterentwickelt wahrgenommen.</w:t>
      </w:r>
    </w:p>
    <w:p>
      <w:r>
        <w:rPr>
          <w:b/>
          <w:sz w:val="19"/>
        </w:rPr>
        <w:t xml:space="preserve">Übertragbarkeit: </w:t>
      </w:r>
      <w:r>
        <w:rPr>
          <w:sz w:val="19"/>
        </w:rPr>
        <w:t>Nur bedingt: ländliche Kontexte in China; Fachkräftemangel aber global relevant.</w:t>
      </w:r>
    </w:p>
    <w:p>
      <w:r>
        <w:rPr>
          <w:color w:val="5A7D3A"/>
          <w:sz w:val="18"/>
        </w:rPr>
        <w:t>https://pubmed.ncbi.nlm.nih.gov/42823771/</w:t>
      </w:r>
    </w:p>
    <w:p>
      <w:pPr>
        <w:pStyle w:val="Heading2"/>
      </w:pPr>
      <w:r>
        <w:t>Specialist-led interprofessional weaning program reduces failed weaning in high-risk ICU patients</w:t>
      </w:r>
    </w:p>
    <w:p>
      <w:r>
        <w:rPr>
          <w:i/>
          <w:color w:val="666666"/>
          <w:sz w:val="18"/>
        </w:rPr>
        <w:t>Trudzinski FC et al.  ·  Crit Care  ·  30.09.2026  ·  PMID 42823746</w:t>
      </w:r>
    </w:p>
    <w:p>
      <w:r>
        <w:t>Deutsche Studie zur Wirksamkeit eines spezialisierten, interprofessionellen Beatmungsentwöhnungsprogramms bei intensivpflichtigen Patienten mit hohemRisiko.</w:t>
      </w:r>
    </w:p>
    <w:p>
      <w:r>
        <w:rPr>
          <w:b/>
        </w:rPr>
        <w:t xml:space="preserve">Ergebnis: </w:t>
      </w:r>
      <w:r>
        <w:t>In der propensity-score-matched Analyse wiesen Interventionspatienten höhere Quoten erfolgreicher Beatmungsentwöhnung auf (58,3% vs. 46,4%, OR 2,90; 95%-KI 1,61–5,24; p&lt;0,001). Im unadjustierten primären Analyseplan erreichte der Unterschied keine statistische Signifikanz (OR 1,46; p=0,057). Die Machbarkeit wurde demonstriert, mit 16,3% der Patienten in spezialisierte Weaning-Zentren verlegt.</w:t>
      </w:r>
    </w:p>
    <w:p>
      <w:r>
        <w:rPr>
          <w:b/>
          <w:sz w:val="19"/>
        </w:rPr>
        <w:t xml:space="preserve">Übertragbarkeit: </w:t>
      </w:r>
      <w:r>
        <w:rPr>
          <w:sz w:val="19"/>
        </w:rPr>
        <w:t>Deutsche Daten, ICU-Verweildauer und Beatmungsdauer sind zentrale Versorgungsergebnisse.</w:t>
      </w:r>
    </w:p>
    <w:p>
      <w:r>
        <w:rPr>
          <w:color w:val="5A7D3A"/>
          <w:sz w:val="18"/>
        </w:rPr>
        <w:t>https://pubmed.ncbi.nlm.nih.gov/42823746/</w:t>
      </w:r>
    </w:p>
    <w:p>
      <w:pPr>
        <w:pStyle w:val="Heading2"/>
      </w:pPr>
      <w:r>
        <w:t>Globale ökonomische Last der Schizophrenie: 243 Milliarden USD im Jahr 2019</w:t>
      </w:r>
    </w:p>
    <w:p>
      <w:r>
        <w:rPr>
          <w:i/>
          <w:color w:val="666666"/>
          <w:sz w:val="18"/>
        </w:rPr>
        <w:t>Welter LS et al.  ·  Int J Ment Health Syst  ·  29.09.2026  ·  PMID 42823740</w:t>
      </w:r>
    </w:p>
    <w:p>
      <w:r>
        <w:t>Health-Economic-Modeling-Studie zur globalen sozioökonomischen Last der Schizophrenie 2019 über 204 Länder (direkte, indirekte und informale Pflegekosten).</w:t>
      </w:r>
    </w:p>
    <w:p>
      <w:r>
        <w:rPr>
          <w:b/>
        </w:rPr>
        <w:t xml:space="preserve">Ergebnis: </w:t>
      </w:r>
      <w:r>
        <w:t>22,1 Millionen Erwachsene (0,39% Prävalenz) lebten mit Schizophrenie 2019. Gesamtkosten: 243,2 Milliarden USD (Kaufkraftparität): 47% direkte Kosten, 29% indirekt (Produktivitätsverluste), 24% informale Pflege. Obere-Mittel-Länder trugen proportional zu BIP am meisten, Hocheinkommensländer in absoluten und Pro-Kopf-Kosten am meisten. Regionale Heterogenität erheblich.</w:t>
      </w:r>
    </w:p>
    <w:p>
      <w:r>
        <w:rPr>
          <w:b/>
          <w:sz w:val="19"/>
        </w:rPr>
        <w:t xml:space="preserve">Übertragbarkeit: </w:t>
      </w:r>
      <w:r>
        <w:rPr>
          <w:sz w:val="19"/>
        </w:rPr>
        <w:t>Globale Modellierung; für Versorgungsforschung Deutschland relevant zur Kostenlast-Abschätzung.</w:t>
      </w:r>
    </w:p>
    <w:p>
      <w:r>
        <w:rPr>
          <w:color w:val="5A7D3A"/>
          <w:sz w:val="18"/>
        </w:rPr>
        <w:t>https://pubmed.ncbi.nlm.nih.gov/42823740/</w:t>
      </w:r>
    </w:p>
    <w:p>
      <w:pPr>
        <w:pStyle w:val="Heading2"/>
      </w:pPr>
      <w:r>
        <w:t>Muskel-Selbstmanagement und virtuelle Physiotherapie in Saudi-Arabien: Kulturelle Anpassungen erforderlich</w:t>
      </w:r>
    </w:p>
    <w:p>
      <w:r>
        <w:rPr>
          <w:i/>
          <w:color w:val="666666"/>
          <w:sz w:val="18"/>
        </w:rPr>
        <w:t>AlMuhana N et al.  ·  BMC Health Serv Res  ·  28.09.2026  ·  PMID 42823682</w:t>
      </w:r>
    </w:p>
    <w:p>
      <w:r>
        <w:t>Qualitative Studie (8 Fokusgruppen, n=36) zu Muskel-Selbstmanagement und Akzeptanz virtueller Physiotherapie in Saudi-Arabien.</w:t>
      </w:r>
    </w:p>
    <w:p>
      <w:r>
        <w:rPr>
          <w:b/>
        </w:rPr>
        <w:t xml:space="preserve">Ergebnis: </w:t>
      </w:r>
      <w:r>
        <w:t>Patienten praktizieren selbstgesteuertes Management wegen verzögerter professioneller Versorgung. Barrieren: strukturelle, psychologische, relationale Faktoren. Neu: Kulturelle Lücke – Patienten brauchten Anleitung zum Anpassen von Salah (islamisches Gebet) bei Muskelschmerzen. Hybrida Versorgung wurde bevorzugt (virtuelle Nachsorge nach In-Person-Assessment), nicht virtuell von Anfang an.</w:t>
      </w:r>
    </w:p>
    <w:p>
      <w:r>
        <w:rPr>
          <w:b/>
          <w:sz w:val="19"/>
        </w:rPr>
        <w:t xml:space="preserve">Übertragbarkeit: </w:t>
      </w:r>
      <w:r>
        <w:rPr>
          <w:sz w:val="19"/>
        </w:rPr>
        <w:t>Saudi-Arabien; systemische Übertragbarkeit limitiert, aber Befunde zu Selbstmanagement und virtueller Versorgung aussagekräftig.</w:t>
      </w:r>
    </w:p>
    <w:p>
      <w:r>
        <w:rPr>
          <w:color w:val="5A7D3A"/>
          <w:sz w:val="18"/>
        </w:rPr>
        <w:t>https://pubmed.ncbi.nlm.nih.gov/42823682/</w:t>
      </w:r>
    </w:p>
    <w:p>
      <w:pPr>
        <w:pStyle w:val="Heading2"/>
      </w:pPr>
      <w:r>
        <w:t>mHealth-gestützte Integrated Care für ältere Vorhofflimmernpatienten: Kein Vorteil bei optimaler Baseline</w:t>
      </w:r>
    </w:p>
    <w:p>
      <w:r>
        <w:rPr>
          <w:i/>
          <w:color w:val="666666"/>
          <w:sz w:val="18"/>
        </w:rPr>
        <w:t>Lip GYH et al.  ·  Lancet Reg Health Eur  ·  30.08.2026  ·  PMID 42819749</w:t>
      </w:r>
    </w:p>
    <w:p>
      <w:r>
        <w:t>AFFIRMO cluster-RCT in 6 europäischen Ländern zu iABC-System (Integrated Care mit CGA) vs. usual care bei älteren multimorbiden Vorhofflimmernpatienten.</w:t>
      </w:r>
    </w:p>
    <w:p>
      <w:r>
        <w:rPr>
          <w:b/>
        </w:rPr>
        <w:t xml:space="preserve">Ergebnis: </w:t>
      </w:r>
      <w:r>
        <w:t>1.260 Patienten (Alter 74 Jahre, CHA₂DS₂-VASc 4). Primärer Endpunkt ungeplante Hospitalisierung: 17,1% (Intervention) vs. 18,2% (usual care), OR 0,95 (95%-KI 0,61–1,49; p=0,84). App-Nutzung suboptimal (68,5% nur 1/3 der Beobachtungszeit). Günstige Baseline-Compliance (97,3% Antikoagulation).</w:t>
      </w:r>
    </w:p>
    <w:p>
      <w:r>
        <w:rPr>
          <w:b/>
          <w:sz w:val="19"/>
        </w:rPr>
        <w:t xml:space="preserve">Übertragbarkeit: </w:t>
      </w:r>
      <w:r>
        <w:rPr>
          <w:sz w:val="19"/>
        </w:rPr>
        <w:t>Mehrländer-Studie mit europäischem Kontext, aber System steuerfinanziert; begrenzte Übertragbarkeit auf deutsches Sozialversicherungssystem.</w:t>
      </w:r>
    </w:p>
    <w:p>
      <w:r>
        <w:rPr>
          <w:color w:val="5A7D3A"/>
          <w:sz w:val="18"/>
        </w:rPr>
        <w:t>https://pubmed.ncbi.nlm.nih.gov/42819749/</w:t>
      </w:r>
    </w:p>
    <w:p>
      <w:pPr>
        <w:pStyle w:val="Heading2"/>
      </w:pPr>
      <w:r>
        <w:t>Blutbasierte Screening-Programme am Arbeitsplatz: Ökonomische Ergebnisse inkonsistent</w:t>
      </w:r>
    </w:p>
    <w:p>
      <w:r>
        <w:rPr>
          <w:i/>
          <w:color w:val="666666"/>
          <w:sz w:val="18"/>
        </w:rPr>
        <w:t>Swadźba D et al.  ·  BMC Health Serv Res  ·  29.09.2026  ·  PMID 42816856</w:t>
      </w:r>
    </w:p>
    <w:p>
      <w:r>
        <w:t>Systematischer Review (56 Studien, überwiegend US-Beobachtungsdaten) zu wirtschaftlichen und Produktivitätsergebnissen von Workplace-Health-Programmen mit Blutscreening.</w:t>
      </w:r>
    </w:p>
    <w:p>
      <w:r>
        <w:rPr>
          <w:b/>
        </w:rPr>
        <w:t xml:space="preserve">Ergebnis: </w:t>
      </w:r>
      <w:r>
        <w:t>Gesundheitskosten: 21 von 29 Studien zeigten günstige Ergebnisse. Return-on-Investment: einheitlich positiv (20 Studien), ohne Abschwächung mit Studienqualität. Absenteeismus: 23 Studien, inkonsistent. Präsentismus/Fluktuation: selten gemessen. Günstiger Effekt nur bei strukturiert begleiteten Programmen, nicht Screening allein.</w:t>
      </w:r>
    </w:p>
    <w:p>
      <w:r>
        <w:rPr>
          <w:b/>
          <w:sz w:val="19"/>
        </w:rPr>
        <w:t xml:space="preserve">Übertragbarkeit: </w:t>
      </w:r>
      <w:r>
        <w:rPr>
          <w:sz w:val="19"/>
        </w:rPr>
        <w:t>Überwiegend US-Daten; Fragestellung aber systemunabhängig relevant für Betriebliche Gesundheitsförderung.</w:t>
      </w:r>
    </w:p>
    <w:p>
      <w:r>
        <w:rPr>
          <w:color w:val="5A7D3A"/>
          <w:sz w:val="18"/>
        </w:rPr>
        <w:t>https://pubmed.ncbi.nlm.nih.gov/42816856/</w:t>
      </w:r>
    </w:p>
    <w:p>
      <w:pPr>
        <w:pStyle w:val="Heading2"/>
      </w:pPr>
      <w:r>
        <w:t>Palliativmedizin bei fortgeschrittenem Krebs: MA-Versicherte nutzen mehr, aber bekommen weniger Chemotherapie</w:t>
      </w:r>
    </w:p>
    <w:p>
      <w:r>
        <w:rPr>
          <w:i/>
          <w:color w:val="666666"/>
          <w:sz w:val="18"/>
        </w:rPr>
        <w:t>Hu X et al.  ·  JAMA Netw Open  ·  01.09.2026  ·  PMID 42814462</w:t>
      </w:r>
    </w:p>
    <w:p>
      <w:r>
        <w:t>Kohortenstudie mit SEER/Medicare-Daten zu Palliativmedizin-, Systemtherapie- und Hospiz-Nutzung bei fortgeschrittenem Krebs (Mammakarzinom, CRC, Lungenkarzinom, Pankreaskarzinom, Prostatakarzinom) in Medicare Advantage (MA) vs. Traditional Medicare (TM), 2016–2021.</w:t>
      </w:r>
    </w:p>
    <w:p>
      <w:r>
        <w:rPr>
          <w:b/>
        </w:rPr>
        <w:t xml:space="preserve">Ergebnis: </w:t>
      </w:r>
      <w:r>
        <w:t>135.402 Patienten (32,3% MA, 67,7% TM). MA-Patienten: höhere 6-Monats-Kumulativ-Inzidenz Palliativmedizin (13,3% vs. 9,3%; aHR 1,39 [95%-KI 1,35–1,44]; p&lt;0,001), vor allem HMO-Pläne (aHR 1,66). Nach Oncologist-Matching: PA-Unterschied aufgelöst (aHR 1,05; p=0,19), aber MA-Patienten hatten weniger Systemtherapie (−5,4 Prozentpunkte) und mehr Hospiz (+3,4 Prozentpunkte), persistent nach Matching.</w:t>
      </w:r>
    </w:p>
    <w:p>
      <w:r>
        <w:rPr>
          <w:b/>
          <w:sz w:val="19"/>
        </w:rPr>
        <w:t xml:space="preserve">Übertragbarkeit: </w:t>
      </w:r>
      <w:r>
        <w:rPr>
          <w:sz w:val="19"/>
        </w:rPr>
        <w:t>US-Daten; Frage zur Versorgungssteuerung systemabhängig, aber Palliativmedizin-Integration relevant.</w:t>
      </w:r>
    </w:p>
    <w:p>
      <w:r>
        <w:rPr>
          <w:color w:val="5A7D3A"/>
          <w:sz w:val="18"/>
        </w:rPr>
        <w:t>https://pubmed.ncbi.nlm.nih.gov/42814462/</w:t>
      </w:r>
    </w:p>
    <w:p>
      <w:pPr>
        <w:pStyle w:val="Heading1"/>
      </w:pPr>
      <w:r>
        <w:t>Aufgenommen am 02.10.2026</w:t>
      </w:r>
    </w:p>
    <w:p>
      <w:pPr>
        <w:pStyle w:val="Heading2"/>
      </w:pPr>
      <w:r>
        <w:t>Kosteffektivität konservativer Sauerstofftherapie bei beatmeten Intensivpatienten</w:t>
      </w:r>
    </w:p>
    <w:p>
      <w:r>
        <w:rPr>
          <w:i/>
          <w:color w:val="666666"/>
          <w:sz w:val="18"/>
        </w:rPr>
        <w:t>Zhu Z et al.  ·  Value Health  ·  01.10.2026  ·  PMID 42822832</w:t>
      </w:r>
    </w:p>
    <w:p>
      <w:r>
        <w:t>Eine ökonomische Evaluation der UK-ROX-Studie verglich konservative versus übliche Sauerstofftherapie bei invasiv beatmeten Patienten hinsichtlich Kosten, Lebensqualität und QALY-Gewinne über 90 Tage.</w:t>
      </w:r>
    </w:p>
    <w:p>
      <w:r>
        <w:rPr>
          <w:b/>
        </w:rPr>
        <w:t xml:space="preserve">Ergebnis: </w:t>
      </w:r>
      <w:r>
        <w:t>Konservative Sauerstofftherapie war kostensparend (inkrementelle Kosten −968 £, 95% KI −2279–342 £) mit ähnlichen QALY-Gewinnen (inkrementell 0,001, 95% KI −0,002–0,003); das inkrementelle Nettomonetäre Benefit betrug 979 £, beide Schätzungen aber mit erheblicher Unsicherheit.</w:t>
      </w:r>
    </w:p>
    <w:p>
      <w:r>
        <w:rPr>
          <w:b/>
          <w:sz w:val="19"/>
        </w:rPr>
        <w:t xml:space="preserve">Übertragbarkeit: </w:t>
      </w:r>
      <w:r>
        <w:rPr>
          <w:sz w:val="19"/>
        </w:rPr>
        <w:t>UK-Daten; Fragestellung zu ICU-Managementprozessen und Kosteneffektivität systemunabhängig bedeutsam</w:t>
      </w:r>
    </w:p>
    <w:p>
      <w:r>
        <w:rPr>
          <w:color w:val="5A7D3A"/>
          <w:sz w:val="18"/>
        </w:rPr>
        <w:t>https://pubmed.ncbi.nlm.nih.gov/42822832/</w:t>
      </w:r>
    </w:p>
    <w:p>
      <w:pPr>
        <w:pStyle w:val="Heading2"/>
      </w:pPr>
      <w:r>
        <w:t>Sonelokimab bei moderater bis schwerer Hidradenitis suppurativa</w:t>
      </w:r>
    </w:p>
    <w:p>
      <w:r>
        <w:rPr>
          <w:i/>
          <w:color w:val="666666"/>
          <w:sz w:val="18"/>
        </w:rPr>
        <w:t>Kimball AB et al.  ·  J Am Acad Dermatol  ·  01.10.2026  ·  PMID 42822776</w:t>
      </w:r>
    </w:p>
    <w:p>
      <w:r>
        <w:t>Phase-2-Studie (MIRA) zur Wirksamkeit und Sicherheit des IL-17A/F-inhibierenden Nanobody Sonelokimab versus Placebo bei 234 Patienten mit Hidradenitis suppurativa.</w:t>
      </w:r>
    </w:p>
    <w:p>
      <w:r>
        <w:rPr>
          <w:b/>
        </w:rPr>
        <w:t xml:space="preserve">Ergebnis: </w:t>
      </w:r>
      <w:r>
        <w:t>Sonelokimab 120 mg erreichte HiSCR75 bei 43% (p&lt;0,001) und 240 mg bei 35% (p=0,007) versus Placebo 15%; Placebo-adjustierte Response bei Woche 12 und Erhalt oder Verbesserung bis Woche 24; keine neuen Sicherheitssignale.</w:t>
      </w:r>
    </w:p>
    <w:p>
      <w:r>
        <w:rPr>
          <w:b/>
          <w:sz w:val="19"/>
        </w:rPr>
        <w:t xml:space="preserve">Übertragbarkeit: </w:t>
      </w:r>
      <w:r>
        <w:rPr>
          <w:sz w:val="19"/>
        </w:rPr>
        <w:t>Internationale Studie; neue therapeutische Option, Fragestellung zur klinischen Wirksamkeit systemunabhängig</w:t>
      </w:r>
    </w:p>
    <w:p>
      <w:r>
        <w:rPr>
          <w:color w:val="5A7D3A"/>
          <w:sz w:val="18"/>
        </w:rPr>
        <w:t>https://pubmed.ncbi.nlm.nih.gov/42822776/</w:t>
      </w:r>
    </w:p>
    <w:p>
      <w:pPr>
        <w:pStyle w:val="Heading2"/>
      </w:pPr>
      <w:r>
        <w:t>Insulindosierung im Alltag: Kohlenhydratberechnung bei Typ-1-Diabetes</w:t>
      </w:r>
    </w:p>
    <w:p>
      <w:r>
        <w:rPr>
          <w:i/>
          <w:color w:val="666666"/>
          <w:sz w:val="18"/>
        </w:rPr>
        <w:t>Everett EM et al.  ·  Endocr Pract  ·  01.10.2026  ·  PMID 42822598</w:t>
      </w:r>
    </w:p>
    <w:p>
      <w:r>
        <w:t>Versorgungsforschungsstudie mit 903 Erwachsenen mit Typ-1-Diabetes zur Charakterisierung realer Insulindosierungsstrategien, Abweichungen zwischen Patientenangaben und dokumentierten Vorgaben sowie Nutzung von Smartphone-Apps zur Kohlenhydratberechnung.</w:t>
      </w:r>
    </w:p>
    <w:p>
      <w:r>
        <w:rPr>
          <w:b/>
        </w:rPr>
        <w:t xml:space="preserve">Ergebnis: </w:t>
      </w:r>
      <w:r>
        <w:t>54% berichteten Kohlenhydratberechnung, 39% erfahrungsbasierte Schätzung, 2% Festdosierung; HbA1c unterschied sich nicht zwischen Strategien; 51% nutzten Apps niemals; Hauptbarrieren waren Memorisation häufiger Lebensmittel und wahrgenommene Zeitbelastung.</w:t>
      </w:r>
    </w:p>
    <w:p>
      <w:r>
        <w:rPr>
          <w:b/>
          <w:sz w:val="19"/>
        </w:rPr>
        <w:t xml:space="preserve">Übertragbarkeit: </w:t>
      </w:r>
      <w:r>
        <w:rPr>
          <w:sz w:val="19"/>
        </w:rPr>
        <w:t>USA, aber Versorgungsforschung zu praktischen Diabetesmanagement-Strategien und Patient-Reported-Outcomes übertragbar</w:t>
      </w:r>
    </w:p>
    <w:p>
      <w:r>
        <w:rPr>
          <w:color w:val="5A7D3A"/>
          <w:sz w:val="18"/>
        </w:rPr>
        <w:t>https://pubmed.ncbi.nlm.nih.gov/42822598/</w:t>
      </w:r>
    </w:p>
    <w:p>
      <w:pPr>
        <w:pStyle w:val="Heading2"/>
      </w:pPr>
      <w:r>
        <w:t>Virtual Nursing in der Notaufnahme: Dokumentation und Unterbrechungen</w:t>
      </w:r>
    </w:p>
    <w:p>
      <w:r>
        <w:rPr>
          <w:i/>
          <w:color w:val="666666"/>
          <w:sz w:val="18"/>
        </w:rPr>
        <w:t>Khairat S et al.  ·  J Am Med Inform Assoc  ·  01.10.2026  ·  PMID 42821433</w:t>
      </w:r>
    </w:p>
    <w:p>
      <w:r>
        <w:t>Nicht-randomisierte Kohortenstudie zur Auswirkung von Virtual Nursing auf Dokumentationsvollständigkeit, Aufnahmeuntersuchungsdauer und Arbeitsunterbrechungen bei stationär aufgenommenen Patienten.</w:t>
      </w:r>
    </w:p>
    <w:p>
      <w:r>
        <w:rPr>
          <w:b/>
        </w:rPr>
        <w:t xml:space="preserve">Ergebnis: </w:t>
      </w:r>
      <w:r>
        <w:t>Virtual Nursing war mit 3,16 Minuten längerer Aufnahmedauer verbunden, aber signifikant mehr abgeschlossenen Aufnahmeuntersuchungsaufgaben und signifikant weniger Unterbrechungen im Vergleich zu persönlichen Aufnahmen.</w:t>
      </w:r>
    </w:p>
    <w:p>
      <w:r>
        <w:rPr>
          <w:b/>
          <w:sz w:val="19"/>
        </w:rPr>
        <w:t xml:space="preserve">Übertragbarkeit: </w:t>
      </w:r>
      <w:r>
        <w:rPr>
          <w:sz w:val="19"/>
        </w:rPr>
        <w:t>USA; Versorgungsprozess und Workflow-Optimierung systemunabhängig relevant</w:t>
      </w:r>
    </w:p>
    <w:p>
      <w:r>
        <w:rPr>
          <w:color w:val="5A7D3A"/>
          <w:sz w:val="18"/>
        </w:rPr>
        <w:t>https://pubmed.ncbi.nlm.nih.gov/42821433/</w:t>
      </w:r>
    </w:p>
    <w:p>
      <w:pPr>
        <w:pStyle w:val="Heading2"/>
      </w:pPr>
      <w:r>
        <w:t>Tuberkulöse Spondylodiszitis in Deutschland: Epidemiologie und Verlauf</w:t>
      </w:r>
    </w:p>
    <w:p>
      <w:r>
        <w:rPr>
          <w:i/>
          <w:color w:val="666666"/>
          <w:sz w:val="18"/>
        </w:rPr>
        <w:t>Lang S et al.  ·  Global Spine J  ·  01.10.2026  ·  PMID 42820646</w:t>
      </w:r>
    </w:p>
    <w:p>
      <w:r>
        <w:t>Bevölkerungsgestützte DRG-Analyse zur stationären Last, Behandlungsmuster und Krankenhaussterblichkeit der spinalen Tuberkulose in Deutschland 2019–2025 während demografischen Wandels.</w:t>
      </w:r>
    </w:p>
    <w:p>
      <w:r>
        <w:rPr>
          <w:b/>
        </w:rPr>
        <w:t xml:space="preserve">Ergebnis: </w:t>
      </w:r>
      <w:r>
        <w:t>Stabile Hospitalisierungsraten (ASR 0,11–0,14/100.000; APC −3,1%, p=0,14); überwiegend männliche Patienten (70,3%), Alter 18–39 Jahre (56–69%); Krankenhausfallletalität &lt;0,5%; keine Erhöhung trotz 43% Anstieg der ausländischen Bevölkerung; operative DRG-Zuweisung variabel (13,5–42,2%).</w:t>
      </w:r>
    </w:p>
    <w:p>
      <w:r>
        <w:rPr>
          <w:b/>
          <w:sz w:val="19"/>
        </w:rPr>
        <w:t xml:space="preserve">Übertragbarkeit: </w:t>
      </w:r>
      <w:r>
        <w:rPr>
          <w:sz w:val="19"/>
        </w:rPr>
        <w:t>Deutsche Routinedaten; epidemiologisch und systemisch direkt anwendbar</w:t>
      </w:r>
    </w:p>
    <w:p>
      <w:r>
        <w:rPr>
          <w:color w:val="5A7D3A"/>
          <w:sz w:val="18"/>
        </w:rPr>
        <w:t>https://pubmed.ncbi.nlm.nih.gov/42820646/</w:t>
      </w:r>
    </w:p>
    <w:p>
      <w:pPr>
        <w:pStyle w:val="Heading2"/>
      </w:pPr>
      <w:r>
        <w:t>Psychische Anpassung an Stigma bei Hauterkrankungen im jungen Erwachsenenalter</w:t>
      </w:r>
    </w:p>
    <w:p>
      <w:r>
        <w:rPr>
          <w:i/>
          <w:color w:val="666666"/>
          <w:sz w:val="18"/>
        </w:rPr>
        <w:t>Stuhlmann CFZ et al.  ·  Br J Health Psychol  ·  Nov. 2026  ·  PMID 42820641</w:t>
      </w:r>
    </w:p>
    <w:p>
      <w:r>
        <w:t>Querschnittstudie mit 195 jungen Erwachsenen (Psoriasis 55%, atopische Dermatitis 23%, Hidradenitis suppurativa 22%) zu indirekten Effekten internalisierter Stigma in der Beziehung zwischen sozialer Stigma und psychosozialer Anpassung.</w:t>
      </w:r>
    </w:p>
    <w:p>
      <w:r>
        <w:rPr>
          <w:b/>
        </w:rPr>
        <w:t xml:space="preserve">Ergebnis: </w:t>
      </w:r>
      <w:r>
        <w:t>Signifikante indirekte Effekte internalisierter Stigma auf Beziehungen zwischen sozialer Stigma und allen Anpassungsergebnissen (p's&lt;0,01, R²=0,10–0,64); internalisierte Stigma als zentraler Treiber psychischer Belastung, Sozialsymptome und Aktivitätsreduktion.</w:t>
      </w:r>
    </w:p>
    <w:p>
      <w:r>
        <w:rPr>
          <w:b/>
          <w:sz w:val="19"/>
        </w:rPr>
        <w:t xml:space="preserve">Übertragbarkeit: </w:t>
      </w:r>
      <w:r>
        <w:rPr>
          <w:sz w:val="19"/>
        </w:rPr>
        <w:t>Deutschland (Hamburg); hochgradig übertragbar auf deutsches Versorgungssystem</w:t>
      </w:r>
    </w:p>
    <w:p>
      <w:r>
        <w:rPr>
          <w:color w:val="5A7D3A"/>
          <w:sz w:val="18"/>
        </w:rPr>
        <w:t>https://pubmed.ncbi.nlm.nih.gov/42820641/</w:t>
      </w:r>
    </w:p>
    <w:p>
      <w:pPr>
        <w:pStyle w:val="Heading1"/>
      </w:pPr>
      <w:r>
        <w:t>Aufgenommen am 01.10.2026</w:t>
      </w:r>
    </w:p>
    <w:p>
      <w:pPr>
        <w:pStyle w:val="Heading2"/>
      </w:pPr>
      <w:r>
        <w:t>Psychometric validation of German Self-efficacy Scale in hip arthroplasty patients</w:t>
      </w:r>
    </w:p>
    <w:p>
      <w:r>
        <w:rPr>
          <w:i/>
          <w:color w:val="666666"/>
          <w:sz w:val="18"/>
        </w:rPr>
        <w:t>Mooiweer Y et al.  ·  Z Evid Fortbild Qual Gesundhwes  ·  30.09.2026  ·  PMID 42816197</w:t>
      </w:r>
    </w:p>
    <w:p>
      <w:r>
        <w:t>Studie validierte die German Self-efficacy Expectation Scale (SES-G) als Messinstrument für Selbsteffizienz bei Patienten mit Hüftgelenksersatz.</w:t>
      </w:r>
    </w:p>
    <w:p>
      <w:r>
        <w:rPr>
          <w:b/>
        </w:rPr>
        <w:t xml:space="preserve">Ergebnis: </w:t>
      </w:r>
      <w:r>
        <w:t>Exploratory Faktor-Analyse zeigte 3 Komponenten, erklärt 75% der Varianz; interne Konsistenz (MacDonald's Omega = 0,81) und Test-Retest-Reliabilität (ICC 0,71) waren gut; 80% der Hypothesen zur Konstruktvalidität bestätigt. SES-G ist valides und reliables Instrument.</w:t>
      </w:r>
    </w:p>
    <w:p>
      <w:r>
        <w:rPr>
          <w:b/>
          <w:sz w:val="19"/>
        </w:rPr>
        <w:t xml:space="preserve">Übertragbarkeit: </w:t>
      </w:r>
      <w:r>
        <w:rPr>
          <w:sz w:val="19"/>
        </w:rPr>
        <w:t>Deutschland, validierte Messskala für deutschsprachige Patienten</w:t>
      </w:r>
    </w:p>
    <w:p>
      <w:r>
        <w:rPr>
          <w:color w:val="5A7D3A"/>
          <w:sz w:val="18"/>
        </w:rPr>
        <w:t>https://pubmed.ncbi.nlm.nih.gov/42816197/</w:t>
      </w:r>
    </w:p>
    <w:p>
      <w:pPr>
        <w:pStyle w:val="Heading2"/>
      </w:pPr>
      <w:r>
        <w:t>Quality improvement für Familienplanung im Wochenbett in Äthiopien</w:t>
      </w:r>
    </w:p>
    <w:p>
      <w:r>
        <w:rPr>
          <w:i/>
          <w:color w:val="666666"/>
          <w:sz w:val="18"/>
        </w:rPr>
        <w:t>Tesfaye B et al.  ·  BMJ Open Qual  ·  30.09.2026  ·  PMID 42816055</w:t>
      </w:r>
    </w:p>
    <w:p>
      <w:r>
        <w:t>Qualitätsverbesserungsprojekt mit PDSA-Zyklen zur Steigerung der unmittelbaren postpartalen Familienplanung in einem äthiopischen Lehrkrankenhaus.</w:t>
      </w:r>
    </w:p>
    <w:p>
      <w:r>
        <w:rPr>
          <w:b/>
        </w:rPr>
        <w:t xml:space="preserve">Ergebnis: </w:t>
      </w:r>
      <w:r>
        <w:t>Uptake der postpartalen Familienplanung stieg von 10,2% auf 45,8% über 14 Wochen; Implantate waren die häufigste Methode (54,2%); Hürden waren mangelhafte Beratung, begrenzte Fortbildung und schlechte Dokumentation.</w:t>
      </w:r>
    </w:p>
    <w:p>
      <w:r>
        <w:rPr>
          <w:b/>
          <w:sz w:val="19"/>
        </w:rPr>
        <w:t xml:space="preserve">Übertragbarkeit: </w:t>
      </w:r>
      <w:r>
        <w:rPr>
          <w:sz w:val="19"/>
        </w:rPr>
        <w:t>Nur bedingt übertragbar, Gesundheitssystem mit stark unterschiedlicher Ressourcenlage</w:t>
      </w:r>
    </w:p>
    <w:p>
      <w:r>
        <w:rPr>
          <w:color w:val="5A7D3A"/>
          <w:sz w:val="18"/>
        </w:rPr>
        <w:t>https://pubmed.ncbi.nlm.nih.gov/42816055/</w:t>
      </w:r>
    </w:p>
    <w:p>
      <w:pPr>
        <w:pStyle w:val="Heading2"/>
      </w:pPr>
      <w:r>
        <w:t>Generative KI-Adoption in psychotherapeutischer Praxis</w:t>
      </w:r>
    </w:p>
    <w:p>
      <w:r>
        <w:rPr>
          <w:i/>
          <w:color w:val="666666"/>
          <w:sz w:val="18"/>
        </w:rPr>
        <w:t>Blease C et al.  ·  JMIR Ment Health  ·  30.09.2026  ·  PMID 42815888</w:t>
      </w:r>
    </w:p>
    <w:p>
      <w:r>
        <w:t>Internationale Querschnittsstudie zu aktueller Nutzung von Generative-AI-Tools (ChatGPT, Gemini, Copilot) durch Psychotherapeuten in 30 Ländern.</w:t>
      </w:r>
    </w:p>
    <w:p>
      <w:r>
        <w:rPr>
          <w:b/>
        </w:rPr>
        <w:t xml:space="preserve">Ergebnis: </w:t>
      </w:r>
      <w:r>
        <w:t>54,6% (n=418/766) nutzen mindestens ein GenAI-Tool klinisch; ChatGPT am häufigsten (84,7%); Top-Anwendungen: Behandlungsplanung (41,9%), Administrative Aufgaben (41,4%), Psychoedukation (39,7%); 82,8% berichten Arbeitsbelastungsreduktion; nur 18,1% erhielten institutionelle Förderung; 81,1% erhielten keine AI-Fortbildung.</w:t>
      </w:r>
    </w:p>
    <w:p>
      <w:r>
        <w:rPr>
          <w:b/>
          <w:sz w:val="19"/>
        </w:rPr>
        <w:t xml:space="preserve">Übertragbarkeit: </w:t>
      </w:r>
      <w:r>
        <w:rPr>
          <w:sz w:val="19"/>
        </w:rPr>
        <w:t>Systemunabhängig, Fachfrage zu Technologieeinsatz in Praxis global relevant</w:t>
      </w:r>
    </w:p>
    <w:p>
      <w:r>
        <w:rPr>
          <w:color w:val="5A7D3A"/>
          <w:sz w:val="18"/>
        </w:rPr>
        <w:t>https://pubmed.ncbi.nlm.nih.gov/42815888/</w:t>
      </w:r>
    </w:p>
    <w:p>
      <w:pPr>
        <w:pStyle w:val="Heading2"/>
      </w:pPr>
      <w:r>
        <w:t>Discrete Choice Experiment zu Präferenzen für Carrier Screening in Singapur</w:t>
      </w:r>
    </w:p>
    <w:p>
      <w:r>
        <w:rPr>
          <w:i/>
          <w:color w:val="666666"/>
          <w:sz w:val="18"/>
        </w:rPr>
        <w:t>Blythe R et al.  ·  Patient  ·  30.09.2026  ·  PMID 42814378</w:t>
      </w:r>
    </w:p>
    <w:p>
      <w:r>
        <w:t>Stated-Preference-Studie mit 500 Singapurern zu bevorzugten Merkmalen eines nationalen Carrier-Screening-Programms für genetische Erkrankungen.</w:t>
      </w:r>
    </w:p>
    <w:p>
      <w:r>
        <w:rPr>
          <w:b/>
        </w:rPr>
        <w:t xml:space="preserve">Ergebnis: </w:t>
      </w:r>
      <w:r>
        <w:t>Bevorzugte niedrigere Kosten, breitere Krankheitspanels und kürzere Wartezeiten; vorhergesagte Uptake 85-90% kostenlos, 61-69% bei Zuzahlung von $1.200; nationale Budgetauswirkungen &lt;$13,1 Mio./Jahr abhängig von Programmdesign.</w:t>
      </w:r>
    </w:p>
    <w:p>
      <w:r>
        <w:rPr>
          <w:b/>
          <w:sz w:val="19"/>
        </w:rPr>
        <w:t xml:space="preserve">Übertragbarkeit: </w:t>
      </w:r>
      <w:r>
        <w:rPr>
          <w:sz w:val="19"/>
        </w:rPr>
        <w:t>Singapur, transferierbar für Screening-Programmgestaltung in ähnlichen Systemen</w:t>
      </w:r>
    </w:p>
    <w:p>
      <w:r>
        <w:rPr>
          <w:color w:val="5A7D3A"/>
          <w:sz w:val="18"/>
        </w:rPr>
        <w:t>https://pubmed.ncbi.nlm.nih.gov/42814378/</w:t>
      </w:r>
    </w:p>
    <w:p>
      <w:pPr>
        <w:pStyle w:val="Heading2"/>
      </w:pPr>
      <w:r>
        <w:t>Migräne-Versorgungslücke: qualitative Patientenperspektive</w:t>
      </w:r>
    </w:p>
    <w:p>
      <w:r>
        <w:rPr>
          <w:i/>
          <w:color w:val="666666"/>
          <w:sz w:val="18"/>
        </w:rPr>
        <w:t>Göbel CH et al.  ·  Pain Ther  ·  30.09.2026  ·  PMID 42814346</w:t>
      </w:r>
    </w:p>
    <w:p>
      <w:r>
        <w:t>Qualitative reflexive thematische Analyse von 446 Instagram/Facebook-Kommentaren zur Wahrnehmung von Migräne-Versorgung über 12 Jahre.</w:t>
      </w:r>
    </w:p>
    <w:p>
      <w:r>
        <w:rPr>
          <w:b/>
        </w:rPr>
        <w:t xml:space="preserve">Ergebnis: </w:t>
      </w:r>
      <w:r>
        <w:t>Patienten bestätigen medizinische Fortschritte (Migräne-spezifische Therapien, CGRP-Inhibitoren, spezialisierte Services), erleben diese aber als unvollständig umgesetzt; persistente Barrieren: Diagnoseverzögerung, ungleicher Zugang zu Spezialisten, Rückerstattungsbeschränkungen, Stigma, begrenzte gesellschaftliche Anerkennung. Kernkonzept: Migraine Care Gap zwischen biomedizinischer Innovation und Versorgungspraxis.</w:t>
      </w:r>
    </w:p>
    <w:p>
      <w:r>
        <w:rPr>
          <w:b/>
          <w:sz w:val="19"/>
        </w:rPr>
        <w:t xml:space="preserve">Übertragbarkeit: </w:t>
      </w:r>
      <w:r>
        <w:rPr>
          <w:sz w:val="19"/>
        </w:rPr>
        <w:t>Deutschland, Versorgungsforschung zu Patientenerleben von Innovationstransfer</w:t>
      </w:r>
    </w:p>
    <w:p>
      <w:r>
        <w:rPr>
          <w:color w:val="5A7D3A"/>
          <w:sz w:val="18"/>
        </w:rPr>
        <w:t>https://pubmed.ncbi.nlm.nih.gov/42814346/</w:t>
      </w:r>
    </w:p>
    <w:p>
      <w:pPr>
        <w:pStyle w:val="Heading2"/>
      </w:pPr>
      <w:r>
        <w:t>Kontextfaktoren und depressive Symptome: Postleitzahl-Datenverknüpfung in Deutschland</w:t>
      </w:r>
    </w:p>
    <w:p>
      <w:r>
        <w:rPr>
          <w:i/>
          <w:color w:val="666666"/>
          <w:sz w:val="18"/>
        </w:rPr>
        <w:t>Schoenweger P et al.  ·  Eur Arch Psychiatry Clin Neurosci  ·  30.09.2026  ·  PMID 42814112</w:t>
      </w:r>
    </w:p>
    <w:p>
      <w:r>
        <w:t>Querschnittsstudie, die individuelle POKAL-Umfragedaten (n=2.323) mit deutschen Routinedaten auf Postleitzahl-Ebene zu Depression verknüpfte.</w:t>
      </w:r>
    </w:p>
    <w:p>
      <w:r>
        <w:rPr>
          <w:b/>
        </w:rPr>
        <w:t xml:space="preserve">Ergebnis: </w:t>
      </w:r>
      <w:r>
        <w:t>Kontextfaktoren verbesserten Modellfit (AICc=13.640,80 vs. 13.718,24 nur Demografie); Area-level Deprivation zeigte beste einzelne Anpassung; Datenverknüpfung ist ressourcenschonend und technisch umsetzbar in German health research infrastructure. Räumliche Auflösung entscheidend für Assoziation.</w:t>
      </w:r>
    </w:p>
    <w:p>
      <w:r>
        <w:rPr>
          <w:b/>
          <w:sz w:val="19"/>
        </w:rPr>
        <w:t xml:space="preserve">Übertragbarkeit: </w:t>
      </w:r>
      <w:r>
        <w:rPr>
          <w:sz w:val="19"/>
        </w:rPr>
        <w:t>Deutsche Routinedaten, gesetzlich Versicherte, Versorgungsforschungs-Infrastruktur</w:t>
      </w:r>
    </w:p>
    <w:p>
      <w:r>
        <w:rPr>
          <w:color w:val="5A7D3A"/>
          <w:sz w:val="18"/>
        </w:rPr>
        <w:t>https://pubmed.ncbi.nlm.nih.gov/42814112/</w:t>
      </w:r>
    </w:p>
    <w:p>
      <w:pPr>
        <w:pStyle w:val="Heading1"/>
      </w:pPr>
      <w:r>
        <w:t>Aufgenommen am 30.09.2026</w:t>
      </w:r>
    </w:p>
    <w:p>
      <w:pPr>
        <w:pStyle w:val="Heading2"/>
      </w:pPr>
      <w:r>
        <w:t>Digitalisierung und Krankenhausperformance: Einfluss der elektronischen Dokumentation</w:t>
      </w:r>
    </w:p>
    <w:p>
      <w:r>
        <w:rPr>
          <w:i/>
          <w:color w:val="666666"/>
          <w:sz w:val="18"/>
        </w:rPr>
        <w:t>Remus P et al.  ·  J Med Internet Res  ·  29.09.2026  ·  PMID 42809839</w:t>
      </w:r>
    </w:p>
    <w:p>
      <w:r>
        <w:t>Longitudinale Analyse der Zusammenhänge zwischen technischer Digitalisierungsreife und finanziellen, operativen und Personalindikatoren in 70 niederländischen Krankenhäusern (2017–2023).</w:t>
      </w:r>
    </w:p>
    <w:p>
      <w:r>
        <w:rPr>
          <w:b/>
        </w:rPr>
        <w:t xml:space="preserve">Ergebnis: </w:t>
      </w:r>
      <w:r>
        <w:t>Fortgeschrittene digitale Reife war nicht signifikant mit verbesserter Profitabilität, Patientenvolumen oder Mitarbeiterfluktuation assoziiert (alle p&gt;0,05 nach Bonferroni-Korrektur); die Daten stützen das IT-Produktivitätsparadox.</w:t>
      </w:r>
    </w:p>
    <w:p>
      <w:r>
        <w:rPr>
          <w:b/>
          <w:sz w:val="19"/>
        </w:rPr>
        <w:t xml:space="preserve">Übertragbarkeit: </w:t>
      </w:r>
      <w:r>
        <w:rPr>
          <w:sz w:val="19"/>
        </w:rPr>
        <w:t>Niederlande, Sozialversicherungssystem mit Beitragsfinanzierung, vergleichbar mit Deutschland.</w:t>
      </w:r>
    </w:p>
    <w:p>
      <w:r>
        <w:rPr>
          <w:color w:val="5A7D3A"/>
          <w:sz w:val="18"/>
        </w:rPr>
        <w:t>https://pubmed.ncbi.nlm.nih.gov/42809839/</w:t>
      </w:r>
    </w:p>
    <w:p>
      <w:pPr>
        <w:pStyle w:val="Heading2"/>
      </w:pPr>
      <w:r>
        <w:t>Zeitbelastung (Time Toxicity) in der Krebsversorgung: Systematische Übersicht</w:t>
      </w:r>
    </w:p>
    <w:p>
      <w:r>
        <w:rPr>
          <w:i/>
          <w:color w:val="666666"/>
          <w:sz w:val="18"/>
        </w:rPr>
        <w:t>Wee IJY et al.  ·  Support Care Cancer  ·  29.09.2026  ·  PMID 42809115</w:t>
      </w:r>
    </w:p>
    <w:p>
      <w:r>
        <w:t>Systematische Übersicht von 56 Studien zur Definition und Messung der Zeitbelastung in der Krebsbehandlung (Inception bis März 2026).</w:t>
      </w:r>
    </w:p>
    <w:p>
      <w:r>
        <w:rPr>
          <w:b/>
        </w:rPr>
        <w:t xml:space="preserve">Ergebnis: </w:t>
      </w:r>
      <w:r>
        <w:t>Definitionen waren heterogen; 55,4 % definierten Zeitbelastung als direkte Gesundheitszeiten (Klinikbesuche, Behandlungen), 35,7 % als Zeit ohne Gesundheitswesen; nur 0 Studien nutzten Patientenperspektiven; systematisch sind noch prozessorientierte und patientenzentrierte Dimensionen unterrepräsentiert.</w:t>
      </w:r>
    </w:p>
    <w:p>
      <w:r>
        <w:rPr>
          <w:b/>
          <w:sz w:val="19"/>
        </w:rPr>
        <w:t xml:space="preserve">Übertragbarkeit: </w:t>
      </w:r>
      <w:r>
        <w:rPr>
          <w:sz w:val="19"/>
        </w:rPr>
        <w:t>Systemübergreifend relevant; Konzeptualisierung und Messqualität unabhängig von Landkontext.</w:t>
      </w:r>
    </w:p>
    <w:p>
      <w:r>
        <w:rPr>
          <w:color w:val="5A7D3A"/>
          <w:sz w:val="18"/>
        </w:rPr>
        <w:t>https://pubmed.ncbi.nlm.nih.gov/42809115/</w:t>
      </w:r>
    </w:p>
    <w:p>
      <w:pPr>
        <w:pStyle w:val="Heading2"/>
      </w:pPr>
      <w:r>
        <w:t>Kompetenzbasiertes Curriculum Allgemeinmedizin im Block-Praktikum: Lückenanalyse</w:t>
      </w:r>
    </w:p>
    <w:p>
      <w:r>
        <w:rPr>
          <w:i/>
          <w:color w:val="666666"/>
          <w:sz w:val="18"/>
        </w:rPr>
        <w:t>Schüle D et al.  ·  GMS J Med Educ  ·  15.09.2026  ·  PMID 42807621</w:t>
      </w:r>
    </w:p>
    <w:p>
      <w:r>
        <w:t>Gemischte Methoden-Studie an einem deutschen Universitätskrankenhaus zur Bewertung und Neukonzeption eines zweiwöchigen Allgemeinmedizin-Blockpraktikums anhand von NKLM 2.0 und EPAs.</w:t>
      </w:r>
    </w:p>
    <w:p>
      <w:r>
        <w:rPr>
          <w:b/>
        </w:rPr>
        <w:t xml:space="preserve">Ergebnis: </w:t>
      </w:r>
      <w:r>
        <w:t>Aktuelles Praktikum erreichte Gesamtnote 1,8 (SD 1,06), erhöhte das Interesse an Allgemeinmedizin aber nicht signifikant; fehlten: interprofessionelle Zusammenarbeit, Führungskompetenzen; vorgeschlagen wurde sechswöchiges longitudinales Modell mit Simulation und Hospitationen.</w:t>
      </w:r>
    </w:p>
    <w:p>
      <w:r>
        <w:rPr>
          <w:b/>
          <w:sz w:val="19"/>
        </w:rPr>
        <w:t xml:space="preserve">Übertragbarkeit: </w:t>
      </w:r>
      <w:r>
        <w:rPr>
          <w:sz w:val="19"/>
        </w:rPr>
        <w:t>Deutschland, Fokus auf medizinische Ausbildung und Lehrqualität.</w:t>
      </w:r>
    </w:p>
    <w:p>
      <w:r>
        <w:rPr>
          <w:color w:val="5A7D3A"/>
          <w:sz w:val="18"/>
        </w:rPr>
        <w:t>https://pubmed.ncbi.nlm.nih.gov/42807621/</w:t>
      </w:r>
    </w:p>
    <w:p>
      <w:pPr>
        <w:pStyle w:val="Heading2"/>
      </w:pPr>
      <w:r>
        <w:t>VISIONARA: Dezentrales kompetenzbasiertes Lernmodell in Hausarztpraxen</w:t>
      </w:r>
    </w:p>
    <w:p>
      <w:r>
        <w:rPr>
          <w:i/>
          <w:color w:val="666666"/>
          <w:sz w:val="18"/>
        </w:rPr>
        <w:t>Lübbert J et al.  ·  GMS J Med Educ  ·  15.09.2026  ·  PMID 42807235</w:t>
      </w:r>
    </w:p>
    <w:p>
      <w:r>
        <w:t>Konzeptentwicklung und geplante Pilotierung eines Programms für akademische Lehrpraxen (MRC-Framework), das strukturiertes kompetenzbasiertes Lernen direkt in den Versorgungsalltag der Allgemeinmedizin integriert.</w:t>
      </w:r>
    </w:p>
    <w:p>
      <w:r>
        <w:rPr>
          <w:b/>
        </w:rPr>
        <w:t xml:space="preserve">Ergebnis: </w:t>
      </w:r>
      <w:r>
        <w:t>Konzeptphase abgeschlossen; geplante Pilotphase wird Machbarkeit, Akzeptanz und Integrierbarkeit in Routinepraxen prüfen sowie personelle Ressourcen, Patientenzustimmung und logistische Hürden evaluieren.</w:t>
      </w:r>
    </w:p>
    <w:p>
      <w:r>
        <w:rPr>
          <w:b/>
          <w:sz w:val="19"/>
        </w:rPr>
        <w:t xml:space="preserve">Übertragbarkeit: </w:t>
      </w:r>
      <w:r>
        <w:rPr>
          <w:sz w:val="19"/>
        </w:rPr>
        <w:t>Deutschland, Modell für Primärversorgung und ärztliche Ausbildung direkt vor Ort.</w:t>
      </w:r>
    </w:p>
    <w:p>
      <w:r>
        <w:rPr>
          <w:color w:val="5A7D3A"/>
          <w:sz w:val="18"/>
        </w:rPr>
        <w:t>https://pubmed.ncbi.nlm.nih.gov/42807235/</w:t>
      </w:r>
    </w:p>
    <w:p>
      <w:pPr>
        <w:pStyle w:val="Heading2"/>
      </w:pPr>
      <w:r>
        <w:t>Facharztprüfung Allgemeinmedizin: Perspektiven von Prüfenden</w:t>
      </w:r>
    </w:p>
    <w:p>
      <w:r>
        <w:rPr>
          <w:i/>
          <w:color w:val="666666"/>
          <w:sz w:val="18"/>
        </w:rPr>
        <w:t>Dreher AC et al.  ·  GMS J Med Educ  ·  15.09.2026  ·  PMID 42807223</w:t>
      </w:r>
    </w:p>
    <w:p>
      <w:r>
        <w:t>Qualitative Explorationsstudie mit 12 Prüfenden aus 6 Bundesländern zu Stärken, Schwächen und Weiterentwicklungspotenzial der mündlichen Facharztprüfung.</w:t>
      </w:r>
    </w:p>
    <w:p>
      <w:r>
        <w:rPr>
          <w:b/>
        </w:rPr>
        <w:t xml:space="preserve">Ergebnis: </w:t>
      </w:r>
      <w:r>
        <w:t>Prüfende beschrieben Stärken: Mindeststandard-Sicherung, Effizienz; Schwächen: begrenzte Aussagekraft für komplexe Handlungskompetenzen; Verbesserungen: Prüfendenschulungen, gemeinsame Erwartungshorizonte, praktische Prüfungskomponenten, longitudinale Assessments.</w:t>
      </w:r>
    </w:p>
    <w:p>
      <w:r>
        <w:rPr>
          <w:b/>
          <w:sz w:val="19"/>
        </w:rPr>
        <w:t xml:space="preserve">Übertragbarkeit: </w:t>
      </w:r>
      <w:r>
        <w:rPr>
          <w:sz w:val="19"/>
        </w:rPr>
        <w:t>Deutschland, direkt auf Facharztausbildung und Qualitätssicherung bezogen.</w:t>
      </w:r>
    </w:p>
    <w:p>
      <w:r>
        <w:rPr>
          <w:color w:val="5A7D3A"/>
          <w:sz w:val="18"/>
        </w:rPr>
        <w:t>https://pubmed.ncbi.nlm.nih.gov/42807223/</w:t>
      </w:r>
    </w:p>
    <w:p>
      <w:pPr>
        <w:pStyle w:val="Heading2"/>
      </w:pPr>
      <w:r>
        <w:t>Früherkennung und Reha bei Muskelskelettstörungen reduzieren Arbeitsunfähigkeit?</w:t>
      </w:r>
    </w:p>
    <w:p>
      <w:r>
        <w:rPr>
          <w:i/>
          <w:color w:val="666666"/>
          <w:sz w:val="18"/>
        </w:rPr>
        <w:t>Bornhöft L et al.  ·  BMC Health Serv Res  ·  26.09.2026  ·  PMID 42806350</w:t>
      </w:r>
    </w:p>
    <w:p>
      <w:r>
        <w:t>Ökonomische Analyse eines randomisierten Vergleichs zwischen teambasierter Primärversorgungsrehabilitation und Standardversorgung für Patienten mit erhöhtem Fehlzeitrisiko in Schweden (N=526).</w:t>
      </w:r>
    </w:p>
    <w:p>
      <w:r>
        <w:rPr>
          <w:b/>
        </w:rPr>
        <w:t xml:space="preserve">Ergebnis: </w:t>
      </w:r>
      <w:r>
        <w:t>Team-Rehabilitation und Standardversorgung führten zu ähnlichen QALYs über ein Jahr; die Wahrscheinlichkeit der Kosteneffektivität lag bei etwa 50 % (schwedische Schwellenwerte 43.000–86.000 €/QALY); Selektion bedürftiger Patienten muss verbessert werden.</w:t>
      </w:r>
    </w:p>
    <w:p>
      <w:r>
        <w:rPr>
          <w:b/>
          <w:sz w:val="19"/>
        </w:rPr>
        <w:t xml:space="preserve">Übertragbarkeit: </w:t>
      </w:r>
      <w:r>
        <w:rPr>
          <w:sz w:val="19"/>
        </w:rPr>
        <w:t>Schweden, steuerfinanziert und hausarztgesteuert, aber Prozesse und Arbeitsfähigkeit sind übertragbar.</w:t>
      </w:r>
    </w:p>
    <w:p>
      <w:r>
        <w:rPr>
          <w:color w:val="5A7D3A"/>
          <w:sz w:val="18"/>
        </w:rPr>
        <w:t>https://pubmed.ncbi.nlm.nih.gov/42806350/</w:t>
      </w:r>
    </w:p>
    <w:p>
      <w:pPr>
        <w:pStyle w:val="Heading1"/>
      </w:pPr>
      <w:r>
        <w:t>Aufgenommen am 29.09.2026</w:t>
      </w:r>
    </w:p>
    <w:p>
      <w:pPr>
        <w:pStyle w:val="Heading2"/>
      </w:pPr>
      <w:r>
        <w:t>Kosteneffektivität eines Diabetes-Präventionsprogramms in Kanada</w:t>
      </w:r>
    </w:p>
    <w:p>
      <w:r>
        <w:rPr>
          <w:i/>
          <w:color w:val="666666"/>
          <w:sz w:val="18"/>
        </w:rPr>
        <w:t>Gupta N et al.  ·  CMAJ  ·  27.09.2026  ·  PMID 42805627</w:t>
      </w:r>
    </w:p>
    <w:p>
      <w:r>
        <w:t>Gesundheitsökonomisches Modell zum NHS-England-DPP in Quebec und Ontario über 35 Jahre.</w:t>
      </w:r>
    </w:p>
    <w:p>
      <w:r>
        <w:rPr>
          <w:b/>
        </w:rPr>
        <w:t xml:space="preserve">Ergebnis: </w:t>
      </w:r>
      <w:r>
        <w:t>DPP sparte 244 CAD pro Teilnehmer in Quebec und 242 CAD in Ontario (95% UI -1.017 bis 408). Gewinn: 0,060 QALYs pro Person (95% UI 0,024-0,094). In 74,8% der Simulationen war DPP kostengünstiger und wirksamer.</w:t>
      </w:r>
    </w:p>
    <w:p>
      <w:r>
        <w:rPr>
          <w:b/>
          <w:sz w:val="19"/>
        </w:rPr>
        <w:t xml:space="preserve">Übertragbarkeit: </w:t>
      </w:r>
      <w:r>
        <w:rPr>
          <w:sz w:val="19"/>
        </w:rPr>
        <w:t>Kanada ähnlich deutschem Sozialversicherungssystem, vergleichbare Kostenkalkulation möglich.</w:t>
      </w:r>
    </w:p>
    <w:p>
      <w:r>
        <w:rPr>
          <w:color w:val="5A7D3A"/>
          <w:sz w:val="18"/>
        </w:rPr>
        <w:t>https://pubmed.ncbi.nlm.nih.gov/42805627/</w:t>
      </w:r>
    </w:p>
    <w:p>
      <w:pPr>
        <w:pStyle w:val="Heading2"/>
      </w:pPr>
      <w:r>
        <w:t>Physiotherapie nach COVID-19 in der niederländischen Primärversorgung: Inanspruchnahme und Trends</w:t>
      </w:r>
    </w:p>
    <w:p>
      <w:r>
        <w:rPr>
          <w:i/>
          <w:color w:val="666666"/>
          <w:sz w:val="18"/>
        </w:rPr>
        <w:t>Veldkamp R et al.  ·  JMIR Public Health Surveill  ·  28.09.2026  ·  PMID 42804191</w:t>
      </w:r>
    </w:p>
    <w:p>
      <w:r>
        <w:t>Retrospektive Kohortenstudie zur Inanspruchnahme von Physiotherapie nach COVID-19 in niederländischen Hausarztpraxen über 2,5 Jahre der Pandemie.</w:t>
      </w:r>
    </w:p>
    <w:p>
      <w:r>
        <w:rPr>
          <w:b/>
        </w:rPr>
        <w:t xml:space="preserve">Ergebnis: </w:t>
      </w:r>
      <w:r>
        <w:t>Unter 71.152 Behandlungsverläufen hatten abgeschlossene Fälle eine mediane Dauer von 24 Wochen mit 28 Konsultationen. Die Physiotherapie-Inanspruchnahme sank signifikant über die Zeit (p&lt;0,001), mit maximalen Konsultationen bei 60-79-Jährigen und 1,5 Wochen längerer Behandlung bei Frauen (p&lt;0,001). In 83% waren Baseline-Werte auf Outcome-Messungen erfasst (6-Minuten-Gehtest: 420 m [340-490]).</w:t>
      </w:r>
    </w:p>
    <w:p>
      <w:r>
        <w:rPr>
          <w:b/>
          <w:sz w:val="19"/>
        </w:rPr>
        <w:t xml:space="preserve">Übertragbarkeit: </w:t>
      </w:r>
      <w:r>
        <w:rPr>
          <w:sz w:val="19"/>
        </w:rPr>
        <w:t>Niederländische Routinedaten aus Primärversorgung, direkt auf deutsches System übertragbar.</w:t>
      </w:r>
    </w:p>
    <w:p>
      <w:r>
        <w:rPr>
          <w:color w:val="5A7D3A"/>
          <w:sz w:val="18"/>
        </w:rPr>
        <w:t>https://pubmed.ncbi.nlm.nih.gov/42804191/</w:t>
      </w:r>
    </w:p>
    <w:p>
      <w:pPr>
        <w:pStyle w:val="Heading2"/>
      </w:pPr>
      <w:r>
        <w:t>Telepharmacy-Services und Notfallaufnahme-Inanspruchnahme: Systematische Übersicht</w:t>
      </w:r>
    </w:p>
    <w:p>
      <w:r>
        <w:rPr>
          <w:i/>
          <w:color w:val="666666"/>
          <w:sz w:val="18"/>
        </w:rPr>
        <w:t>Barwick AL et al.  ·  J Telemed Telecare  ·  28.09.2026  ·  PMID 42804181</w:t>
      </w:r>
    </w:p>
    <w:p>
      <w:r>
        <w:t>Metaanalyse von 17 RCTs zur Wirksamkeit von Telepharmacy-Interventionen auf Notaufnahme-Besuche und Wiederaufnahmen.</w:t>
      </w:r>
    </w:p>
    <w:p>
      <w:r>
        <w:rPr>
          <w:b/>
        </w:rPr>
        <w:t xml:space="preserve">Ergebnis: </w:t>
      </w:r>
      <w:r>
        <w:t>Telepharmacy war mit einer 6% absoluten Reduktion von 30-Tage-Notaufnahme-Besuchen assoziiert (Risikodifferenz=0,06, 95% CI: 0,02-0,10; p=0,005). Keine signifikante Reduktion bei ungeplanten Wiederaufnahmen.</w:t>
      </w:r>
    </w:p>
    <w:p>
      <w:r>
        <w:rPr>
          <w:b/>
          <w:sz w:val="19"/>
        </w:rPr>
        <w:t xml:space="preserve">Übertragbarkeit: </w:t>
      </w:r>
      <w:r>
        <w:rPr>
          <w:sz w:val="19"/>
        </w:rPr>
        <w:t>Heterogene RCTs international, Fragestellung zum Einsatz von Telemedizin systemunabhängig relevant.</w:t>
      </w:r>
    </w:p>
    <w:p>
      <w:r>
        <w:rPr>
          <w:color w:val="5A7D3A"/>
          <w:sz w:val="18"/>
        </w:rPr>
        <w:t>https://pubmed.ncbi.nlm.nih.gov/42804181/</w:t>
      </w:r>
    </w:p>
    <w:p>
      <w:pPr>
        <w:pStyle w:val="Heading2"/>
      </w:pPr>
      <w:r>
        <w:t>Intra-Session-Reliabilität des Imagined Timed Up and Go Tests bei älteren Erwachsenen</w:t>
      </w:r>
    </w:p>
    <w:p>
      <w:r>
        <w:rPr>
          <w:i/>
          <w:color w:val="666666"/>
          <w:sz w:val="18"/>
        </w:rPr>
        <w:t>Inamura T et al.  ·  Physiother Theory Pract  ·  28.09.2026  ·  PMID 42802900</w:t>
      </w:r>
    </w:p>
    <w:p>
      <w:r>
        <w:t>Reliabilitätsstudie (85 Probanden) zum Imagined Timed Up and Go Test zur Erfassung von Schätzfehlern der physischen Leistung.</w:t>
      </w:r>
    </w:p>
    <w:p>
      <w:r>
        <w:rPr>
          <w:b/>
        </w:rPr>
        <w:t xml:space="preserve">Ergebnis: </w:t>
      </w:r>
      <w:r>
        <w:t>Intra-Rater-Reliabilität moderat (ICC_A,1: 0,69-0,73); simultane Inter-Rater-Reliabilität exzellent (ICC_2,2≈0,994; ICC_2,1: 0,982-0,984). Intra-Rater MDC95: 2,3 s (35,1%); Inter-Rater MDC95: 0,3 s (4,9%). Probanden übersch ätzen ihre Fähigkeiten (TUG 6,0 s vs. ITUG 4,0 s).</w:t>
      </w:r>
    </w:p>
    <w:p>
      <w:r>
        <w:rPr>
          <w:b/>
          <w:sz w:val="19"/>
        </w:rPr>
        <w:t xml:space="preserve">Übertragbarkeit: </w:t>
      </w:r>
      <w:r>
        <w:rPr>
          <w:sz w:val="19"/>
        </w:rPr>
        <w:t>Japanische Daten, klinische Metriken systemunabhängig, Validierung vor Routineeinsatz relevant.</w:t>
      </w:r>
    </w:p>
    <w:p>
      <w:r>
        <w:rPr>
          <w:color w:val="5A7D3A"/>
          <w:sz w:val="18"/>
        </w:rPr>
        <w:t>https://pubmed.ncbi.nlm.nih.gov/42802900/</w:t>
      </w:r>
    </w:p>
    <w:p>
      <w:pPr>
        <w:pStyle w:val="Heading2"/>
      </w:pPr>
      <w:r>
        <w:t>Krankenhaus-Management-Modelle und Krebsergebnisse in São Paulo</w:t>
      </w:r>
    </w:p>
    <w:p>
      <w:r>
        <w:rPr>
          <w:i/>
          <w:color w:val="666666"/>
          <w:sz w:val="18"/>
        </w:rPr>
        <w:t>Delpino FM et al.  ·  Int J Health Plann Manage  ·  26.09.2026  ·  PMID 42800063</w:t>
      </w:r>
    </w:p>
    <w:p>
      <w:r>
        <w:t>Staggered Difference-in-Differences-Analyse zu 652.734 Brust-, Prostata- und Darmkrebs-Fällen (2000-2023) unter Vergleich von Social Health Organisations vs. direkt verwalteten Häusern.</w:t>
      </w:r>
    </w:p>
    <w:p>
      <w:r>
        <w:rPr>
          <w:b/>
        </w:rPr>
        <w:t xml:space="preserve">Ergebnis: </w:t>
      </w:r>
      <w:r>
        <w:t>SHO-Adoption assoziiert mit unpräzisen Änderungen: Diagnose-bis-Behandlung -155,3 Tage (95% CI -350,0 bis 39,4); Konsultation-bis-Diagnose -96,3 Tage (95% CI -237,7 bis 45,1); 30-Tage-Mortalität +0,8 Prozentpunkte (95% CI -4,0 bis 5,5). Kontrolle und Gewichtung materialverändernd.</w:t>
      </w:r>
    </w:p>
    <w:p>
      <w:r>
        <w:rPr>
          <w:b/>
          <w:sz w:val="19"/>
        </w:rPr>
        <w:t xml:space="preserve">Übertragbarkeit: </w:t>
      </w:r>
      <w:r>
        <w:rPr>
          <w:sz w:val="19"/>
        </w:rPr>
        <w:t>Brasilien, unterschiedliches Ressourcen-Setting; Fragestellung zu Managementmodellen kontextabhängig.</w:t>
      </w:r>
    </w:p>
    <w:p>
      <w:r>
        <w:rPr>
          <w:color w:val="5A7D3A"/>
          <w:sz w:val="18"/>
        </w:rPr>
        <w:t>https://pubmed.ncbi.nlm.nih.gov/42800063/</w:t>
      </w:r>
    </w:p>
    <w:p>
      <w:pPr>
        <w:pStyle w:val="Heading1"/>
      </w:pPr>
      <w:r>
        <w:t>Aufgenommen am 28.09.2026</w:t>
      </w:r>
    </w:p>
    <w:p>
      <w:pPr>
        <w:pStyle w:val="Heading2"/>
      </w:pPr>
      <w:r>
        <w:t>Wirksamkeit familienorientierter Intervention für Kinder psychisch erkrankter Eltern</w:t>
      </w:r>
    </w:p>
    <w:p>
      <w:r>
        <w:rPr>
          <w:i/>
          <w:color w:val="666666"/>
          <w:sz w:val="18"/>
        </w:rPr>
        <w:t>Paumen T et al.  ·  Child Adolesc Psychiatry Ment Health  ·  25.09.2026  ·  PMID 42800877</w:t>
      </w:r>
    </w:p>
    <w:p>
      <w:r>
        <w:t>Cluster-randomisierte Studie zur Wirksamkeit des CHIMPS-Programms (psychodynamische transdiagnostische Familienintervention) auf psychische Gesundheit und Lebensqualität bei 215 Kindern psychisch erkrankter Eltern in Deutschland und der Schweiz.</w:t>
      </w:r>
    </w:p>
    <w:p>
      <w:r>
        <w:rPr>
          <w:b/>
        </w:rPr>
        <w:t xml:space="preserve">Ergebnis: </w:t>
      </w:r>
      <w:r>
        <w:t>Odds Ratio 0,52 (95%-KI: 0,25-1,09) für diagnostische Remission in der Interventionsgruppe versus Kontrollgruppe – statistisch nicht signifikant. Keine klinisch relevanten Unterschiede in Sekundäroutcomes (Verhaltensauffälligkeiten, Lebensqualität). Geringe Erreichbarkeit und Adhärenz der Zielgruppe erschwerten Umsetzung.</w:t>
      </w:r>
    </w:p>
    <w:p>
      <w:r>
        <w:rPr>
          <w:b/>
          <w:sz w:val="19"/>
        </w:rPr>
        <w:t xml:space="preserve">Übertragbarkeit: </w:t>
      </w:r>
      <w:r>
        <w:rPr>
          <w:sz w:val="19"/>
        </w:rPr>
        <w:t>Deutsche Daten aus Universitätskliniken, gesetzlich versicherte Population</w:t>
      </w:r>
    </w:p>
    <w:p>
      <w:r>
        <w:rPr>
          <w:color w:val="5A7D3A"/>
          <w:sz w:val="18"/>
        </w:rPr>
        <w:t>https://pubmed.ncbi.nlm.nih.gov/42800877/</w:t>
      </w:r>
    </w:p>
    <w:p>
      <w:pPr>
        <w:pStyle w:val="Heading2"/>
      </w:pPr>
      <w:r>
        <w:t>Tamil-Validierung des Diabetes Quality-of-Life Brief Clinical Inventory</w:t>
      </w:r>
    </w:p>
    <w:p>
      <w:r>
        <w:rPr>
          <w:i/>
          <w:color w:val="666666"/>
          <w:sz w:val="18"/>
        </w:rPr>
        <w:t>Darshana N et al.  ·  BMC Health Serv Res  ·  14.09.2026  ·  PMID 42791544</w:t>
      </w:r>
    </w:p>
    <w:p>
      <w:r>
        <w:t>Kulturelle Adaptation und Validierung eines Instruments zur Messung der diabetesspezifischen Lebensqualität bei tamilsprachigen Erwachsenen mit Typ-2-Diabetes in Sri Lanka (n=165).</w:t>
      </w:r>
    </w:p>
    <w:p>
      <w:r>
        <w:rPr>
          <w:b/>
        </w:rPr>
        <w:t xml:space="preserve">Ergebnis: </w:t>
      </w:r>
      <w:r>
        <w:t>Cronbachs α=0,682, signifikante negative Korrelation mit WHOQOL-BREF (r=-0,559, p&lt;0,001), signifikant niedrigere Lebensqualität bei Patienten mit Mikrovaskularisierungskomplikationen (p=0,040). KMO=0,729, Faktorenanalyse erklärt 72% der Gesamtvarianz.</w:t>
      </w:r>
    </w:p>
    <w:p>
      <w:r>
        <w:rPr>
          <w:b/>
          <w:sz w:val="19"/>
        </w:rPr>
        <w:t xml:space="preserve">Übertragbarkeit: </w:t>
      </w:r>
      <w:r>
        <w:rPr>
          <w:sz w:val="19"/>
        </w:rPr>
        <w:t>Nur begrenzt: Südasiatische Bevölkerung, anderes Gesundheitssystem</w:t>
      </w:r>
    </w:p>
    <w:p>
      <w:r>
        <w:rPr>
          <w:color w:val="5A7D3A"/>
          <w:sz w:val="18"/>
        </w:rPr>
        <w:t>https://pubmed.ncbi.nlm.nih.gov/42791544/</w:t>
      </w:r>
    </w:p>
    <w:p>
      <w:pPr>
        <w:pStyle w:val="Heading2"/>
      </w:pPr>
      <w:r>
        <w:t>Gesundheitskompetenz und Versorgungsintegration bei Kindern mit Spezialversorgungsbedarfen</w:t>
      </w:r>
    </w:p>
    <w:p>
      <w:r>
        <w:rPr>
          <w:i/>
          <w:color w:val="666666"/>
          <w:sz w:val="18"/>
        </w:rPr>
        <w:t>Skoss R et al.  ·  BMC Health Serv Res  ·  11.08.2026  ·  PMID 42791541</w:t>
      </w:r>
    </w:p>
    <w:p>
      <w:r>
        <w:t>Querschnittstudie zur Beziehung zwischen Gesundheitskompetenz von Eltern, Erfahrungen mit Versorgungsintegration und Elternbelastung bei 126 australischen Eltern von Kindern mit Spezialversorgungsbedarfen.</w:t>
      </w:r>
    </w:p>
    <w:p>
      <w:r>
        <w:rPr>
          <w:b/>
        </w:rPr>
        <w:t xml:space="preserve">Ergebnis: </w:t>
      </w:r>
      <w:r>
        <w:t>Clusteranalyse identifizierte drei Gesundheitskompetenz-Profile; höhere Kompetenz assoziiert mit besseren Erfahrungen bei Versorgungsintegration und niedrigerem Elternstress. Mehrheitlich Eltern mit Behinderungs-(53,7%) und Atemwegserkrankungen (38,9%) vertreten.</w:t>
      </w:r>
    </w:p>
    <w:p>
      <w:r>
        <w:rPr>
          <w:b/>
          <w:sz w:val="19"/>
        </w:rPr>
        <w:t xml:space="preserve">Übertragbarkeit: </w:t>
      </w:r>
      <w:r>
        <w:rPr>
          <w:sz w:val="19"/>
        </w:rPr>
        <w:t>Steuerfinanziert, englischsprachig – begrenzte Übertragbarkeit auf deutsches SV-System</w:t>
      </w:r>
    </w:p>
    <w:p>
      <w:r>
        <w:rPr>
          <w:color w:val="5A7D3A"/>
          <w:sz w:val="18"/>
        </w:rPr>
        <w:t>https://pubmed.ncbi.nlm.nih.gov/42791541/</w:t>
      </w:r>
    </w:p>
    <w:p>
      <w:pPr>
        <w:pStyle w:val="Heading2"/>
      </w:pPr>
      <w:r>
        <w:t>Zivilgesellschaftliche Organisationen in Gesundheitsversorgung für Migranten auf der Balkanroute</w:t>
      </w:r>
    </w:p>
    <w:p>
      <w:r>
        <w:rPr>
          <w:i/>
          <w:color w:val="666666"/>
          <w:sz w:val="18"/>
        </w:rPr>
        <w:t>Link F et al.  ·  Int J Equity Health  ·  24.09.2026  ·  PMID 42791536</w:t>
      </w:r>
    </w:p>
    <w:p>
      <w:r>
        <w:t>Qualitative Studie mit 15 CSO-Mitarbeitern aus 11 Ländern (März–Mai 2024) zu Barrieren, Erleichterungen und Rollen von Zivilgesellschaft bei Gesundheitsversorgung für Menschen in Migrationsprozessen.</w:t>
      </w:r>
    </w:p>
    <w:p>
      <w:r>
        <w:rPr>
          <w:b/>
        </w:rPr>
        <w:t xml:space="preserve">Ergebnis: </w:t>
      </w:r>
      <w:r>
        <w:t>Vier Hauptkategorien identifiziert: fragmentierte Migrationspolitik, begrenzte Systemkapazitäten, Diskriminierung und Rechtsbarrieren. CSO erfüllen kritische Lückenfüllungsfunktion durch Mediation und Advocacy; jedoch chronische Finanzierungsunsicherheit, Personalengpässe und ethische Spannungen. Vertrauen zwischen CSO, Gesundheitssystem und Behörden essentiell.</w:t>
      </w:r>
    </w:p>
    <w:p>
      <w:r>
        <w:rPr>
          <w:b/>
          <w:sz w:val="19"/>
        </w:rPr>
        <w:t xml:space="preserve">Übertragbarkeit: </w:t>
      </w:r>
      <w:r>
        <w:rPr>
          <w:sz w:val="19"/>
        </w:rPr>
        <w:t>Europäischer Kontext (11 Länder), Mehrländer-Perspektive – Migrationsstrukturen relevant</w:t>
      </w:r>
    </w:p>
    <w:p>
      <w:r>
        <w:rPr>
          <w:color w:val="5A7D3A"/>
          <w:sz w:val="18"/>
        </w:rPr>
        <w:t>https://pubmed.ncbi.nlm.nih.gov/42791536/</w:t>
      </w:r>
    </w:p>
    <w:p>
      <w:pPr>
        <w:pStyle w:val="Heading2"/>
      </w:pPr>
      <w:r>
        <w:t>Präklinische Halswirbelimmobilisierung und Mortalität bei Traumapatienten</w:t>
      </w:r>
    </w:p>
    <w:p>
      <w:r>
        <w:rPr>
          <w:i/>
          <w:color w:val="666666"/>
          <w:sz w:val="18"/>
        </w:rPr>
        <w:t>Häske D et al.  ·  World J Emerg Surg  ·  22.09.2026  ·  PMID 42786484</w:t>
      </w:r>
    </w:p>
    <w:p>
      <w:r>
        <w:t>Retrospektive Beobachtungsstudie aus deutschem Traumaregister (TraumaRegister DGU, 2020–2022) mit Propensity-Score-Matching zu Effekt präklinischer Halswirbelimmobilisierung auf Krankenhausmortalität und neurologische Outcomes (n=31.055, davon 16.922 gematched).</w:t>
      </w:r>
    </w:p>
    <w:p>
      <w:r>
        <w:rPr>
          <w:b/>
        </w:rPr>
        <w:t xml:space="preserve">Ergebnis: </w:t>
      </w:r>
      <w:r>
        <w:t>Mortalität gematched: 12,0% mit Immobilisierung vs. 13,6% ohne (p=0,001), kein klinisch bedeutsamer Unterschied. Bei bestätigter Halswirbelverletztung (n=1.362): Mortalität 17,9% vs. 18,2% (p=0,888), Glasgow Outcome Scale zeigt kein signifikanten Unterschied. GCS-Verbesserung Einsatzstelle-Hospital marginal höher mit Immobilisierung (15,7% vs. 12,8%, p&lt;0,001).</w:t>
      </w:r>
    </w:p>
    <w:p>
      <w:r>
        <w:rPr>
          <w:b/>
          <w:sz w:val="19"/>
        </w:rPr>
        <w:t xml:space="preserve">Übertragbarkeit: </w:t>
      </w:r>
      <w:r>
        <w:rPr>
          <w:sz w:val="19"/>
        </w:rPr>
        <w:t>Deutsche Routinedaten aus standardisiertem Traumaregister, System vergleichbar</w:t>
      </w:r>
    </w:p>
    <w:p>
      <w:r>
        <w:rPr>
          <w:color w:val="5A7D3A"/>
          <w:sz w:val="18"/>
        </w:rPr>
        <w:t>https://pubmed.ncbi.nlm.nih.gov/42786484/</w:t>
      </w:r>
    </w:p>
    <w:p>
      <w:pPr>
        <w:pStyle w:val="Heading2"/>
      </w:pPr>
      <w:r>
        <w:t>Empagliflozin-Effekte auf kardiovaskuläre Outcomes in sociodemografischen Subgruppen</w:t>
      </w:r>
    </w:p>
    <w:p>
      <w:r>
        <w:rPr>
          <w:i/>
          <w:color w:val="666666"/>
          <w:sz w:val="18"/>
        </w:rPr>
        <w:t>Cromer SJ et al.  ·  Diabetes Care  ·  21.09.2026  ·  PMID 42765974</w:t>
      </w:r>
    </w:p>
    <w:p>
      <w:r>
        <w:t>Real-World-Analyse aus US-Medicare-Daten (2014–2020) zur Heterogenität der Effekte von Empagliflozin auf MACE, Herzinsuffizienz-Hospitalisierung und Mortalität bei älteren Erwachsenen mit Typ-2-Diabetes (n propensity-matched: 16.922).</w:t>
      </w:r>
    </w:p>
    <w:p>
      <w:r>
        <w:rPr>
          <w:b/>
        </w:rPr>
        <w:t xml:space="preserve">Ergebnis: </w:t>
      </w:r>
      <w:r>
        <w:t>Empagliflozin vs. DPP4-Inhibitoren: MACE HR 0,77 (99,9%-KI 0,69–0,85, IRD –10,3), HHF HR 0,72 (0,67–0,79, IRD –18,3), Mortalität HR 0,66 (0,57–0,76, IRD –8,6). Konsistente Effekte über sociodemografische Gruppen, höherer absoluter Nutzen mit prävalenter kardiovaskulärer Erkrankung.</w:t>
      </w:r>
    </w:p>
    <w:p>
      <w:r>
        <w:rPr>
          <w:b/>
          <w:sz w:val="19"/>
        </w:rPr>
        <w:t xml:space="preserve">Übertragbarkeit: </w:t>
      </w:r>
      <w:r>
        <w:rPr>
          <w:sz w:val="19"/>
        </w:rPr>
        <w:t>US-Daten – Fragestellung aber systemunabhängig, kardiometabolisch relevant</w:t>
      </w:r>
    </w:p>
    <w:p>
      <w:r>
        <w:rPr>
          <w:color w:val="5A7D3A"/>
          <w:sz w:val="18"/>
        </w:rPr>
        <w:t>https://pubmed.ncbi.nlm.nih.gov/42765974/</w:t>
      </w:r>
    </w:p>
    <w:p>
      <w:pPr>
        <w:pStyle w:val="Heading1"/>
      </w:pPr>
      <w:r>
        <w:t>Aufgenommen am 27.09.2026</w:t>
      </w:r>
    </w:p>
    <w:p>
      <w:pPr>
        <w:pStyle w:val="Heading2"/>
      </w:pPr>
      <w:r>
        <w:t>Geschlechtsspezifische Depressionsdiagnostik: Validierung des DESY-PC in der Primärversorgung</w:t>
      </w:r>
    </w:p>
    <w:p>
      <w:r>
        <w:rPr>
          <w:i/>
          <w:color w:val="666666"/>
          <w:sz w:val="18"/>
        </w:rPr>
        <w:t>Schäffler L et al.  ·  Eur Arch Psychiatry Clin Neurosci  ·  26.09.2026  ·  PMID 42799905</w:t>
      </w:r>
    </w:p>
    <w:p>
      <w:r>
        <w:t>Sekundäranalyse einer diagnostischen Querschnittsstudie mit 431 Primärversorgungspatienten (61% Frauen) zur Testgüte des neuen DESY-PC-Fragebogens versus PHQ-9 mit strukturiertem klinischem Interview als Goldstandard.</w:t>
      </w:r>
    </w:p>
    <w:p>
      <w:r>
        <w:rPr>
          <w:b/>
        </w:rPr>
        <w:t xml:space="preserve">Ergebnis: </w:t>
      </w:r>
      <w:r>
        <w:t>DESY-PC zeigte vergleichbare diagnostische Genauigkeit bei Frauen (AUC 0,85, 95% CI 0,80-0,91) und Männern (AUC 0,90, 95% CI 0,83-0,97, p=0,340). Sensitivität und Spezifität waren ausgeglichen (Cut-off 16: Sensitivität Frauen 74%, Männer 83%, p=0,422; Spezifität Frauen 82%, Männer 87%, p=0,220). Messinvarianz über Geschlechter bestätigt.</w:t>
      </w:r>
    </w:p>
    <w:p>
      <w:r>
        <w:rPr>
          <w:b/>
          <w:sz w:val="19"/>
        </w:rPr>
        <w:t xml:space="preserve">Übertragbarkeit: </w:t>
      </w:r>
      <w:r>
        <w:rPr>
          <w:sz w:val="19"/>
        </w:rPr>
        <w:t>Deutsche Akademische Primärversorgungspraxis in München; Screening-Instrument systemunabhängig</w:t>
      </w:r>
    </w:p>
    <w:p>
      <w:r>
        <w:rPr>
          <w:color w:val="5A7D3A"/>
          <w:sz w:val="18"/>
        </w:rPr>
        <w:t>https://pubmed.ncbi.nlm.nih.gov/42799905/</w:t>
      </w:r>
    </w:p>
    <w:p>
      <w:pPr>
        <w:pStyle w:val="Heading2"/>
      </w:pPr>
      <w:r>
        <w:t>Psychische Gesundheitsdiagnosen bei Kindern und Jugendlichen vor und während COVID-19 in Niedersachsen</w:t>
      </w:r>
    </w:p>
    <w:p>
      <w:r>
        <w:rPr>
          <w:i/>
          <w:color w:val="666666"/>
          <w:sz w:val="18"/>
        </w:rPr>
        <w:t>Jobski K et al.  ·  Children (Basel)  ·  14.09.2026  ·  PMID 42794265</w:t>
      </w:r>
    </w:p>
    <w:p>
      <w:r>
        <w:t>Trends-Analyse mit Routinedaten der AOK Niedersachsen 2018-2022 bei etwa 500.000 Versicherten unter 18 Jahren zur Inzidenz und Prävalenz von Angststörungen, depressiven Störungen, Essstörungen und ADHS.</w:t>
      </w:r>
    </w:p>
    <w:p>
      <w:r>
        <w:rPr>
          <w:b/>
        </w:rPr>
        <w:t xml:space="preserve">Ergebnis: </w:t>
      </w:r>
      <w:r>
        <w:t>2021 höchste Inzidenz für Angststörungen (34,7/1.000), gefolgt von ADHS (18,0/1.000), Depression (13,7/1.000) und Essstörungen (2,7/1.000). Vergleich 2019 zu 2021: Inzidenzen stiegen alle, besonders bei Mädchen 15-17 Jahre (Angst +23%, Depression +25%, ADHS +54%, Essstörungen +90%). 2022 Rückgang, aber Prävalenz bei Mädchen nicht auf Vor-Pandemie-Niveau.</w:t>
      </w:r>
    </w:p>
    <w:p>
      <w:r>
        <w:rPr>
          <w:b/>
          <w:sz w:val="19"/>
        </w:rPr>
        <w:t xml:space="preserve">Übertragbarkeit: </w:t>
      </w:r>
      <w:r>
        <w:rPr>
          <w:sz w:val="19"/>
        </w:rPr>
        <w:t>Deutsche Routinedaten, gesetzlich versicherte Kinder und Jugendliche Niedersachsen</w:t>
      </w:r>
    </w:p>
    <w:p>
      <w:r>
        <w:rPr>
          <w:color w:val="5A7D3A"/>
          <w:sz w:val="18"/>
        </w:rPr>
        <w:t>https://pubmed.ncbi.nlm.nih.gov/42794265/</w:t>
      </w:r>
    </w:p>
    <w:p>
      <w:pPr>
        <w:pStyle w:val="Heading2"/>
      </w:pPr>
      <w:r>
        <w:t>Schlaganfallzertifizierung und Prozessqualität in der akuten ischämischen Schlaganfallbehandlung</w:t>
      </w:r>
    </w:p>
    <w:p>
      <w:r>
        <w:rPr>
          <w:i/>
          <w:color w:val="666666"/>
          <w:sz w:val="18"/>
        </w:rPr>
        <w:t>Boehl M et al.  ·  Neurol Res Pract  ·  25.09.2026  ·  PMID 42791587</w:t>
      </w:r>
    </w:p>
    <w:p>
      <w:r>
        <w:t>Retrospektive Registeranalyse zur Assoziation zwischen Schlaganfalleinheitszertifizierung und Qualitätsindikatoren der intravenösen Thrombolyse in Hessen 2021-2024.</w:t>
      </w:r>
    </w:p>
    <w:p>
      <w:r>
        <w:rPr>
          <w:b/>
        </w:rPr>
        <w:t xml:space="preserve">Ergebnis: </w:t>
      </w:r>
      <w:r>
        <w:t>Zertifizierte Schlaganfalleinheiten führten signifikant häufiger Thrombolyse durch (primär 4,5 h: OR 2,32, 95% CI 1,65-3,27 für pSU; OR 2,19, 95% CI 1,57-3,07 für cSU). Door-to-needle ≤60 min wurden häufiger erreicht (pSU OR 3,13, 95% CI 2,13-4,61; cSU OR 2,60, 95% CI 1,80-3,75). Zertifizierung ist mit besseren Prozessqualitätsindikatoren assoziiert.</w:t>
      </w:r>
    </w:p>
    <w:p>
      <w:r>
        <w:rPr>
          <w:b/>
          <w:sz w:val="19"/>
        </w:rPr>
        <w:t xml:space="preserve">Übertragbarkeit: </w:t>
      </w:r>
      <w:r>
        <w:rPr>
          <w:sz w:val="19"/>
        </w:rPr>
        <w:t>Deutsche Routinedaten aus Hessen, gesetzlich versicherte Schlaganfallpatienten</w:t>
      </w:r>
    </w:p>
    <w:p>
      <w:r>
        <w:rPr>
          <w:color w:val="5A7D3A"/>
          <w:sz w:val="18"/>
        </w:rPr>
        <w:t>https://pubmed.ncbi.nlm.nih.gov/42791587/</w:t>
      </w:r>
    </w:p>
    <w:p>
      <w:pPr>
        <w:pStyle w:val="Heading2"/>
      </w:pPr>
      <w:r>
        <w:t>Patient-reported Experience und psychische Gesundheit: Unterschiede zwischen Immigrant*innen und norwegischer Bevölkerung in der Psychiatrie</w:t>
      </w:r>
    </w:p>
    <w:p>
      <w:r>
        <w:rPr>
          <w:i/>
          <w:color w:val="666666"/>
          <w:sz w:val="18"/>
        </w:rPr>
        <w:t>Ellingsen-Dalskau LH et al.  ·  BMC Health Serv Res  ·  12.09.2026  ·  PMID 42791573</w:t>
      </w:r>
    </w:p>
    <w:p>
      <w:r>
        <w:t>Nationale Befragung (2020-2022) von 8.184 Patienten in norwegischen psychiatrischen Stationen mit gemischten Methoden zu Unterschieden in Patientenerfahrung und Zwangsmaßnahmen zwischen Immigrant*innen und Mehrheitsbevölkerung.</w:t>
      </w:r>
    </w:p>
    <w:p>
      <w:r>
        <w:rPr>
          <w:b/>
        </w:rPr>
        <w:t xml:space="preserve">Ergebnis: </w:t>
      </w:r>
      <w:r>
        <w:t>Einige Immigrant*innengruppen berichteten höhere Zwangsanwendung und geringere Verbesserung der psychischen Gesundheit; qualitative Analyse zeigte unterschiedliche Erwartungen, Vertrauen, Kommunikation und Informationszugang als Einflussfaktoren. Insgesamt ähnliche Erfahrungswerte, aber kontextabhängige Unterschiede.</w:t>
      </w:r>
    </w:p>
    <w:p>
      <w:r>
        <w:rPr>
          <w:b/>
          <w:sz w:val="19"/>
        </w:rPr>
        <w:t xml:space="preserve">Übertragbarkeit: </w:t>
      </w:r>
      <w:r>
        <w:rPr>
          <w:sz w:val="19"/>
        </w:rPr>
        <w:t>Norwegen, Skandinavien mit ähnlichem Sozialversicherungssystem; Patientenperspektive übertragbar</w:t>
      </w:r>
    </w:p>
    <w:p>
      <w:r>
        <w:rPr>
          <w:color w:val="5A7D3A"/>
          <w:sz w:val="18"/>
        </w:rPr>
        <w:t>https://pubmed.ncbi.nlm.nih.gov/42791573/</w:t>
      </w:r>
    </w:p>
    <w:p>
      <w:pPr>
        <w:pStyle w:val="Heading2"/>
      </w:pPr>
      <w:r>
        <w:t>Bedeutung von Präsenzberatung in TIA-Kliniken aus Patienten- und Fachperspektive</w:t>
      </w:r>
    </w:p>
    <w:p>
      <w:r>
        <w:rPr>
          <w:i/>
          <w:color w:val="666666"/>
          <w:sz w:val="18"/>
        </w:rPr>
        <w:t>Heath J et al.  ·  BMC Health Serv Res  ·  14.09.2026  ·  PMID 42791572</w:t>
      </w:r>
    </w:p>
    <w:p>
      <w:r>
        <w:t>Qualitative Interviews mit 15 Patienten und 12 Fachpersonen in England zur Evaluation von virtuellen versus Face-to-Face-TIA-Kliniken während und nach COVID-19.</w:t>
      </w:r>
    </w:p>
    <w:p>
      <w:r>
        <w:rPr>
          <w:b/>
        </w:rPr>
        <w:t xml:space="preserve">Ergebnis: </w:t>
      </w:r>
      <w:r>
        <w:t>Patienten betonten die Wichtigkeit von Präsenzkontakt ('being seen'); zwei Kernthemen identifiziert: (1) bessere Kommunikationsmöglichkeiten und (2) Gefühl, von einem multiprofessionellen Team versorgt zu werden. Fachpersonen sahen virtuelle Kliniken positiver als Patienten; eine Hybrid-Lösung könnte optimal sein.</w:t>
      </w:r>
    </w:p>
    <w:p>
      <w:r>
        <w:rPr>
          <w:b/>
          <w:sz w:val="19"/>
        </w:rPr>
        <w:t xml:space="preserve">Übertragbarkeit: </w:t>
      </w:r>
      <w:r>
        <w:rPr>
          <w:sz w:val="19"/>
        </w:rPr>
        <w:t>Großbritannien (NHS), aber Fragestellung zu Patientenperspektive systemunabhängig</w:t>
      </w:r>
    </w:p>
    <w:p>
      <w:r>
        <w:rPr>
          <w:color w:val="5A7D3A"/>
          <w:sz w:val="18"/>
        </w:rPr>
        <w:t>https://pubmed.ncbi.nlm.nih.gov/42791572/</w:t>
      </w:r>
    </w:p>
    <w:p>
      <w:pPr>
        <w:pStyle w:val="Heading2"/>
      </w:pPr>
      <w:r>
        <w:t>Patient-Journey-Mapping für allogene Stammzelltransplantation: Holistische Versorgungsbedarfe</w:t>
      </w:r>
    </w:p>
    <w:p>
      <w:r>
        <w:rPr>
          <w:i/>
          <w:color w:val="666666"/>
          <w:sz w:val="18"/>
        </w:rPr>
        <w:t>Nan J et al.  ·  BMC Health Serv Res  ·  13.08.2026  ·  PMID 42786489</w:t>
      </w:r>
    </w:p>
    <w:p>
      <w:r>
        <w:t>Qualitative Studie mit 16 allogenen-HSCT-Patienten (November-Dezember 2025) zur Kartierung der Gesundheitsmanagement-Reise über vier Phasen (Screening, Transplantation, Erhaltungstherapie, Langzeit-Follow-up).</w:t>
      </w:r>
    </w:p>
    <w:p>
      <w:r>
        <w:rPr>
          <w:b/>
        </w:rPr>
        <w:t xml:space="preserve">Ergebnis: </w:t>
      </w:r>
      <w:r>
        <w:t>31 Themen über drei Dimensionen identifiziert (Aufgabenausführung, emotionaler Zustand, Schmerzpunkte). Symptombelastung verschoben sich dynamisch: psychische Belastung und Entscheidungslähmung in Phase 1, akute physische Symptome in Phase 2, chronische funktionelle Rückgänge in Phase 4. Durchgehend kritische Schmerzpunkte: fragmentierte Übergänge, Misalignment von Information zu Bedarf, fehlendes Selbstmanagement-Support, finanzielle Last.</w:t>
      </w:r>
    </w:p>
    <w:p>
      <w:r>
        <w:rPr>
          <w:b/>
          <w:sz w:val="19"/>
        </w:rPr>
        <w:t xml:space="preserve">Übertragbarkeit: </w:t>
      </w:r>
      <w:r>
        <w:rPr>
          <w:sz w:val="19"/>
        </w:rPr>
        <w:t>China, aber patient-centered Journey-Mapping-Methodik systemunabhängig übertragbar</w:t>
      </w:r>
    </w:p>
    <w:p>
      <w:r>
        <w:rPr>
          <w:color w:val="5A7D3A"/>
          <w:sz w:val="18"/>
        </w:rPr>
        <w:t>https://pubmed.ncbi.nlm.nih.gov/42786489/</w:t>
      </w:r>
    </w:p>
    <w:p>
      <w:pPr>
        <w:pStyle w:val="Heading1"/>
      </w:pPr>
      <w:r>
        <w:t>Aufgenommen am 26.09.2026</w:t>
      </w:r>
    </w:p>
    <w:p>
      <w:pPr>
        <w:pStyle w:val="Heading2"/>
      </w:pPr>
      <w:r>
        <w:t>Strukturiertes Shared Decision-Making in der Krankenhausversorgung</w:t>
      </w:r>
    </w:p>
    <w:p>
      <w:r>
        <w:rPr>
          <w:i/>
          <w:color w:val="666666"/>
          <w:sz w:val="18"/>
        </w:rPr>
        <w:t>Salas-Gama K et al.  ·  J Healthc Qual Res  ·  25.09.2026  ·  PMID 42790349</w:t>
      </w:r>
    </w:p>
    <w:p>
      <w:r>
        <w:t>Entwicklung und pilotweise Implementierung eines sechsstufigen Shared-Decision-Making-Modells zur Integration in Krankenhausabläufe mit Evaluation von Machbarkeit, Akzeptabilität und Outcome.</w:t>
      </w:r>
    </w:p>
    <w:p>
      <w:r>
        <w:rPr>
          <w:b/>
        </w:rPr>
        <w:t xml:space="preserve">Ergebnis: </w:t>
      </w:r>
      <w:r>
        <w:t>Bei Adipositas berichteten SDM-Teilnehmer höheres Patientenwissen (80,0% vs. 48,8%; p&lt;0,001) und größere Entscheidungszufriedenheit (28,0 vs. 24,2; p=0,022). Bei chronischer Nierenkrankheit zeigte sich signifikant höheres Wissen (91,1% vs. 37,1%; p&lt;0,001). Machbarkeitsschwellen wurden in beiden Indikationen erreicht.</w:t>
      </w:r>
    </w:p>
    <w:p>
      <w:r>
        <w:rPr>
          <w:b/>
          <w:sz w:val="19"/>
        </w:rPr>
        <w:t xml:space="preserve">Übertragbarkeit: </w:t>
      </w:r>
      <w:r>
        <w:rPr>
          <w:sz w:val="19"/>
        </w:rPr>
        <w:t>Spanien, Pilotprojekt im Krankenhaus - methodische Übertragbarkeit auf deutsches Setting gegeben</w:t>
      </w:r>
    </w:p>
    <w:p>
      <w:r>
        <w:rPr>
          <w:color w:val="5A7D3A"/>
          <w:sz w:val="18"/>
        </w:rPr>
        <w:t>https://pubmed.ncbi.nlm.nih.gov/42790349/</w:t>
      </w:r>
    </w:p>
    <w:p>
      <w:pPr>
        <w:pStyle w:val="Heading2"/>
      </w:pPr>
      <w:r>
        <w:t>Surgery on Foot-Protokoll: Patientenerfahrung bei Kolorektalkarzinom</w:t>
      </w:r>
    </w:p>
    <w:p>
      <w:r>
        <w:rPr>
          <w:i/>
          <w:color w:val="666666"/>
          <w:sz w:val="18"/>
        </w:rPr>
        <w:t>van Gool ISM et al.  ·  J Surg Oncol  ·  25.09.2026  ·  PMID 42788955</w:t>
      </w:r>
    </w:p>
    <w:p>
      <w:r>
        <w:t>Qualitative Studie zu Patientenerfahrungen mit dem Surgery-on-Foot-Protokoll, bei dem Patienten am OP-Tag (statt Vortagnacht) aufgenommen und zur OP gehen.</w:t>
      </w:r>
    </w:p>
    <w:p>
      <w:r>
        <w:rPr>
          <w:b/>
        </w:rPr>
        <w:t xml:space="preserve">Ergebnis: </w:t>
      </w:r>
      <w:r>
        <w:t>14 Patienten befragt; Gesamterfahrung positiv. Faktoren für Kontrollgefühl: persönlicher Umgang, involvierte Ärzte und Anwesenheit von Bezugspersonen. Einige Patienten berichteten Angst und Unbehagen bezüglich Krankenhausumgebung. Protokoll wirkte sich positiv auf patientenzentrierte Aspekte aus.</w:t>
      </w:r>
    </w:p>
    <w:p>
      <w:r>
        <w:rPr>
          <w:b/>
          <w:sz w:val="19"/>
        </w:rPr>
        <w:t xml:space="preserve">Übertragbarkeit: </w:t>
      </w:r>
      <w:r>
        <w:rPr>
          <w:sz w:val="19"/>
        </w:rPr>
        <w:t>Niederlande (akademisches Krankenhaus), vergleichbares Versorgungssystem mit Deutschland</w:t>
      </w:r>
    </w:p>
    <w:p>
      <w:r>
        <w:rPr>
          <w:color w:val="5A7D3A"/>
          <w:sz w:val="18"/>
        </w:rPr>
        <w:t>https://pubmed.ncbi.nlm.nih.gov/42788955/</w:t>
      </w:r>
    </w:p>
    <w:p>
      <w:pPr>
        <w:pStyle w:val="Heading2"/>
      </w:pPr>
      <w:r>
        <w:t>Transformatives Governance-Modell für Gesundheit - Evaluierung des Programms Alles ist Gezondheid</w:t>
      </w:r>
    </w:p>
    <w:p>
      <w:r>
        <w:rPr>
          <w:i/>
          <w:color w:val="666666"/>
          <w:sz w:val="18"/>
        </w:rPr>
        <w:t>Bekker MPM et al.  ·  TSG  ·  16.09.2026  ·  PMID 42787321</w:t>
      </w:r>
    </w:p>
    <w:p>
      <w:r>
        <w:t>Mehrfachfallstudie zur Evaluierung eines niederländischen Programms für domeinoverstijgende Gesundheitsnetze; Entwicklung eines heuristischen Transformativen-Governance-Modells basierend auf Interviews, Beobachtungen und Workshops.</w:t>
      </w:r>
    </w:p>
    <w:p>
      <w:r>
        <w:rPr>
          <w:b/>
        </w:rPr>
        <w:t xml:space="preserve">Ergebnis: </w:t>
      </w:r>
      <w:r>
        <w:t>Fünf Small Wins und fünf Veränderungsmechanismen identifiziert, die sich nicht-linear gegenseitig verstärken. Konflikteskalation und -management essentiell für Anpassung von Normen und Regeln. Modell zeigt, wie Transformationsprozesse durch nationale Plattform und Zusammenarbeit ermöglicht werden.</w:t>
      </w:r>
    </w:p>
    <w:p>
      <w:r>
        <w:rPr>
          <w:b/>
          <w:sz w:val="19"/>
        </w:rPr>
        <w:t xml:space="preserve">Übertragbarkeit: </w:t>
      </w:r>
      <w:r>
        <w:rPr>
          <w:sz w:val="19"/>
        </w:rPr>
        <w:t>Niederlande, Sozialversicherungssystem - hohe Übertragbarkeit auf Deutschland</w:t>
      </w:r>
    </w:p>
    <w:p>
      <w:r>
        <w:rPr>
          <w:color w:val="5A7D3A"/>
          <w:sz w:val="18"/>
        </w:rPr>
        <w:t>https://pubmed.ncbi.nlm.nih.gov/42787321/</w:t>
      </w:r>
    </w:p>
    <w:p>
      <w:pPr>
        <w:pStyle w:val="Heading2"/>
      </w:pPr>
      <w:r>
        <w:t>Komplexität von Beatmungsentwöhnung in der Intensivmedizin</w:t>
      </w:r>
    </w:p>
    <w:p>
      <w:r>
        <w:rPr>
          <w:i/>
          <w:color w:val="666666"/>
          <w:sz w:val="18"/>
        </w:rPr>
        <w:t>Sterr F et al.  ·  Nurs Crit Care  ·  Nov. 2026  ·  PMID 42786673</w:t>
      </w:r>
    </w:p>
    <w:p>
      <w:r>
        <w:t>Qualitative Studie mit 29 Intensivpflegefachkräften zur Identifikation von Charakteristika und Mechanismen der Beatmungsentwöhnung als komplexe Intervention.</w:t>
      </w:r>
    </w:p>
    <w:p>
      <w:r>
        <w:rPr>
          <w:b/>
        </w:rPr>
        <w:t xml:space="preserve">Ergebnis: </w:t>
      </w:r>
      <w:r>
        <w:t>Vier Hauptthemen identifiziert: Komplexität der Beatmungsentwöhnung, Outcomes, Interventionen sowie Verknüpfungen und Wechselwirkungen. Analyse zeigt, dass Beatmungsentwöhnung durch Interaktion verschiedener Interventionen, Outcomes und kontextueller Faktoren geprägt ist und theoretisch-konzeptuell organisiert werden muss.</w:t>
      </w:r>
    </w:p>
    <w:p>
      <w:r>
        <w:rPr>
          <w:b/>
          <w:sz w:val="19"/>
        </w:rPr>
        <w:t xml:space="preserve">Übertragbarkeit: </w:t>
      </w:r>
      <w:r>
        <w:rPr>
          <w:sz w:val="19"/>
        </w:rPr>
        <w:t>Deutschland, qualitative Analyse von Intensivpflegeprozessen - systemunabhängig übertragbar</w:t>
      </w:r>
    </w:p>
    <w:p>
      <w:r>
        <w:rPr>
          <w:color w:val="5A7D3A"/>
          <w:sz w:val="18"/>
        </w:rPr>
        <w:t>https://pubmed.ncbi.nlm.nih.gov/42786673/</w:t>
      </w:r>
    </w:p>
    <w:p>
      <w:pPr>
        <w:pStyle w:val="Heading2"/>
      </w:pPr>
      <w:r>
        <w:t>Vertrauen in Gesundheitssystem und Vermeidung von Gesundheitsleistungen</w:t>
      </w:r>
    </w:p>
    <w:p>
      <w:r>
        <w:rPr>
          <w:i/>
          <w:color w:val="666666"/>
          <w:sz w:val="18"/>
        </w:rPr>
        <w:t>Uçar M et al.  ·  BMC Health Serv Res  ·  31.08.2026  ·  PMID 42786500</w:t>
      </w:r>
    </w:p>
    <w:p>
      <w:r>
        <w:t>Querschnittsuntersuchung zum Zusammenhang zwischen medizinischem Vertrauen, Systemvertrauen und Verzögerungsverhalten bei der Inanspruchnahme sowie Einstellung zu Krebsscreening in der Primärversorgung.</w:t>
      </w:r>
    </w:p>
    <w:p>
      <w:r>
        <w:rPr>
          <w:b/>
        </w:rPr>
        <w:t xml:space="preserve">Ergebnis: </w:t>
      </w:r>
      <w:r>
        <w:t>Medizinisches Misstrauen und Systemvertrauen waren positiv mit Verzögerungsverhalten assoziiert und negativ mit Screening-Einstellungen (p&lt;0,001). Medizinisches Misstrauen zeigte stärkste unabhängige Assoziation mit Verzögerungsverhalten (β=0,59) und Screening-Einstellung (β=-0,79).</w:t>
      </w:r>
    </w:p>
    <w:p>
      <w:r>
        <w:rPr>
          <w:b/>
          <w:sz w:val="19"/>
        </w:rPr>
        <w:t xml:space="preserve">Übertragbarkeit: </w:t>
      </w:r>
      <w:r>
        <w:rPr>
          <w:sz w:val="19"/>
        </w:rPr>
        <w:t>Türkei, aber Fragestellung zum Vertrauensaufbau systemunabhängig relevant</w:t>
      </w:r>
    </w:p>
    <w:p>
      <w:r>
        <w:rPr>
          <w:color w:val="5A7D3A"/>
          <w:sz w:val="18"/>
        </w:rPr>
        <w:t>https://pubmed.ncbi.nlm.nih.gov/42786500/</w:t>
      </w:r>
    </w:p>
    <w:p>
      <w:pPr>
        <w:pStyle w:val="Heading2"/>
      </w:pPr>
      <w:r>
        <w:t>Versorgungslücken in der Rehabilitation von unter 60-Jährigen in Deutschland</w:t>
      </w:r>
    </w:p>
    <w:p>
      <w:r>
        <w:rPr>
          <w:i/>
          <w:color w:val="666666"/>
          <w:sz w:val="18"/>
        </w:rPr>
        <w:t>Armbruster C et al.  ·  BMC Health Serv Res  ·  24.09.2026  ·  PMID 42786497</w:t>
      </w:r>
    </w:p>
    <w:p>
      <w:r>
        <w:t>Exploratory Expertenbefragung zu Versorgungslücken und Machbarkeit einer indikationsübergreifenden, ambulanten Rehabilitationsversorgung für Patienten unter 60 Jahren mit komplexen Beeinträchtigungen.</w:t>
      </w:r>
    </w:p>
    <w:p>
      <w:r>
        <w:rPr>
          <w:b/>
        </w:rPr>
        <w:t xml:space="preserve">Ergebnis: </w:t>
      </w:r>
      <w:r>
        <w:t>136 Experten aus sechs Fachbereichen nahmen teil; überwiegende Mehrheit sah hohe Versorgungslücken in aktuellen Rehabilitationsdiensten. Experten bewerteten indikationsübergreifende, ambulante Rehabilitation positiv bezüglich Nutzen und Notwendigkeit, um bestehende Versorgungslücken zu schließen.</w:t>
      </w:r>
    </w:p>
    <w:p>
      <w:r>
        <w:rPr>
          <w:b/>
          <w:sz w:val="19"/>
        </w:rPr>
        <w:t xml:space="preserve">Übertragbarkeit: </w:t>
      </w:r>
      <w:r>
        <w:rPr>
          <w:sz w:val="19"/>
        </w:rPr>
        <w:t>Deutsche Expertenbefragung, direkt auf deutsches Versorgungssystem anwendbar</w:t>
      </w:r>
    </w:p>
    <w:p>
      <w:r>
        <w:rPr>
          <w:color w:val="5A7D3A"/>
          <w:sz w:val="18"/>
        </w:rPr>
        <w:t>https://pubmed.ncbi.nlm.nih.gov/42786497/</w:t>
      </w:r>
    </w:p>
    <w:p>
      <w:pPr>
        <w:pStyle w:val="Heading1"/>
      </w:pPr>
      <w:r>
        <w:t>Aufgenommen am 25.09.2026</w:t>
      </w:r>
    </w:p>
    <w:p>
      <w:pPr>
        <w:pStyle w:val="Heading2"/>
      </w:pPr>
      <w:r>
        <w:t>Morbiditäten und Infektionen bei MS-Patienten in niederländischen Hausarztpraxen</w:t>
      </w:r>
    </w:p>
    <w:p>
      <w:r>
        <w:rPr>
          <w:i/>
          <w:color w:val="666666"/>
          <w:sz w:val="18"/>
        </w:rPr>
        <w:t>Lemmens CMC et al.  ·  Mult Scler Relat Disord  ·  14.09.2026  ·  PMID 42785001</w:t>
      </w:r>
    </w:p>
    <w:p>
      <w:r>
        <w:t>Retrospektive Fall-Kontroll-Studie zu Begleiterkrankungen und Infektionsraten bei MS-Patienten versus Kontrollpersonen in niederländischen Primärversorgungspraxen (Nivel-Datenbank 2019).</w:t>
      </w:r>
    </w:p>
    <w:p>
      <w:r>
        <w:rPr>
          <w:b/>
        </w:rPr>
        <w:t xml:space="preserve">Ergebnis: </w:t>
      </w:r>
      <w:r>
        <w:t>MS-Patienten zeigten höhere Lebenszeitprävalenz chronischer Erkrankungen (insbesondere Osteoporose, Schlaganfall, Epilepsie); jährliche Infektionsrate OR 1,86 (95%-KI 1,73–1,99). CCI-Scores ≥2 und ≥1 Infektionsepisode waren mit erhöhter 5-Jahres-Mortalität assoziiert (aHR 3,30 bzw. 1,68).</w:t>
      </w:r>
    </w:p>
    <w:p>
      <w:r>
        <w:rPr>
          <w:b/>
          <w:sz w:val="19"/>
        </w:rPr>
        <w:t xml:space="preserve">Übertragbarkeit: </w:t>
      </w:r>
      <w:r>
        <w:rPr>
          <w:sz w:val="19"/>
        </w:rPr>
        <w:t>Niederlande, Primärversorgungsdaten; vergleichbares Sozialversicherungssystem</w:t>
      </w:r>
    </w:p>
    <w:p>
      <w:r>
        <w:rPr>
          <w:color w:val="5A7D3A"/>
          <w:sz w:val="18"/>
        </w:rPr>
        <w:t>https://pubmed.ncbi.nlm.nih.gov/42785001/</w:t>
      </w:r>
    </w:p>
    <w:p>
      <w:pPr>
        <w:pStyle w:val="Heading2"/>
      </w:pPr>
      <w:r>
        <w:t>Patientenperspektiven auf Apotheker-gesteuertes Hypertonie-Management nach Notaufnahme</w:t>
      </w:r>
    </w:p>
    <w:p>
      <w:r>
        <w:rPr>
          <w:i/>
          <w:color w:val="666666"/>
          <w:sz w:val="18"/>
        </w:rPr>
        <w:t>Kuhn D et al.  ·  Am J Health Syst Pharm  ·  24.09.2026  ·  PMID 42781767</w:t>
      </w:r>
    </w:p>
    <w:p>
      <w:r>
        <w:t>Qualitative Studie mit 11 Patienten aus urban-akademischer Notaufnahme zur Akzeptanz von Apotheker-gesteuerter Hypertonie-Nachbetreuung nach Entlassung.</w:t>
      </w:r>
    </w:p>
    <w:p>
      <w:r>
        <w:rPr>
          <w:b/>
        </w:rPr>
        <w:t xml:space="preserve">Ergebnis: </w:t>
      </w:r>
      <w:r>
        <w:t>Vier Themen: (1) begrenzte Hypertonie-Kommunikation, Wissenslücken; (2) Technologie mindert Barrieren; (3) Apotheker-Expertise akzeptiert, aber Unsicherheit zu Qualifikation/Verschreibungsrecht; (4) Wert von Kontinuität und Arzt-Apotheker-Zusammenarbeit.</w:t>
      </w:r>
    </w:p>
    <w:p>
      <w:r>
        <w:rPr>
          <w:b/>
          <w:sz w:val="19"/>
        </w:rPr>
        <w:t xml:space="preserve">Übertragbarkeit: </w:t>
      </w:r>
      <w:r>
        <w:rPr>
          <w:sz w:val="19"/>
        </w:rPr>
        <w:t>USA, aber Fragestellung zu Prozessen/Patientenperspektive teilweise übertragbar</w:t>
      </w:r>
    </w:p>
    <w:p>
      <w:r>
        <w:rPr>
          <w:color w:val="5A7D3A"/>
          <w:sz w:val="18"/>
        </w:rPr>
        <w:t>https://pubmed.ncbi.nlm.nih.gov/42781767/</w:t>
      </w:r>
    </w:p>
    <w:p>
      <w:pPr>
        <w:pStyle w:val="Heading2"/>
      </w:pPr>
      <w:r>
        <w:t>Referenzpreise beeinflussen Kostenanalysen in gesundheitsökonomischen Evaluationen</w:t>
      </w:r>
    </w:p>
    <w:p>
      <w:r>
        <w:rPr>
          <w:i/>
          <w:color w:val="666666"/>
          <w:sz w:val="18"/>
        </w:rPr>
        <w:t>Hoelen TA et al.  ·  Int J Technol Assess Health Care  ·  24.09.2026  ·  PMID 42779108</w:t>
      </w:r>
    </w:p>
    <w:p>
      <w:r>
        <w:t>Empirischer Vergleich der Auswirkungen nationaler Preisrichtlinien auf Kostenanalysen von Gesundheitstechnologien anhand idiopathischer Skoliose in Niederlanden und Großbritannien.</w:t>
      </w:r>
    </w:p>
    <w:p>
      <w:r>
        <w:rPr>
          <w:b/>
        </w:rPr>
        <w:t xml:space="preserve">Ergebnis: </w:t>
      </w:r>
      <w:r>
        <w:t>Niederländische Kostenestimate stiegen um 18% nach Richtlinien-Update 2014–2024; UK-Kosten waren 69% höher als in NL. Zwölf niederländische Kostenposten änderten sich um &gt;10%, vier britische – deutliche Methodenvariation zwischen Ländern.</w:t>
      </w:r>
    </w:p>
    <w:p>
      <w:r>
        <w:rPr>
          <w:b/>
          <w:sz w:val="19"/>
        </w:rPr>
        <w:t xml:space="preserve">Übertragbarkeit: </w:t>
      </w:r>
      <w:r>
        <w:rPr>
          <w:sz w:val="19"/>
        </w:rPr>
        <w:t>Niederlande, Vereinigtes Königreich; zentrale Erkenntnisse zu Übertragbarkeitsgrenzen</w:t>
      </w:r>
    </w:p>
    <w:p>
      <w:r>
        <w:rPr>
          <w:color w:val="5A7D3A"/>
          <w:sz w:val="18"/>
        </w:rPr>
        <w:t>https://pubmed.ncbi.nlm.nih.gov/42779108/</w:t>
      </w:r>
    </w:p>
    <w:p>
      <w:pPr>
        <w:pStyle w:val="Heading2"/>
      </w:pPr>
      <w:r>
        <w:t>Regionale Demenz-Strategie durch Delphi-Prozess: Sachsen-Anhalt</w:t>
      </w:r>
    </w:p>
    <w:p>
      <w:r>
        <w:rPr>
          <w:i/>
          <w:color w:val="666666"/>
          <w:sz w:val="18"/>
        </w:rPr>
        <w:t>Schiller C et al.  ·  BMC Health Serv Res  ·  22.09.2026  ·  PMID 42778917</w:t>
      </w:r>
    </w:p>
    <w:p>
      <w:r>
        <w:t>Partizipative, zweiphasige Methode (Delphi + deliberative Dialoge) zur Entwicklung einer regionalen Demenz-Strategie mit 406 Teilnehmern (Betroffene, Angehörige, Fachkräfte, Politiker).</w:t>
      </w:r>
    </w:p>
    <w:p>
      <w:r>
        <w:rPr>
          <w:b/>
        </w:rPr>
        <w:t xml:space="preserve">Ergebnis: </w:t>
      </w:r>
      <w:r>
        <w:t>88 initiale Ziele; 47 erreichten Konsens in Runde 1, 21 weitere in Runde 2, 7 durch Dialoge validiert. Finale Strategie: 40 strategische Ziele in vier Themenbereichen. Identifizierte Hürden: Fachkräftemangel, Bürokratie, Angehörigen-Belastung.</w:t>
      </w:r>
    </w:p>
    <w:p>
      <w:r>
        <w:rPr>
          <w:b/>
          <w:sz w:val="19"/>
        </w:rPr>
        <w:t xml:space="preserve">Übertragbarkeit: </w:t>
      </w:r>
      <w:r>
        <w:rPr>
          <w:sz w:val="19"/>
        </w:rPr>
        <w:t>Deutschland (Sachsen-Anhalt); direkter Übertrag auf Versorgungsplanung</w:t>
      </w:r>
    </w:p>
    <w:p>
      <w:r>
        <w:rPr>
          <w:color w:val="5A7D3A"/>
          <w:sz w:val="18"/>
        </w:rPr>
        <w:t>https://pubmed.ncbi.nlm.nih.gov/42778917/</w:t>
      </w:r>
    </w:p>
    <w:p>
      <w:pPr>
        <w:pStyle w:val="Heading2"/>
      </w:pPr>
      <w:r>
        <w:t>Ökonomische Evaluation von Prävention gegen Langzeiterkrankschreibung</w:t>
      </w:r>
    </w:p>
    <w:p>
      <w:r>
        <w:rPr>
          <w:i/>
          <w:color w:val="666666"/>
          <w:sz w:val="18"/>
        </w:rPr>
        <w:t>Klasen S et al.  ·  J Occup Rehabil  ·  23.09.2026  ·  PMID 42778834</w:t>
      </w:r>
    </w:p>
    <w:p>
      <w:r>
        <w:t>Gesundheitsökonomische Analyse einer Früh-Interventionsstrategie gegen Langzeitausfallrisiko basierend auf RCT-Daten mit 12-Monats-Follow-up in Niederlanden.</w:t>
      </w:r>
    </w:p>
    <w:p>
      <w:r>
        <w:rPr>
          <w:b/>
        </w:rPr>
        <w:t xml:space="preserve">Ergebnis: </w:t>
      </w:r>
      <w:r>
        <w:t>Aus Arbeitgeber-Perspektive dominant (€–3,92/Punkt Selbstempfundene-Gesundheit-Verbesserung mit Kostenersparnis durch reduzierte Krankschreibung). Aus Gesellschafts- und Gesundheitswesen-Perspektive: ICER €39,19–39,77/Punkt.</w:t>
      </w:r>
    </w:p>
    <w:p>
      <w:r>
        <w:rPr>
          <w:b/>
          <w:sz w:val="19"/>
        </w:rPr>
        <w:t xml:space="preserve">Übertragbarkeit: </w:t>
      </w:r>
      <w:r>
        <w:rPr>
          <w:sz w:val="19"/>
        </w:rPr>
        <w:t>Niederlande, Sozialversicherungssystem, Arbeitsmedizin-Fokus</w:t>
      </w:r>
    </w:p>
    <w:p>
      <w:r>
        <w:rPr>
          <w:color w:val="5A7D3A"/>
          <w:sz w:val="18"/>
        </w:rPr>
        <w:t>https://pubmed.ncbi.nlm.nih.gov/42778834/</w:t>
      </w:r>
    </w:p>
    <w:p>
      <w:pPr>
        <w:pStyle w:val="Heading2"/>
      </w:pPr>
      <w:r>
        <w:t>Kosteneffektivität von endoskopischer Schlauchmagen-Bildung in Singapur</w:t>
      </w:r>
    </w:p>
    <w:p>
      <w:r>
        <w:rPr>
          <w:i/>
          <w:color w:val="666666"/>
          <w:sz w:val="18"/>
        </w:rPr>
        <w:t>Chay J et al.  ·  Surg Obes Relat Dis  ·  28.08.2026  ·  PMID 42767913</w:t>
      </w:r>
    </w:p>
    <w:p>
      <w:r>
        <w:t>Markov-Modell zur Lebenszeitanalyse von endoskopischer Schlauchmagen-Bildung plus Lebensstiländerung versus alleinige Lebensstiländerung bei Adipositas.</w:t>
      </w:r>
    </w:p>
    <w:p>
      <w:r>
        <w:rPr>
          <w:b/>
        </w:rPr>
        <w:t xml:space="preserve">Ergebnis: </w:t>
      </w:r>
      <w:r>
        <w:t>ICER SG$24.580/QALY (US$18.410). Für Patienten ohne T2D: SG$19.320/QALY; mit T2D: SG$37.320/QALY. Bei Schwelle SG$75.000/QALY kosteneffektiv in 98,8% probabilistischer Sensitivitätsanalysen.</w:t>
      </w:r>
    </w:p>
    <w:p>
      <w:r>
        <w:rPr>
          <w:b/>
          <w:sz w:val="19"/>
        </w:rPr>
        <w:t xml:space="preserve">Übertragbarkeit: </w:t>
      </w:r>
      <w:r>
        <w:rPr>
          <w:sz w:val="19"/>
        </w:rPr>
        <w:t>Nur bedingt: Singapur-Kontext, andere Kostenstrukturen; Fragestellung aber systemunabhängig</w:t>
      </w:r>
    </w:p>
    <w:p>
      <w:r>
        <w:rPr>
          <w:color w:val="5A7D3A"/>
          <w:sz w:val="18"/>
        </w:rPr>
        <w:t>https://pubmed.ncbi.nlm.nih.gov/42767913/</w:t>
      </w:r>
    </w:p>
    <w:p>
      <w:pPr>
        <w:pStyle w:val="Heading1"/>
      </w:pPr>
      <w:r>
        <w:t>Aufgenommen am 24.09.2026</w:t>
      </w:r>
    </w:p>
    <w:p>
      <w:pPr>
        <w:pStyle w:val="Heading2"/>
      </w:pPr>
      <w:r>
        <w:t>Rauchen und schwere Erkrankungen: 10-Jahres-Assoziation mit Nikotinentwöhnung</w:t>
      </w:r>
    </w:p>
    <w:p>
      <w:r>
        <w:rPr>
          <w:i/>
          <w:color w:val="666666"/>
          <w:sz w:val="18"/>
        </w:rPr>
        <w:t>Imai E et al.  ·  J Epidemiol  ·  19.09.2026  ·  PMID 42778372</w:t>
      </w:r>
    </w:p>
    <w:p>
      <w:r>
        <w:t>Prospektive Kohortenstudie mit 17.779 japanischen Rauchern zur Assoziation von Herzinfarkt, Schlaganfall, Krebs und Chirurgie mit langfristiger Rauchentwöhnung.</w:t>
      </w:r>
    </w:p>
    <w:p>
      <w:r>
        <w:rPr>
          <w:b/>
        </w:rPr>
        <w:t xml:space="preserve">Ergebnis: </w:t>
      </w:r>
      <w:r>
        <w:t>26,9 % der Raucher (n=4.789) beendeten das Rauchen über 10 Jahre. Major-disease-Diagnosen zeigten starke Assoziation mit Entwöhnung (OR 5,39; 95%-KI 4,80–6,05); Herzinfarkt OR 6,87 (95%-KI 5,18–9,12), Schlaganfall OR 4,03 (95%-KI 3,40–4,78), Lungenkrebs OR 7,41 (95%-KI 4,44–12,51).</w:t>
      </w:r>
    </w:p>
    <w:p>
      <w:r>
        <w:rPr>
          <w:b/>
          <w:sz w:val="19"/>
        </w:rPr>
        <w:t xml:space="preserve">Übertragbarkeit: </w:t>
      </w:r>
      <w:r>
        <w:rPr>
          <w:sz w:val="19"/>
        </w:rPr>
        <w:t>Japan – Fragestellung systemunabhängig; vergleichbare Verhaltensforschung übertragbar</w:t>
      </w:r>
    </w:p>
    <w:p>
      <w:r>
        <w:rPr>
          <w:color w:val="5A7D3A"/>
          <w:sz w:val="18"/>
        </w:rPr>
        <w:t>https://pubmed.ncbi.nlm.nih.gov/42778372/</w:t>
      </w:r>
    </w:p>
    <w:p>
      <w:pPr>
        <w:pStyle w:val="Heading2"/>
      </w:pPr>
      <w:r>
        <w:t>Gemeindeverankerung und Verbleib von Ärzten in unterversorgten Regionen</w:t>
      </w:r>
    </w:p>
    <w:p>
      <w:r>
        <w:rPr>
          <w:i/>
          <w:color w:val="666666"/>
          <w:sz w:val="18"/>
        </w:rPr>
        <w:t>Pathman DE et al.  ·  JAMA Netw Open  ·  01.09.2026  ·  PMID 42776525</w:t>
      </w:r>
    </w:p>
    <w:p>
      <w:r>
        <w:t>Querschnittsstudie mit 1.074 Ärzten in ländlichen und urbanen Health Professional Shortage Areas (HPSA) zur Assoziation von Gemeindeintegration mit beabsichtigtem Verbleib.</w:t>
      </w:r>
    </w:p>
    <w:p>
      <w:r>
        <w:rPr>
          <w:b/>
        </w:rPr>
        <w:t xml:space="preserve">Ergebnis: </w:t>
      </w:r>
      <w:r>
        <w:t>75,5 % der Ärzte in ländlichen und 71,2 % in urbanen HPSA planten Verbleib &gt;2 Jahre (p=0,14). Beide Dimensionen (Gemeindeintegration β=0,58–0,69; Gemeindebedarfserfüllung β=0,56–0,61) waren unabhängig assoziiert mit Verbleib; keine signifikanten ländlich-urbanen Unterschiede.</w:t>
      </w:r>
    </w:p>
    <w:p>
      <w:r>
        <w:rPr>
          <w:b/>
          <w:sz w:val="19"/>
        </w:rPr>
        <w:t xml:space="preserve">Übertragbarkeit: </w:t>
      </w:r>
      <w:r>
        <w:rPr>
          <w:sz w:val="19"/>
        </w:rPr>
        <w:t>USA-Daten – Fragestellung zu Ärztebindung aber systemunabhängig relevant</w:t>
      </w:r>
    </w:p>
    <w:p>
      <w:r>
        <w:rPr>
          <w:color w:val="5A7D3A"/>
          <w:sz w:val="18"/>
        </w:rPr>
        <w:t>https://pubmed.ncbi.nlm.nih.gov/42776525/</w:t>
      </w:r>
    </w:p>
    <w:p>
      <w:pPr>
        <w:pStyle w:val="Heading2"/>
      </w:pPr>
      <w:r>
        <w:t>Unkomplizierte Harnwegsinfekte: Apothekerverschreibung in der Gemeindepharmzie</w:t>
      </w:r>
    </w:p>
    <w:p>
      <w:r>
        <w:rPr>
          <w:i/>
          <w:color w:val="666666"/>
          <w:sz w:val="18"/>
        </w:rPr>
        <w:t>Budden M et al.  ·  Int J Clin Pharm  ·  23.09.2026  ·  PMID 42776432</w:t>
      </w:r>
    </w:p>
    <w:p>
      <w:r>
        <w:t>Große Kohortenstudie (n=14.680 Follow-up) zu Wirksamkeit und Sicherheit von strukturierter Apothekerverschreibung für unkomplizierte Harnwegsinfekte in Australien.</w:t>
      </w:r>
    </w:p>
    <w:p>
      <w:r>
        <w:rPr>
          <w:b/>
        </w:rPr>
        <w:t xml:space="preserve">Ergebnis: </w:t>
      </w:r>
      <w:r>
        <w:t>Symptomauflösung nach 7 Tagen bei 79,4 % der Patienten, weitere 17,9 % mit Teilbesserung. Antibiotika in 92,6 % verschrieben, Überweisungen in 6,9 %, Nebenwirkungen in 5,0 % (meist milde gastrointestinale Symptome).</w:t>
      </w:r>
    </w:p>
    <w:p>
      <w:r>
        <w:rPr>
          <w:b/>
          <w:sz w:val="19"/>
        </w:rPr>
        <w:t xml:space="preserve">Übertragbarkeit: </w:t>
      </w:r>
      <w:r>
        <w:rPr>
          <w:sz w:val="19"/>
        </w:rPr>
        <w:t>Australien – vergleichbar zu Apotheker-Extended-Services in Sozialversicherungssystemen</w:t>
      </w:r>
    </w:p>
    <w:p>
      <w:r>
        <w:rPr>
          <w:color w:val="5A7D3A"/>
          <w:sz w:val="18"/>
        </w:rPr>
        <w:t>https://pubmed.ncbi.nlm.nih.gov/42776432/</w:t>
      </w:r>
    </w:p>
    <w:p>
      <w:pPr>
        <w:pStyle w:val="Heading2"/>
      </w:pPr>
      <w:r>
        <w:t>Augenärztliche Versorgung in deutschen Seniorenheimen: TOVIS-Studie</w:t>
      </w:r>
    </w:p>
    <w:p>
      <w:r>
        <w:rPr>
          <w:i/>
          <w:color w:val="666666"/>
          <w:sz w:val="18"/>
        </w:rPr>
        <w:t>Ach T et al.  ·  Z Gerontol Geriatr  ·  23.09.2026  ·  PMID 42776232</w:t>
      </w:r>
    </w:p>
    <w:p>
      <w:r>
        <w:t>Narrative Übersicht mit Fokus auf Versorgungslücken bei Augenerkrankungen in deutschen Pflegeheimen und Teleophthalmologie-Modell TOVIS (n=109 Bewohner).</w:t>
      </w:r>
    </w:p>
    <w:p>
      <w:r>
        <w:rPr>
          <w:b/>
        </w:rPr>
        <w:t xml:space="preserve">Ergebnis: </w:t>
      </w:r>
      <w:r>
        <w:t>OVIS-Studie: 61 % der Bewohner hatten behandlungsbedürftige ophthalmologische Befunde (Katarakt 53 %, AMD 39 %); letzte Augenarztvisite durchschnittlich 4 Jahre zurück. TOVIS-Pilotstudie: 48,5 % visusrelevante Katarakt, 34,1 % AMD, 60,6 % unzureichend angepasste Brille; nur 26,9 % der empfohlenen Nachuntersuchungen tatsächlich wahrgenommen.</w:t>
      </w:r>
    </w:p>
    <w:p>
      <w:r>
        <w:rPr>
          <w:b/>
          <w:sz w:val="19"/>
        </w:rPr>
        <w:t xml:space="preserve">Übertragbarkeit: </w:t>
      </w:r>
      <w:r>
        <w:rPr>
          <w:sz w:val="19"/>
        </w:rPr>
        <w:t>Deutsche Daten, Seniorenheime – direkt auf deutsches System übertragbar</w:t>
      </w:r>
    </w:p>
    <w:p>
      <w:r>
        <w:rPr>
          <w:color w:val="5A7D3A"/>
          <w:sz w:val="18"/>
        </w:rPr>
        <w:t>https://pubmed.ncbi.nlm.nih.gov/42776232/</w:t>
      </w:r>
    </w:p>
    <w:p>
      <w:pPr>
        <w:pStyle w:val="Heading2"/>
      </w:pPr>
      <w:r>
        <w:t>Soziale Determinanten und Gesundheitsungleichheit: Systemdynamische Perspektive</w:t>
      </w:r>
    </w:p>
    <w:p>
      <w:r>
        <w:rPr>
          <w:i/>
          <w:color w:val="666666"/>
          <w:sz w:val="18"/>
        </w:rPr>
        <w:t>Sturmberg JP et al.  ·  Front Public Health  ·  08.09.2026  ·  PMID 42774359</w:t>
      </w:r>
    </w:p>
    <w:p>
      <w:r>
        <w:t>Konzeptionelle Übersichtsarbeit zu Mechanismen, wie vernetzte soziale Determinanten Gesundheitsungleichheit durch biologisches Embedding und Rückkopplungsschleifen über die Lebensspanne verfestigen.</w:t>
      </w:r>
    </w:p>
    <w:p>
      <w:r>
        <w:rPr>
          <w:b/>
        </w:rPr>
        <w:t xml:space="preserve">Ergebnis: </w:t>
      </w:r>
      <w:r>
        <w:t>Kernaussage: Frühe biologische Prägung (Stressregulation, Entzündung, Epigenetik) und systemische Rückkopplungsschleifen stabilisieren Nachteil über Generationen; Nichtlinearität erklärt begrenzte Effekte isolierter Interventionen. Koordinierte, ortsgestützte Strategien und relationale Kontinuität in Primärversorgung zeigen Potenzial.</w:t>
      </w:r>
    </w:p>
    <w:p>
      <w:r>
        <w:rPr>
          <w:b/>
          <w:sz w:val="19"/>
        </w:rPr>
        <w:t xml:space="preserve">Übertragbarkeit: </w:t>
      </w:r>
      <w:r>
        <w:rPr>
          <w:sz w:val="19"/>
        </w:rPr>
        <w:t>Konzeptionelle Analyse – systemunabhängig, aber besonders relevant für Versorgungsstruktur</w:t>
      </w:r>
    </w:p>
    <w:p>
      <w:r>
        <w:rPr>
          <w:color w:val="5A7D3A"/>
          <w:sz w:val="18"/>
        </w:rPr>
        <w:t>https://pubmed.ncbi.nlm.nih.gov/42774359/</w:t>
      </w:r>
    </w:p>
    <w:p>
      <w:pPr>
        <w:pStyle w:val="Heading2"/>
      </w:pPr>
      <w:r>
        <w:t>Künstliche Intelligenz in der Kosten-Effektivitäts-Bewertung von Schmerztherapie</w:t>
      </w:r>
    </w:p>
    <w:p>
      <w:r>
        <w:rPr>
          <w:i/>
          <w:color w:val="666666"/>
          <w:sz w:val="18"/>
        </w:rPr>
        <w:t>Zmudzki F et al.  ·  Expert Rev Pharmacoecon Outcomes Res  ·  22.09.2026  ·  PMID 42773780</w:t>
      </w:r>
    </w:p>
    <w:p>
      <w:r>
        <w:t>Übersichtsarbeit zu Integration von KI-Methoden in ökonomische Evaluationen zur Präzisionsmedizin bei chronischem Schmerz.</w:t>
      </w:r>
    </w:p>
    <w:p>
      <w:r>
        <w:rPr>
          <w:b/>
        </w:rPr>
        <w:t xml:space="preserve">Ergebnis: </w:t>
      </w:r>
      <w:r>
        <w:t>Diskussion, wie maschinelles Lernen und automatisierte Datenverarbeitung ökonomische Rahmen für personalisierte Schmerzmanagement-Strategien verbessern können; konkrete Ergebnisse im Abstract nicht quantifiziert.</w:t>
      </w:r>
    </w:p>
    <w:p>
      <w:r>
        <w:rPr>
          <w:b/>
          <w:sz w:val="19"/>
        </w:rPr>
        <w:t xml:space="preserve">Übertragbarkeit: </w:t>
      </w:r>
      <w:r>
        <w:rPr>
          <w:sz w:val="19"/>
        </w:rPr>
        <w:t>Konzeptionelle Methodologie – systemunabhängig auf KI-Anwendungen fokussiert</w:t>
      </w:r>
    </w:p>
    <w:p>
      <w:r>
        <w:rPr>
          <w:color w:val="5A7D3A"/>
          <w:sz w:val="18"/>
        </w:rPr>
        <w:t>https://pubmed.ncbi.nlm.nih.gov/42773780/</w:t>
      </w:r>
    </w:p>
    <w:p>
      <w:pPr>
        <w:pStyle w:val="Heading1"/>
      </w:pPr>
      <w:r>
        <w:t>Aufgenommen am 23.09.2026</w:t>
      </w:r>
    </w:p>
    <w:p>
      <w:pPr>
        <w:pStyle w:val="Heading2"/>
      </w:pPr>
      <w:r>
        <w:t>Einkommensvolatilität und Mortalität bei Depression</w:t>
      </w:r>
    </w:p>
    <w:p>
      <w:r>
        <w:rPr>
          <w:i/>
          <w:color w:val="666666"/>
          <w:sz w:val="18"/>
        </w:rPr>
        <w:t>Cho H et al.  ·  J Korean Med Sci  ·  21.09.2026  ·  PMID 42773077</w:t>
      </w:r>
    </w:p>
    <w:p>
      <w:r>
        <w:t>Koreanische Kohortenstudie an 735.922 Personen mit Depression, die Zusammenhang zwischen Einkommensvolatilität und all-cause-Mortalität sowie Hospitalisierungen untersuchte.</w:t>
      </w:r>
    </w:p>
    <w:p>
      <w:r>
        <w:rPr>
          <w:b/>
        </w:rPr>
        <w:t xml:space="preserve">Ergebnis: </w:t>
      </w:r>
      <w:r>
        <w:t>Höhere Einkommensvolatilität assoziiert mit erhöhtem Mortalitätsrisiko (HR 1,18; 95%-KI 1,16–1,19) und Hospitalisierungen (IRR 1,07; 1,06–1,08). Bei Männern stärker ausgeprägt (HR 1,26 vs. 1,12 bei Frauen). Besonders hohe Risiken für Bluterkrankungen (IRR 1,47), endokrine Erkrankungen (1,40) und psychische Störungen (1,26).</w:t>
      </w:r>
    </w:p>
    <w:p>
      <w:r>
        <w:rPr>
          <w:b/>
          <w:sz w:val="19"/>
        </w:rPr>
        <w:t xml:space="preserve">Übertragbarkeit: </w:t>
      </w:r>
      <w:r>
        <w:rPr>
          <w:sz w:val="19"/>
        </w:rPr>
        <w:t>Südkorea – begrenzte Übertragbarkeit auf deutsches System mit anderer Sozialstruktur</w:t>
      </w:r>
    </w:p>
    <w:p>
      <w:r>
        <w:rPr>
          <w:color w:val="5A7D3A"/>
          <w:sz w:val="18"/>
        </w:rPr>
        <w:t>https://pubmed.ncbi.nlm.nih.gov/42773077/</w:t>
      </w:r>
    </w:p>
    <w:p>
      <w:pPr>
        <w:pStyle w:val="Heading2"/>
      </w:pPr>
      <w:r>
        <w:t>Ultra-verarbeitete Lebensmittel und chronische Erkrankungen</w:t>
      </w:r>
    </w:p>
    <w:p>
      <w:r>
        <w:rPr>
          <w:i/>
          <w:color w:val="666666"/>
          <w:sz w:val="18"/>
        </w:rPr>
        <w:t>Liu X et al.  ·  Fam Med Community Health  ·  22.09.2026  ·  PMID 42773062</w:t>
      </w:r>
    </w:p>
    <w:p>
      <w:r>
        <w:t>Metaanalyse von 51 prospektiven Kohortenstudien mit 8,8 Mio. Teilnehmern zu Risiken ultra-verarbeiteter Lebensmittel.</w:t>
      </w:r>
    </w:p>
    <w:p>
      <w:r>
        <w:rPr>
          <w:b/>
        </w:rPr>
        <w:t xml:space="preserve">Ergebnis: </w:t>
      </w:r>
      <w:r>
        <w:t>Ultra-verarbeitete Lebensmittel assoziiert mit kardiovaskulären Ereignissen (HR 1,24), Krebs (HR 1,12), Adipositas (HR 1,23), Diabetes (HR 1,24), Depression/Angststörung (HR 1,27), Verdauungserkrankungen (HR 1,31) und all-cause-Mortalität (HR 1,18). Pro 100 g/Tag zusätzlich: kardiovaskuläre Ereignisse HR 1,14.</w:t>
      </w:r>
    </w:p>
    <w:p>
      <w:r>
        <w:rPr>
          <w:b/>
          <w:sz w:val="19"/>
        </w:rPr>
        <w:t xml:space="preserve">Übertragbarkeit: </w:t>
      </w:r>
      <w:r>
        <w:rPr>
          <w:sz w:val="19"/>
        </w:rPr>
        <w:t>Internationale Daten – Fragestellung systemunabhängig, für Public-Health-Empfehlungen universell übertragbar</w:t>
      </w:r>
    </w:p>
    <w:p>
      <w:r>
        <w:rPr>
          <w:color w:val="5A7D3A"/>
          <w:sz w:val="18"/>
        </w:rPr>
        <w:t>https://pubmed.ncbi.nlm.nih.gov/42773062/</w:t>
      </w:r>
    </w:p>
    <w:p>
      <w:pPr>
        <w:pStyle w:val="Heading2"/>
      </w:pPr>
      <w:r>
        <w:t>Kardiovaskuläre Autonome Neuropathie und Diabeteskomplikationen</w:t>
      </w:r>
    </w:p>
    <w:p>
      <w:r>
        <w:rPr>
          <w:i/>
          <w:color w:val="666666"/>
          <w:sz w:val="18"/>
        </w:rPr>
        <w:t>Ignacy P et al.  ·  Clin Ther  ·  22.09.2026  ·  PMID 42773037</w:t>
      </w:r>
    </w:p>
    <w:p>
      <w:r>
        <w:t>Polnische Querschnittsstudie mit 728 Diabetespatienten zur Assoziation zwischen mikrovaskulären/makrovaskulären Komplikationen und kardiovaskulärer autonomer Neuropathie.</w:t>
      </w:r>
    </w:p>
    <w:p>
      <w:r>
        <w:rPr>
          <w:b/>
        </w:rPr>
        <w:t xml:space="preserve">Ergebnis: </w:t>
      </w:r>
      <w:r>
        <w:t>Kardiovaskuläre autonome Neuropathie bei 48,2% (davon definit 15,8%). Unabhängig assoziiert mit diabetischer Retinopathie (OR 2,26; 95%-KI 1,25–4,19; p=0,008); borderline mit CKD (OR 1,57; p=0,049). Keine signifikante Assoziation mit ASCVD.</w:t>
      </w:r>
    </w:p>
    <w:p>
      <w:r>
        <w:rPr>
          <w:b/>
          <w:sz w:val="19"/>
        </w:rPr>
        <w:t xml:space="preserve">Übertragbarkeit: </w:t>
      </w:r>
      <w:r>
        <w:rPr>
          <w:sz w:val="19"/>
        </w:rPr>
        <w:t>Polen – ähnliches Sozialversicherungssystem, gute Übertragbarkeit auf Deutschland</w:t>
      </w:r>
    </w:p>
    <w:p>
      <w:r>
        <w:rPr>
          <w:color w:val="5A7D3A"/>
          <w:sz w:val="18"/>
        </w:rPr>
        <w:t>https://pubmed.ncbi.nlm.nih.gov/42773037/</w:t>
      </w:r>
    </w:p>
    <w:p>
      <w:pPr>
        <w:pStyle w:val="Heading2"/>
      </w:pPr>
      <w:r>
        <w:t>Persona-Methode in partizipativer Versorgungsforschung</w:t>
      </w:r>
    </w:p>
    <w:p>
      <w:r>
        <w:rPr>
          <w:i/>
          <w:color w:val="666666"/>
          <w:sz w:val="18"/>
        </w:rPr>
        <w:t>Dittmer K et al.  ·  Z Evid Fortbild Qual Gesundhwes  ·  22.09.2026  ·  PMID 42773021</w:t>
      </w:r>
    </w:p>
    <w:p>
      <w:r>
        <w:t>Deutschsprachiger Methodenbericht zur Anwendung der Persona-Methode bei partizipativer Versorgungsforschung mit Fokusgruppen und Expert*innen.</w:t>
      </w:r>
    </w:p>
    <w:p>
      <w:r>
        <w:rPr>
          <w:b/>
        </w:rPr>
        <w:t xml:space="preserve">Ergebnis: </w:t>
      </w:r>
      <w:r>
        <w:t>Personas integrieren Erfahrungswissen mehrerer Experten anonym, ohne persönliche Daten preiszugeben; ideal für vulnerable Gruppen. Risiken: Stereotypisierung; Mitigation durch reflektive Entwicklungsprozesse. Reflexionsfragen zur Bias-Reduktion werden präsentiert.</w:t>
      </w:r>
    </w:p>
    <w:p>
      <w:r>
        <w:rPr>
          <w:b/>
          <w:sz w:val="19"/>
        </w:rPr>
        <w:t xml:space="preserve">Übertragbarkeit: </w:t>
      </w:r>
      <w:r>
        <w:rPr>
          <w:sz w:val="19"/>
        </w:rPr>
        <w:t>Deutsches Projekt – direkt übertragbar auf deutsche Versorgungsforschung</w:t>
      </w:r>
    </w:p>
    <w:p>
      <w:r>
        <w:rPr>
          <w:color w:val="5A7D3A"/>
          <w:sz w:val="18"/>
        </w:rPr>
        <w:t>https://pubmed.ncbi.nlm.nih.gov/42773021/</w:t>
      </w:r>
    </w:p>
    <w:p>
      <w:pPr>
        <w:pStyle w:val="Heading2"/>
      </w:pPr>
      <w:r>
        <w:t>Mobile Screening-Einheit für Barretts Ösophagus in England</w:t>
      </w:r>
    </w:p>
    <w:p>
      <w:r>
        <w:rPr>
          <w:i/>
          <w:color w:val="666666"/>
          <w:sz w:val="18"/>
        </w:rPr>
        <w:t>Landy R et al.  ·  BMJ Open Gastroenterol  ·  22.09.2026  ·  PMID 42772946</w:t>
      </w:r>
    </w:p>
    <w:p>
      <w:r>
        <w:t>Implementierungsstudie in England mit mobiler Einheit zur Kapselschwamm-Testung bei Refluxpatienten; Vergleich Hausarzt-Rekrutierung vs. Selbstmeldung.</w:t>
      </w:r>
    </w:p>
    <w:p>
      <w:r>
        <w:rPr>
          <w:b/>
        </w:rPr>
        <w:t xml:space="preserve">Ergebnis: </w:t>
      </w:r>
      <w:r>
        <w:t>Bei GP-Einladung: 50% Antwortquote, 59,6% interessiert, 66,3% elegibel, 532 teilgenommen; 15% aller Eingeladenen erfolgreich getestet. Bei Selbstmeldung: 39,6% erfolgreich getestet. Barretts-Prävalenz 4,2% (GP-invitiert) vs. 3,4% (Selbstmeldung). Akzeptanz &gt;99%.</w:t>
      </w:r>
    </w:p>
    <w:p>
      <w:r>
        <w:rPr>
          <w:b/>
          <w:sz w:val="19"/>
        </w:rPr>
        <w:t xml:space="preserve">Übertragbarkeit: </w:t>
      </w:r>
      <w:r>
        <w:rPr>
          <w:sz w:val="19"/>
        </w:rPr>
        <w:t>Großbritannien – ähnliche Primärversorgungsstruktur, begrenzte Übertragbarkeit (steuerfinanziert)</w:t>
      </w:r>
    </w:p>
    <w:p>
      <w:r>
        <w:rPr>
          <w:color w:val="5A7D3A"/>
          <w:sz w:val="18"/>
        </w:rPr>
        <w:t>https://pubmed.ncbi.nlm.nih.gov/42772946/</w:t>
      </w:r>
    </w:p>
    <w:p>
      <w:pPr>
        <w:pStyle w:val="Heading2"/>
      </w:pPr>
      <w:r>
        <w:t>Forschungsprioritäten in Hebammentätigkeit und Geburtshilfe</w:t>
      </w:r>
    </w:p>
    <w:p>
      <w:r>
        <w:rPr>
          <w:i/>
          <w:color w:val="666666"/>
          <w:sz w:val="18"/>
        </w:rPr>
        <w:t>Field J et al.  ·  BMJ Open  ·  21.09.2026  ·  PMID 42767736</w:t>
      </w:r>
    </w:p>
    <w:p>
      <w:r>
        <w:t>UK James-Lind-Alliance Priority-Setting Partnership mit 977 Befragten (Hebammen, Eltern, schwangere Personen) zur Identifikation von Forschungslücken in Geburtshilfe.</w:t>
      </w:r>
    </w:p>
    <w:p>
      <w:r>
        <w:rPr>
          <w:b/>
        </w:rPr>
        <w:t xml:space="preserve">Ergebnis: </w:t>
      </w:r>
      <w:r>
        <w:t>68 Priority-Topics identifiziert, nach evidenzbasierter Prüfung auf 67 reduziert, dann von 548 Befragten gereiht. 10 Top-Prioritäten durch Konsens vereinbart; umfassen klinische Versorgung, Personalwohlbefinden und Ausbildung.</w:t>
      </w:r>
    </w:p>
    <w:p>
      <w:r>
        <w:rPr>
          <w:b/>
          <w:sz w:val="19"/>
        </w:rPr>
        <w:t xml:space="preserve">Übertragbarkeit: </w:t>
      </w:r>
      <w:r>
        <w:rPr>
          <w:sz w:val="19"/>
        </w:rPr>
        <w:t>Großbritannien – methodisch stark, bedingt übertragbar auf deutsches Hebammensystem</w:t>
      </w:r>
    </w:p>
    <w:p>
      <w:r>
        <w:rPr>
          <w:color w:val="5A7D3A"/>
          <w:sz w:val="18"/>
        </w:rPr>
        <w:t>https://pubmed.ncbi.nlm.nih.gov/42767736/</w:t>
      </w:r>
    </w:p>
    <w:p>
      <w:pPr>
        <w:pStyle w:val="Heading2"/>
      </w:pPr>
      <w:r>
        <w:t>FeNO und Blut-Eosinophile zur Asthmadiagnose bei Kindern und Erwachsenen</w:t>
      </w:r>
    </w:p>
    <w:p>
      <w:r>
        <w:rPr>
          <w:i/>
          <w:color w:val="666666"/>
          <w:sz w:val="18"/>
        </w:rPr>
        <w:t>Roy MA et al.  ·  Lancet Respir Med  ·  15.09.2026  ·  PMID 42743935</w:t>
      </w:r>
    </w:p>
    <w:p>
      <w:r>
        <w:t>Metaanalyse von 30 diagnostischen Studien (22 bei Erwachsenen, 9 bei Kindern) zur Genauigkeit von FeNO und Blut-Eosinophilen gegenüber Bronchialprovokationstests.</w:t>
      </w:r>
    </w:p>
    <w:p>
      <w:r>
        <w:rPr>
          <w:b/>
        </w:rPr>
        <w:t xml:space="preserve">Ergebnis: </w:t>
      </w:r>
      <w:r>
        <w:t>FeNO diagnostische Genauigkeit: Erwachsene AUC 0,80, Kinder AUC 0,75. Bei Erwachsenen FeNO≥65 ppb: positive Vorhersagekraft 80%, &lt;20 ppb: negative VK 93%. Blut-Eosinophile schwache Leistung (AUC 0,65). Prospektive Validierung in DIVE-Kohorte (n=123) bestätigte Ergebnisse (FeNO AUC 0,77).</w:t>
      </w:r>
    </w:p>
    <w:p>
      <w:r>
        <w:rPr>
          <w:b/>
          <w:sz w:val="19"/>
        </w:rPr>
        <w:t xml:space="preserve">Übertragbarkeit: </w:t>
      </w:r>
      <w:r>
        <w:rPr>
          <w:sz w:val="19"/>
        </w:rPr>
        <w:t>Internationale Daten mit prospektiver Primärversorgungsvalidierung – Diagnostik systemunabhängig</w:t>
      </w:r>
    </w:p>
    <w:p>
      <w:r>
        <w:rPr>
          <w:color w:val="5A7D3A"/>
          <w:sz w:val="18"/>
        </w:rPr>
        <w:t>https://pubmed.ncbi.nlm.nih.gov/42743935/</w:t>
      </w:r>
    </w:p>
    <w:p>
      <w:pPr>
        <w:pStyle w:val="Heading1"/>
      </w:pPr>
      <w:r>
        <w:t>Aufgenommen am 22.09.2026</w:t>
      </w:r>
    </w:p>
    <w:p>
      <w:pPr>
        <w:pStyle w:val="Heading2"/>
      </w:pPr>
      <w:r>
        <w:t>Teletherapy-Einsatz in der Physiotherapie: deutsche Versorgungsforschung zu Barrieren und Förderfaktoren</w:t>
      </w:r>
    </w:p>
    <w:p>
      <w:r>
        <w:rPr>
          <w:i/>
          <w:color w:val="666666"/>
          <w:sz w:val="18"/>
        </w:rPr>
        <w:t>Michels T et al.  ·  JMIR Form Res  ·  21.09.2026  ·  PMID 42766842</w:t>
      </w:r>
    </w:p>
    <w:p>
      <w:r>
        <w:t>Querschnittsstudie von 458 Physiotherapeuten in Deutschland, die Barrieren und Förderfaktoren für die Implementierung von Teletherapie in der Praxis erfasste.</w:t>
      </w:r>
    </w:p>
    <w:p>
      <w:r>
        <w:rPr>
          <w:b/>
        </w:rPr>
        <w:t xml:space="preserve">Ergebnis: </w:t>
      </w:r>
      <w:r>
        <w:t>Nur 6,6 % der Teilnehmer hatten Teletherapie-Erfahrung; 87,3 % hielten Teletherapie für sinnvoll, aber nur 15,5 % fühlten sich ausreichend informiert. Häufigste Barrieren: Integration in Praxisroutinen, unzureichende Informationen zu rechtlichen Rahmenbedingungen und digitale Infrastruktur (Nennungen nicht weiter spezifiziert). Die Ergebnisse zeigen hohe Akzeptanz bei niedriger Nutzung und Informationsdefiziten.</w:t>
      </w:r>
    </w:p>
    <w:p>
      <w:r>
        <w:rPr>
          <w:b/>
          <w:sz w:val="19"/>
        </w:rPr>
        <w:t xml:space="preserve">Übertragbarkeit: </w:t>
      </w:r>
      <w:r>
        <w:rPr>
          <w:sz w:val="19"/>
        </w:rPr>
        <w:t>Deutsche Routinedaten aus der Physiotherapie; direkt auf das System übertragbar.</w:t>
      </w:r>
    </w:p>
    <w:p>
      <w:r>
        <w:rPr>
          <w:color w:val="5A7D3A"/>
          <w:sz w:val="18"/>
        </w:rPr>
        <w:t>https://pubmed.ncbi.nlm.nih.gov/42766842/</w:t>
      </w:r>
    </w:p>
    <w:p>
      <w:pPr>
        <w:pStyle w:val="Heading2"/>
      </w:pPr>
      <w:r>
        <w:t>Implementierung der elektronischen Patientenakte (ePA) in deutschen Arztpraxen: qualitative Frühevaluierung</w:t>
      </w:r>
    </w:p>
    <w:p>
      <w:r>
        <w:rPr>
          <w:i/>
          <w:color w:val="666666"/>
          <w:sz w:val="18"/>
        </w:rPr>
        <w:t>May S et al.  ·  J Med Internet Res  ·  21.09.2026  ·  PMID 42766713</w:t>
      </w:r>
    </w:p>
    <w:p>
      <w:r>
        <w:t>Qualitative Studie mit 49 semistrukturierten Interviews zu Implementierungsbarrieren und -förderfaktoren der ePA in ambulanten Praxen nach dem Rollout im Januar 2025.</w:t>
      </w:r>
    </w:p>
    <w:p>
      <w:r>
        <w:rPr>
          <w:b/>
        </w:rPr>
        <w:t xml:space="preserve">Ergebnis: </w:t>
      </w:r>
      <w:r>
        <w:t>Erleichterer: Führungsengagement, interne Kommunikation und Lernklima. Barrieren: technische Instabilität, heterogene Funktionalität von Praxismanagementsystemen, begrenzte Sektorübergreifung, unzureichendes Patientenbewusstsein. Implementierung stark abhängig von Organisationskapazität und Infrastrukturstabilität, nicht von professionellem Widerstand.</w:t>
      </w:r>
    </w:p>
    <w:p>
      <w:r>
        <w:rPr>
          <w:b/>
          <w:sz w:val="19"/>
        </w:rPr>
        <w:t xml:space="preserve">Übertragbarkeit: </w:t>
      </w:r>
      <w:r>
        <w:rPr>
          <w:sz w:val="19"/>
        </w:rPr>
        <w:t>Deutsche Routinedaten zur ePA-Implementierung; hochgradig systemrelevant für deutsches Versorgungssystem.</w:t>
      </w:r>
    </w:p>
    <w:p>
      <w:r>
        <w:rPr>
          <w:color w:val="5A7D3A"/>
          <w:sz w:val="18"/>
        </w:rPr>
        <w:t>https://pubmed.ncbi.nlm.nih.gov/42766713/</w:t>
      </w:r>
    </w:p>
    <w:p>
      <w:pPr>
        <w:pStyle w:val="Heading2"/>
      </w:pPr>
      <w:r>
        <w:t>Framework für klinische Bewertung von Large Language Models in der Patientenedukation</w:t>
      </w:r>
    </w:p>
    <w:p>
      <w:r>
        <w:rPr>
          <w:i/>
          <w:color w:val="666666"/>
          <w:sz w:val="18"/>
        </w:rPr>
        <w:t>Austria D et al.  ·  JMIR Form Res  ·  21.09.2026  ·  PMID 42766478</w:t>
      </w:r>
    </w:p>
    <w:p>
      <w:r>
        <w:t>Positions- und konzeptionelle Arbeit, die ein kliniker-zentriertes Evaluierungsframework (TAM-MCRS) für LLM-generierte Patientenedukation integriert Technology Acceptance Model und Medical Condition Regard Scale.</w:t>
      </w:r>
    </w:p>
    <w:p>
      <w:r>
        <w:rPr>
          <w:b/>
        </w:rPr>
        <w:t xml:space="preserve">Ergebnis: </w:t>
      </w:r>
      <w:r>
        <w:t>Das Framework kombiniert Usefulness/Completeness mit Ease of Use/Appropriateness und erfasst dabei Evaluator-Attitudinalvarianz durch MCRS als Kovariate. Ziel ist objektive, klinisch realistische und disparity-responsive Evidenz zur Qualität von LLM-generierten Unterlagen für Patientenbildung.</w:t>
      </w:r>
    </w:p>
    <w:p>
      <w:r>
        <w:rPr>
          <w:b/>
          <w:sz w:val="19"/>
        </w:rPr>
        <w:t xml:space="preserve">Übertragbarkeit: </w:t>
      </w:r>
      <w:r>
        <w:rPr>
          <w:sz w:val="19"/>
        </w:rPr>
        <w:t>Theoretischer Ansatz systemunabhängig, aber Methodenentwicklung US-fokussiert; nur bedingt übertragbar.</w:t>
      </w:r>
    </w:p>
    <w:p>
      <w:r>
        <w:rPr>
          <w:color w:val="5A7D3A"/>
          <w:sz w:val="18"/>
        </w:rPr>
        <w:t>https://pubmed.ncbi.nlm.nih.gov/42766478/</w:t>
      </w:r>
    </w:p>
    <w:p>
      <w:pPr>
        <w:pStyle w:val="Heading2"/>
      </w:pPr>
      <w:r>
        <w:t>Kontextfaktoren und Lernbedarfe bei Leitlinienentwicklung: qualitative Multiplenfall-Studie</w:t>
      </w:r>
    </w:p>
    <w:p>
      <w:r>
        <w:rPr>
          <w:i/>
          <w:color w:val="666666"/>
          <w:sz w:val="18"/>
        </w:rPr>
        <w:t>de Mortier CA et al.  ·  Med Teach  ·  21.09.2026  ·  PMID 42766408</w:t>
      </w:r>
    </w:p>
    <w:p>
      <w:r>
        <w:t>Qualitative Längsschnittstudie mit 18 Panelmitgliedern und 10 Projektleitern in 5 niederländischen Leitlinienprojekten; Analyse, welche kontextuellen Faktoren die Lernbedarfe in der Guideline-Entwicklung prägen.</w:t>
      </w:r>
    </w:p>
    <w:p>
      <w:r>
        <w:rPr>
          <w:b/>
        </w:rPr>
        <w:t xml:space="preserve">Ergebnis: </w:t>
      </w:r>
      <w:r>
        <w:t>Drei interaktive Themen beeinflussen Lernbedarfe: Leitlinienthema (Zusammensetzung, Methodik, Evidenzunsicherheit), Partizipationsdynamiken (Hierarchie, Sicherheit), Aufgabenverteilung. Methodische Kompetenz allein genügt nicht; Lernbedarfe entstehen aus Kombination aller drei Faktoren. Empfehlung: flexible, kontextsensitive und rollenpezifische Bildungsinitiativen.</w:t>
      </w:r>
    </w:p>
    <w:p>
      <w:r>
        <w:rPr>
          <w:b/>
          <w:sz w:val="19"/>
        </w:rPr>
        <w:t xml:space="preserve">Übertragbarkeit: </w:t>
      </w:r>
      <w:r>
        <w:rPr>
          <w:sz w:val="19"/>
        </w:rPr>
        <w:t>Niederlande, Versorgungsforschungs-Setting; gut übertragbar auf deutsches System zur Leitlinienentwicklung.</w:t>
      </w:r>
    </w:p>
    <w:p>
      <w:r>
        <w:rPr>
          <w:color w:val="5A7D3A"/>
          <w:sz w:val="18"/>
        </w:rPr>
        <w:t>https://pubmed.ncbi.nlm.nih.gov/42766408/</w:t>
      </w:r>
    </w:p>
    <w:p>
      <w:pPr>
        <w:pStyle w:val="Heading2"/>
      </w:pPr>
      <w:r>
        <w:t>Länderverglichende Forschungsinfrastruktur für Diabetes-Versorgung im ländlichen Raum</w:t>
      </w:r>
    </w:p>
    <w:p>
      <w:r>
        <w:rPr>
          <w:i/>
          <w:color w:val="666666"/>
          <w:sz w:val="18"/>
        </w:rPr>
        <w:t>Murfet G et al.  ·  Glob Health Action  ·  21.09.2026  ·  PMID 42765135</w:t>
      </w:r>
    </w:p>
    <w:p>
      <w:r>
        <w:t>Konzeptuelle Positionspapier, das ein neues International Consortium for Rural Diabetes Research (ICRDR) vorstellt, um fragmentierte Diabetes-Forschung in ländlichen Regionen zu koordinieren.</w:t>
      </w:r>
    </w:p>
    <w:p>
      <w:r>
        <w:rPr>
          <w:b/>
        </w:rPr>
        <w:t xml:space="preserve">Ergebnis: </w:t>
      </w:r>
      <w:r>
        <w:t>Kernaussage: Ländliche Diabetes-Versorgungsforschung bleibt isoliert und stützt sich auf urbane Evidenz; koordinierte internationale Infrastruktur mit gemeinsamen Prioritäten, Methoden und Outcome-Maßstäben ist erforderlich. Das ICRDR adressiert Zugangsbarrien (Fachkräftemangel, Isolation, fragmentierte Services) durch Multicentre-Studien und Kapazitätsaufbau.</w:t>
      </w:r>
    </w:p>
    <w:p>
      <w:r>
        <w:rPr>
          <w:b/>
          <w:sz w:val="19"/>
        </w:rPr>
        <w:t xml:space="preserve">Übertragbarkeit: </w:t>
      </w:r>
      <w:r>
        <w:rPr>
          <w:sz w:val="19"/>
        </w:rPr>
        <w:t>Konzeptionell und methodisch international orientiert; hilft deutschem System, Evidenzlücken in ländlichen Regionen zu schließen.</w:t>
      </w:r>
    </w:p>
    <w:p>
      <w:r>
        <w:rPr>
          <w:color w:val="5A7D3A"/>
          <w:sz w:val="18"/>
        </w:rPr>
        <w:t>https://pubmed.ncbi.nlm.nih.gov/42765135/</w:t>
      </w:r>
    </w:p>
    <w:p>
      <w:pPr>
        <w:pStyle w:val="Heading2"/>
      </w:pPr>
      <w:r>
        <w:t>Kernoutcome-Set für Shared-Decision-Making-Interventionen: Entwicklungsprotokoll</w:t>
      </w:r>
    </w:p>
    <w:p>
      <w:r>
        <w:rPr>
          <w:i/>
          <w:color w:val="666666"/>
          <w:sz w:val="18"/>
        </w:rPr>
        <w:t>Hoffmann C et al.  ·  BMJ Open  ·  15.09.2026  ·  PMID 42744360</w:t>
      </w:r>
    </w:p>
    <w:p>
      <w:r>
        <w:t>Studienprotokoll zur Entwicklung eines Core Outcome Set (COS) für die Evaluation von Shared-Decision-Making-Interventionen mittels Delphi-Survey und Konsensuskonferenz.</w:t>
      </w:r>
    </w:p>
    <w:p>
      <w:r>
        <w:rPr>
          <w:b/>
        </w:rPr>
        <w:t xml:space="preserve">Ergebnis: </w:t>
      </w:r>
      <w:r>
        <w:t>Geplante Struktur: Schritt 1: Erstellung einer langen Kandidaten-Outcome-Liste durch Literaturanalyse und qualitative Interviews (mind. 20 Stakeholder). Schritt 2: Delphi-Survey mit mind. 150 internationalen Teilnehmern (Profis, Patienten) in zwei Runden zur Priorisierung. Schritt 3: Konsensus per modified nominal group technique. Laufzeit Juni 2025 bis September 2026; Ergebnisse erwartungsgemäß für standardisierte Evaluationspraxis verfügbar.</w:t>
      </w:r>
    </w:p>
    <w:p>
      <w:r>
        <w:rPr>
          <w:b/>
          <w:sz w:val="19"/>
        </w:rPr>
        <w:t xml:space="preserve">Übertragbarkeit: </w:t>
      </w:r>
      <w:r>
        <w:rPr>
          <w:sz w:val="19"/>
        </w:rPr>
        <w:t>Britische Studienkoordination; Shared Decision Making ist international etabliertes Konzept; methodisch auf deutsche SDM-Forschung anwendbar.</w:t>
      </w:r>
    </w:p>
    <w:p>
      <w:r>
        <w:rPr>
          <w:color w:val="5A7D3A"/>
          <w:sz w:val="18"/>
        </w:rPr>
        <w:t>https://pubmed.ncbi.nlm.nih.gov/42744360/</w:t>
      </w:r>
    </w:p>
    <w:p>
      <w:pPr>
        <w:pStyle w:val="Heading1"/>
      </w:pPr>
      <w:r>
        <w:t>Aufgenommen am 21.09.2026</w:t>
      </w:r>
    </w:p>
    <w:p>
      <w:pPr>
        <w:pStyle w:val="Heading2"/>
      </w:pPr>
      <w:r>
        <w:t>Geburtshilfe-Standardisierung: Ballonkatheter und Wehenmuster nach Einleitung</w:t>
      </w:r>
    </w:p>
    <w:p>
      <w:r>
        <w:rPr>
          <w:i/>
          <w:color w:val="666666"/>
          <w:sz w:val="18"/>
        </w:rPr>
        <w:t>Baboeuf A et al.  ·  J Gynecol Obstet Hum Reprod  ·  19.09.2026  ·  PMID 42762855</w:t>
      </w:r>
    </w:p>
    <w:p>
      <w:r>
        <w:t>Retrospektive Evaluierung eines standardisierten Induktionsprotokolls mit Ballonkatheter zur Zervixreifung als Erstlinientherapie vs. freie Wahl in französischer Tertiärklinik.</w:t>
      </w:r>
    </w:p>
    <w:p>
      <w:r>
        <w:rPr>
          <w:b/>
        </w:rPr>
        <w:t xml:space="preserve">Ergebnis: </w:t>
      </w:r>
      <w:r>
        <w:t>Vaginale Geburt innerhalb 24h: 27,3% (Protokoll) vs. 34,0% (Baseline), p=0,18; nächtliche Epiduralanalgesie signifikant weniger häufig nach Protokoll (35,6% vs. 46,2%, p=0,008); 77,4% der Frauen mit Gesamtzufriedenheit einverstanden.</w:t>
      </w:r>
    </w:p>
    <w:p>
      <w:r>
        <w:rPr>
          <w:b/>
          <w:sz w:val="19"/>
        </w:rPr>
        <w:t xml:space="preserve">Übertragbarkeit: </w:t>
      </w:r>
      <w:r>
        <w:rPr>
          <w:sz w:val="19"/>
        </w:rPr>
        <w:t>Französische Tertiärklinik, übertragbare Implementierungsfrage, aber begrenzte klinische Effekte</w:t>
      </w:r>
    </w:p>
    <w:p>
      <w:r>
        <w:rPr>
          <w:color w:val="5A7D3A"/>
          <w:sz w:val="18"/>
        </w:rPr>
        <w:t>https://pubmed.ncbi.nlm.nih.gov/42762855/</w:t>
      </w:r>
    </w:p>
    <w:p>
      <w:pPr>
        <w:pStyle w:val="Heading2"/>
      </w:pPr>
      <w:r>
        <w:t>Palliativversorgungsqualität für Patienten mit schweren psychischen Störungen</w:t>
      </w:r>
    </w:p>
    <w:p>
      <w:r>
        <w:rPr>
          <w:i/>
          <w:color w:val="666666"/>
          <w:sz w:val="18"/>
        </w:rPr>
        <w:t>Bøndergaard K et al.  ·  Omega (Westport)  ·  19.09.2026  ·  PMID 42762069</w:t>
      </w:r>
    </w:p>
    <w:p>
      <w:r>
        <w:t>Querschnitts-Fragebogenstudie mit dänischen Hausärzten und Palliativmedizinern zu Qualität der Palliativbetreuung bei verstorbenen Patienten mit schweren psychischen Störungen.</w:t>
      </w:r>
    </w:p>
    <w:p>
      <w:r>
        <w:rPr>
          <w:b/>
        </w:rPr>
        <w:t xml:space="preserve">Ergebnis: </w:t>
      </w:r>
      <w:r>
        <w:t>123 Fragebogen von 162 (76% Rücklaufquote); die meisten Verläufe als gut oder sehr gut bewertet; qualitative Analyse enthüllte drei Themen: Zusammenarbeit/Timing, Kommunikation/Beziehungen, Komplexität; Koordination und Kommunikation bei Lebensende-Entscheidungen teilweise herausfordernd.</w:t>
      </w:r>
    </w:p>
    <w:p>
      <w:r>
        <w:rPr>
          <w:b/>
          <w:sz w:val="19"/>
        </w:rPr>
        <w:t xml:space="preserve">Übertragbarkeit: </w:t>
      </w:r>
      <w:r>
        <w:rPr>
          <w:sz w:val="19"/>
        </w:rPr>
        <w:t>Dänemark, skandinavisches steuerfinanziertes System mit Hausarztfokus</w:t>
      </w:r>
    </w:p>
    <w:p>
      <w:r>
        <w:rPr>
          <w:color w:val="5A7D3A"/>
          <w:sz w:val="18"/>
        </w:rPr>
        <w:t>https://pubmed.ncbi.nlm.nih.gov/42762069/</w:t>
      </w:r>
    </w:p>
    <w:p>
      <w:pPr>
        <w:pStyle w:val="Heading2"/>
      </w:pPr>
      <w:r>
        <w:t>Angiotensin-Inhibitoren vor elektiver Chirurgie: RCT-Absetzen vs. Fortführen</w:t>
      </w:r>
    </w:p>
    <w:p>
      <w:r>
        <w:rPr>
          <w:i/>
          <w:color w:val="666666"/>
          <w:sz w:val="18"/>
        </w:rPr>
        <w:t>Scott IA et al.  ·  J Hosp Med  ·  19.09.2026  ·  PMID 42762066</w:t>
      </w:r>
    </w:p>
    <w:p>
      <w:r>
        <w:t>Single-Center-RCT zu kardiovaskulären Komplikationen nach elektiver, nicht-kardischer Chirurgie unter Fortführung vs. 24h-Absetzen von ACE-Inhibitoren/ARBs.</w:t>
      </w:r>
    </w:p>
    <w:p>
      <w:r>
        <w:rPr>
          <w:b/>
        </w:rPr>
        <w:t xml:space="preserve">Ergebnis: </w:t>
      </w:r>
      <w:r>
        <w:t>667 Patienten randomisiert (325 Fortführung, 313 Absetzen); primärer Outcome MACE: 2,8% vs. 2,9% (Differenz 0,1%, 95% CI −2,5% bis 2,8%, p=1,00); intraop. Hypotonie 63,5% vs. 60,7%, AKI 7,4% vs. 4,8%; keine signifikanten Unterschiede; Absetzen reduzierte nicht MACE, Hypotonie oder AKI.</w:t>
      </w:r>
    </w:p>
    <w:p>
      <w:r>
        <w:rPr>
          <w:b/>
          <w:sz w:val="19"/>
        </w:rPr>
        <w:t xml:space="preserve">Übertragbarkeit: </w:t>
      </w:r>
      <w:r>
        <w:rPr>
          <w:sz w:val="19"/>
        </w:rPr>
        <w:t>Australische Tertiärklinik, aber klinische Prozessfrage systemunabhängig</w:t>
      </w:r>
    </w:p>
    <w:p>
      <w:r>
        <w:rPr>
          <w:color w:val="5A7D3A"/>
          <w:sz w:val="18"/>
        </w:rPr>
        <w:t>https://pubmed.ncbi.nlm.nih.gov/42762066/</w:t>
      </w:r>
    </w:p>
    <w:p>
      <w:pPr>
        <w:pStyle w:val="Heading2"/>
      </w:pPr>
      <w:r>
        <w:t>Frühe Krebsinzidenz in Nordischen Ländern 2003–2022 mit Projektion bis 2050</w:t>
      </w:r>
    </w:p>
    <w:p>
      <w:r>
        <w:rPr>
          <w:i/>
          <w:color w:val="666666"/>
          <w:sz w:val="18"/>
        </w:rPr>
        <w:t>Johansson AL et al.  ·  Lancet Reg Health Eur  ·  12.09.2026  ·  PMID 42761845</w:t>
      </w:r>
    </w:p>
    <w:p>
      <w:r>
        <w:t>Bevölkerungsbasierte Trendstudie der Inzidenz früher Krebserkrankungen (Alter 20–49) in Nordischen Ländern über 20 Jahre mit Vorhersagen bis 2050.</w:t>
      </w:r>
    </w:p>
    <w:p>
      <w:r>
        <w:rPr>
          <w:b/>
        </w:rPr>
        <w:t xml:space="preserve">Ergebnis: </w:t>
      </w:r>
      <w:r>
        <w:t>Signifikante Inzidenzzunahme bei 12 von 18 Krebsarten; Darmkrebs &lt;35 Jahren höchster EAPC (&gt;2%), mit 9.174 zusätzlichen Fällen (2003–2007 zu 2018–2022: 47.491 zu 56.665); regionale Variation Appalachien und Südosten USA.</w:t>
      </w:r>
    </w:p>
    <w:p>
      <w:r>
        <w:rPr>
          <w:b/>
          <w:sz w:val="19"/>
        </w:rPr>
        <w:t xml:space="preserve">Übertragbarkeit: </w:t>
      </w:r>
      <w:r>
        <w:rPr>
          <w:sz w:val="19"/>
        </w:rPr>
        <w:t>Nordische Länder, vergleichbare Gesundheitssysteme mit guten Datenregistern</w:t>
      </w:r>
    </w:p>
    <w:p>
      <w:r>
        <w:rPr>
          <w:color w:val="5A7D3A"/>
          <w:sz w:val="18"/>
        </w:rPr>
        <w:t>https://pubmed.ncbi.nlm.nih.gov/42761845/</w:t>
      </w:r>
    </w:p>
    <w:p>
      <w:pPr>
        <w:pStyle w:val="Heading2"/>
      </w:pPr>
      <w:r>
        <w:t>Darmkrebsscreening bei sexuellen Minderheiten nach US-Guidelines 2021</w:t>
      </w:r>
    </w:p>
    <w:p>
      <w:r>
        <w:rPr>
          <w:i/>
          <w:color w:val="666666"/>
          <w:sz w:val="18"/>
        </w:rPr>
        <w:t>George L et al.  ·  AJPM Focus  ·  12.05.2026  ·  PMID 42761516</w:t>
      </w:r>
    </w:p>
    <w:p>
      <w:r>
        <w:t>Querschnittsanalyse der Screening-Compliance für Darmkrebs bei sexuellen Minderheiten nach Aktualisierung der USPSTF-Richtlinien (2021), USA 2022.</w:t>
      </w:r>
    </w:p>
    <w:p>
      <w:r>
        <w:rPr>
          <w:b/>
        </w:rPr>
        <w:t xml:space="preserve">Ergebnis: </w:t>
      </w:r>
      <w:r>
        <w:t>Screening-Rate insgesamt: 69,0% (gay/lesbian), 62,7% (bisexual), 58,4% (andere Orientierung), 68,8% (heterosexuell); Personen mit anderer Orientierung signifikant niedriger als heterosexuell (aPR=0,90, 95% CI 0,84–0,97); Dispariät besonders in Alter 65–75 und Frauen.</w:t>
      </w:r>
    </w:p>
    <w:p>
      <w:r>
        <w:rPr>
          <w:b/>
          <w:sz w:val="19"/>
        </w:rPr>
        <w:t xml:space="preserve">Übertragbarkeit: </w:t>
      </w:r>
      <w:r>
        <w:rPr>
          <w:sz w:val="19"/>
        </w:rPr>
        <w:t>USA, aber Screeningdisparität bei Minderheiten systemunabhängig relevant</w:t>
      </w:r>
    </w:p>
    <w:p>
      <w:r>
        <w:rPr>
          <w:color w:val="5A7D3A"/>
          <w:sz w:val="18"/>
        </w:rPr>
        <w:t>https://pubmed.ncbi.nlm.nih.gov/42761516/</w:t>
      </w:r>
    </w:p>
    <w:p>
      <w:pPr>
        <w:pStyle w:val="Heading2"/>
      </w:pPr>
      <w:r>
        <w:t>Kulturelle Diabetes-Schulung: Kosteneffektivität für Marshallese-Bevölkerung</w:t>
      </w:r>
    </w:p>
    <w:p>
      <w:r>
        <w:rPr>
          <w:i/>
          <w:color w:val="666666"/>
          <w:sz w:val="18"/>
        </w:rPr>
        <w:t>Lamprecht-Carson D et al.  ·  Diabetes Obes Metab  ·  17.09.2026  ·  PMID 42755138</w:t>
      </w:r>
    </w:p>
    <w:p>
      <w:r>
        <w:t>Markov-Modell zur Kosteneffektivität eines kulturell angepassten Diabetes-Selbstmanagement-Programms vs. Standard-DSME für Marshallese-Erwachsene mit Typ-2-Diabetes.</w:t>
      </w:r>
    </w:p>
    <w:p>
      <w:r>
        <w:rPr>
          <w:b/>
        </w:rPr>
        <w:t xml:space="preserve">Ergebnis: </w:t>
      </w:r>
      <w:r>
        <w:t>Kulturell angepasstes Programm cost-effective mit ICER von 3.083 Dollar pro QALY; in 87,1% der Simulationen bevorzugte Strategie bei WTP 50.000 Dollar pro QALY; bescheidene aber relevante Unterschiede zwischen Interventionszenarien.</w:t>
      </w:r>
    </w:p>
    <w:p>
      <w:r>
        <w:rPr>
          <w:b/>
          <w:sz w:val="19"/>
        </w:rPr>
        <w:t xml:space="preserve">Übertragbarkeit: </w:t>
      </w:r>
      <w:r>
        <w:rPr>
          <w:sz w:val="19"/>
        </w:rPr>
        <w:t>USA-Daten, aber Fragestellung zur Kultursensitivität systemunabhängig transferierbar</w:t>
      </w:r>
    </w:p>
    <w:p>
      <w:r>
        <w:rPr>
          <w:color w:val="5A7D3A"/>
          <w:sz w:val="18"/>
        </w:rPr>
        <w:t>https://pubmed.ncbi.nlm.nih.gov/42755138/</w:t>
      </w:r>
    </w:p>
    <w:p>
      <w:pPr>
        <w:pStyle w:val="Heading1"/>
      </w:pPr>
      <w:r>
        <w:t>Aufgenommen am 20.09.2026</w:t>
      </w:r>
    </w:p>
    <w:p>
      <w:pPr>
        <w:pStyle w:val="Heading2"/>
      </w:pPr>
      <w:r>
        <w:t>Workplace-Health-Promotion in Pflegeheimen: qualitative Prozessevaluation</w:t>
      </w:r>
    </w:p>
    <w:p>
      <w:r>
        <w:rPr>
          <w:i/>
          <w:color w:val="666666"/>
          <w:sz w:val="18"/>
        </w:rPr>
        <w:t>Czakert J et al.  ·  Front Public Health  ·  04.09.2026  ·  PMID 42761123</w:t>
      </w:r>
    </w:p>
    <w:p>
      <w:r>
        <w:t>Qualitative Prozessevaluation zur Entwicklung und Implementierung von drei WHP-Workshops in einem Pilotheim nach RE-AIM-Framework.</w:t>
      </w:r>
    </w:p>
    <w:p>
      <w:r>
        <w:rPr>
          <w:b/>
        </w:rPr>
        <w:t xml:space="preserve">Ergebnis: </w:t>
      </w:r>
      <w:r>
        <w:t>Entwicklung aus sieben Phasen. Etwa ein Drittel der Teilnehmenden aktiv involviert, andere passiv oder resistiv. Engagement variabel, Schlüsselhemmnisse: Motivation, wahrgenommene Relevanz, Gruppendynamik, Fatigue, Sprachbarrieren. Zentral: organisatorische Vorbereitung und Partizipation.</w:t>
      </w:r>
    </w:p>
    <w:p>
      <w:r>
        <w:rPr>
          <w:b/>
          <w:sz w:val="19"/>
        </w:rPr>
        <w:t xml:space="preserve">Übertragbarkeit: </w:t>
      </w:r>
      <w:r>
        <w:rPr>
          <w:sz w:val="19"/>
        </w:rPr>
        <w:t>Deutschland, Langzeitpflegesektor, hohe Relevanz für Implementierungspraxis</w:t>
      </w:r>
    </w:p>
    <w:p>
      <w:r>
        <w:rPr>
          <w:color w:val="5A7D3A"/>
          <w:sz w:val="18"/>
        </w:rPr>
        <w:t>https://pubmed.ncbi.nlm.nih.gov/42761123/</w:t>
      </w:r>
    </w:p>
    <w:p>
      <w:pPr>
        <w:pStyle w:val="Heading2"/>
      </w:pPr>
      <w:r>
        <w:t>Regionale Disparitäten Zahngesundheit Deutschland</w:t>
      </w:r>
    </w:p>
    <w:p>
      <w:r>
        <w:rPr>
          <w:i/>
          <w:color w:val="666666"/>
          <w:sz w:val="18"/>
        </w:rPr>
        <w:t>Gortschakow J et al.  ·  J Clin Periodontol  ·  18.09.2026  ·  PMID 42760791</w:t>
      </w:r>
    </w:p>
    <w:p>
      <w:r>
        <w:t>Bevölkerungsstudie mit 184.871 Erwachsenen untersucht Prävalenz von Zahnlosigkeit und Taschentiefen bundesweit mittels klinischer Untersuchung.</w:t>
      </w:r>
    </w:p>
    <w:p>
      <w:r>
        <w:rPr>
          <w:b/>
        </w:rPr>
        <w:t xml:space="preserve">Ergebnis: </w:t>
      </w:r>
      <w:r>
        <w:t>Zahnlosigkeitsprävalenz: 1,7 % (95%-KI 1,6–1,9). Mittlere Taschentiefe: 1,89 mm (1,87–1,91). Deutliche regionale Disparitäten von 1,3 % (Augsburg/Regensburg) bis 2,3 % (Neubrandenburg).</w:t>
      </w:r>
    </w:p>
    <w:p>
      <w:r>
        <w:rPr>
          <w:b/>
          <w:sz w:val="19"/>
        </w:rPr>
        <w:t xml:space="preserve">Übertragbarkeit: </w:t>
      </w:r>
      <w:r>
        <w:rPr>
          <w:sz w:val="19"/>
        </w:rPr>
        <w:t>Deutsche Routinedaten aus Kohorte, exzellente Übertragbarkeit</w:t>
      </w:r>
    </w:p>
    <w:p>
      <w:r>
        <w:rPr>
          <w:color w:val="5A7D3A"/>
          <w:sz w:val="18"/>
        </w:rPr>
        <w:t>https://pubmed.ncbi.nlm.nih.gov/42760791/</w:t>
      </w:r>
    </w:p>
    <w:p>
      <w:pPr>
        <w:pStyle w:val="Heading2"/>
      </w:pPr>
      <w:r>
        <w:t>Arbeitsbelastung und Berufsverbleib in Gesundheitsberufen</w:t>
      </w:r>
    </w:p>
    <w:p>
      <w:r>
        <w:rPr>
          <w:i/>
          <w:color w:val="666666"/>
          <w:sz w:val="18"/>
        </w:rPr>
        <w:t>Andersson Hammar I et al.  ·  BMC Health Serv Res  ·  17.09.2026  ·  PMID 42760563</w:t>
      </w:r>
    </w:p>
    <w:p>
      <w:r>
        <w:t>Längsschnittstudie untersuchte Zusammenhänge zwischen Arbeitserfahrungen, Gesundheit und Verbleibsabsicht bei Fachpersonen drei Jahre nach Berufsstart.</w:t>
      </w:r>
    </w:p>
    <w:p>
      <w:r>
        <w:rPr>
          <w:b/>
        </w:rPr>
        <w:t xml:space="preserve">Ergebnis: </w:t>
      </w:r>
      <w:r>
        <w:t>Höhere Arbeitszufriedenheit war mit besserer Gesundheit und deutlich gestärkter Absicht zum Verbleib in der Profession assoziiert. Die 30–36-Jährigen zeigten niedrigere Verbleibsabsicht als jüngere und ältere Kohorten.</w:t>
      </w:r>
    </w:p>
    <w:p>
      <w:r>
        <w:rPr>
          <w:b/>
          <w:sz w:val="19"/>
        </w:rPr>
        <w:t xml:space="preserve">Übertragbarkeit: </w:t>
      </w:r>
      <w:r>
        <w:rPr>
          <w:sz w:val="19"/>
        </w:rPr>
        <w:t>Schweden, gut übertragbar auf deutsches Gesundheitssystem und Arbeitskontexte</w:t>
      </w:r>
    </w:p>
    <w:p>
      <w:r>
        <w:rPr>
          <w:color w:val="5A7D3A"/>
          <w:sz w:val="18"/>
        </w:rPr>
        <w:t>https://pubmed.ncbi.nlm.nih.gov/42760563/</w:t>
      </w:r>
    </w:p>
    <w:p>
      <w:pPr>
        <w:pStyle w:val="Heading2"/>
      </w:pPr>
      <w:r>
        <w:t>Apotheker-Intervention bei koronaren Patienten: Medication-Review-Studie</w:t>
      </w:r>
    </w:p>
    <w:p>
      <w:r>
        <w:rPr>
          <w:i/>
          <w:color w:val="666666"/>
          <w:sz w:val="18"/>
        </w:rPr>
        <w:t>Östbring MJ et al.  ·  BMC Health Serv Res  ·  15.09.2026  ·  PMID 42760559</w:t>
      </w:r>
    </w:p>
    <w:p>
      <w:r>
        <w:t>Prozessevaluation eines randomisierten Trials zu pharmazeutisch-gesteuerter Adhärence-Intervention mittels Motivierender Gesprächsführung bei Herzkranken.</w:t>
      </w:r>
    </w:p>
    <w:p>
      <w:r>
        <w:rPr>
          <w:b/>
        </w:rPr>
        <w:t xml:space="preserve">Ergebnis: </w:t>
      </w:r>
      <w:r>
        <w:t>Klinische Apotheker identifizierten durchschnittlich 4,3 medikationsbezogene Probleme pro Patient. In 194 von 218 bekannten Fällen wurde das Problem gelöst/verbessert. 52,8 % der Interventionsgruppe vs. 31,0 % der Kontrollgruppe verschoben sich zu akzeptierenderer Arzneimittelhaltung (p = 0,051).</w:t>
      </w:r>
    </w:p>
    <w:p>
      <w:r>
        <w:rPr>
          <w:b/>
          <w:sz w:val="19"/>
        </w:rPr>
        <w:t xml:space="preserve">Übertragbarkeit: </w:t>
      </w:r>
      <w:r>
        <w:rPr>
          <w:sz w:val="19"/>
        </w:rPr>
        <w:t>Schweden, Sozialversicherungssystem, pharmazeutische Versorgungsrollen</w:t>
      </w:r>
    </w:p>
    <w:p>
      <w:r>
        <w:rPr>
          <w:color w:val="5A7D3A"/>
          <w:sz w:val="18"/>
        </w:rPr>
        <w:t>https://pubmed.ncbi.nlm.nih.gov/42760559/</w:t>
      </w:r>
    </w:p>
    <w:p>
      <w:pPr>
        <w:pStyle w:val="Heading2"/>
      </w:pPr>
      <w:r>
        <w:t>Psychische Gesundheit peripartal: Screening-Barrieren in Indien</w:t>
      </w:r>
    </w:p>
    <w:p>
      <w:r>
        <w:rPr>
          <w:i/>
          <w:color w:val="666666"/>
          <w:sz w:val="18"/>
        </w:rPr>
        <w:t>Basu P et al.  ·  BMC Health Serv Res  ·  03.08.2026  ·  PMID 42760554</w:t>
      </w:r>
    </w:p>
    <w:p>
      <w:r>
        <w:t>Qualitative Studie zu Hemmnissen und Facilitatoren von perinataler psychischer Gesundheitsscreening aus Perspektive von Frauen und Angehörigen des Gesundheitswesens.</w:t>
      </w:r>
    </w:p>
    <w:p>
      <w:r>
        <w:rPr>
          <w:b/>
        </w:rPr>
        <w:t xml:space="preserve">Ergebnis: </w:t>
      </w:r>
      <w:r>
        <w:t>Facilitatoren: etabliertes Referralsystem, Medikamentenverfügbarkeit, Datenschutz. Barrieren: fragmentierte Services, hohe Arbeitsbelastung, Stigma, unzureichende Schulung, mangelndes Vertrauen. Familienpräsenz behinderte offene Diskussionen.</w:t>
      </w:r>
    </w:p>
    <w:p>
      <w:r>
        <w:rPr>
          <w:b/>
          <w:sz w:val="19"/>
        </w:rPr>
        <w:t xml:space="preserve">Übertragbarkeit: </w:t>
      </w:r>
      <w:r>
        <w:rPr>
          <w:sz w:val="19"/>
        </w:rPr>
        <w:t>Indien; Fragestellung systemunabhängig, aber Übertragbarkeit limitiert durch andere Ressourcenlage</w:t>
      </w:r>
    </w:p>
    <w:p>
      <w:r>
        <w:rPr>
          <w:color w:val="5A7D3A"/>
          <w:sz w:val="18"/>
        </w:rPr>
        <w:t>https://pubmed.ncbi.nlm.nih.gov/42760554/</w:t>
      </w:r>
    </w:p>
    <w:p>
      <w:pPr>
        <w:pStyle w:val="Heading2"/>
      </w:pPr>
      <w:r>
        <w:t>Gestationsdiabetes Südlichasiatische Frauen: PPIE-Insights</w:t>
      </w:r>
    </w:p>
    <w:p>
      <w:r>
        <w:rPr>
          <w:i/>
          <w:color w:val="666666"/>
          <w:sz w:val="18"/>
        </w:rPr>
        <w:t>Dapre E et al.  ·  NIHR Open Res  ·  03.09.2026  ·  PMID 42750677</w:t>
      </w:r>
    </w:p>
    <w:p>
      <w:r>
        <w:t>Patient- und Public-Involvement-Engagement-Studie mit südlichasiatischen Frauen zur Verbesserung der Adhärenz in Ernährungsintervention bei Gestationsdiabetes.</w:t>
      </w:r>
    </w:p>
    <w:p>
      <w:r>
        <w:rPr>
          <w:b/>
        </w:rPr>
        <w:t xml:space="preserve">Ergebnis: </w:t>
      </w:r>
      <w:r>
        <w:t>17 Frauen identifizierten drei Schlüsselprobleme: Vulnerabilität (Vertrauensmangel, Kontrollverlust), Zugänglichkeit (flexible Formate, finanzielle Unterstützung), Mentale Belastung (emotionales Wohlbefinden, Familieneinfluss). Empfehlungen: familienbasierte Essensplanung, visuelle Guides, psychosoziale Unterstützung.</w:t>
      </w:r>
    </w:p>
    <w:p>
      <w:r>
        <w:rPr>
          <w:b/>
          <w:sz w:val="19"/>
        </w:rPr>
        <w:t xml:space="preserve">Übertragbarkeit: </w:t>
      </w:r>
      <w:r>
        <w:rPr>
          <w:sz w:val="19"/>
        </w:rPr>
        <w:t>Qualitative UK-Studie; Fragestellung zu Barrieren und Facilitatoren systemunabhängig</w:t>
      </w:r>
    </w:p>
    <w:p>
      <w:r>
        <w:rPr>
          <w:color w:val="5A7D3A"/>
          <w:sz w:val="18"/>
        </w:rPr>
        <w:t>https://pubmed.ncbi.nlm.nih.gov/42750677/</w:t>
      </w:r>
    </w:p>
    <w:p>
      <w:pPr>
        <w:pStyle w:val="Heading1"/>
      </w:pPr>
      <w:r>
        <w:t>Aufgenommen am 19.09.2026</w:t>
      </w:r>
    </w:p>
    <w:p>
      <w:pPr>
        <w:pStyle w:val="Heading2"/>
      </w:pPr>
      <w:r>
        <w:t>Verbesserung von Peer-Support für Mütter mit HIV in Kenia</w:t>
      </w:r>
    </w:p>
    <w:p>
      <w:r>
        <w:rPr>
          <w:i/>
          <w:color w:val="666666"/>
          <w:sz w:val="18"/>
        </w:rPr>
        <w:t>Carlucci JG et al.  ·  PLOS Glob Public Health  ·  18.09.2026  ·  PMID 42758698</w:t>
      </w:r>
    </w:p>
    <w:p>
      <w:r>
        <w:t>Qualitative Interviews mit 16 Mentor Mothers und 36 Frauen mit HIV in Westkenias PMTCT-Programmen zur Verbesserung von Peer-Support-Diensten.</w:t>
      </w:r>
    </w:p>
    <w:p>
      <w:r>
        <w:rPr>
          <w:b/>
        </w:rPr>
        <w:t xml:space="preserve">Ergebnis: </w:t>
      </w:r>
      <w:r>
        <w:t>Beide Gruppen befürworteten Risikostratifizierung: intensive Services für Hochrisiko-Mütter, weniger intensive für Niedrigrisiko. Zentral: empathische Mentoring-Beziehungen mit geteilten Erfahrungen; nötig aber bessere Aufgabendefinition, Kapazitätsaufbau, faire Kompensation und Ressourcen für ökonomische Barrieren.</w:t>
      </w:r>
    </w:p>
    <w:p>
      <w:r>
        <w:rPr>
          <w:b/>
          <w:sz w:val="19"/>
        </w:rPr>
        <w:t xml:space="preserve">Übertragbarkeit: </w:t>
      </w:r>
      <w:r>
        <w:rPr>
          <w:sz w:val="19"/>
        </w:rPr>
        <w:t>Kenia; Modell zu Peer-Support-Effektivität auf andere LMIC-Kontexte übertragbar</w:t>
      </w:r>
    </w:p>
    <w:p>
      <w:r>
        <w:rPr>
          <w:color w:val="5A7D3A"/>
          <w:sz w:val="18"/>
        </w:rPr>
        <w:t>https://pubmed.ncbi.nlm.nih.gov/42758698/</w:t>
      </w:r>
    </w:p>
    <w:p>
      <w:pPr>
        <w:pStyle w:val="Heading2"/>
      </w:pPr>
      <w:r>
        <w:t>Implementierungsstrategie für betriebliche Rauchentwöhnung mit Anreizen</w:t>
      </w:r>
    </w:p>
    <w:p>
      <w:r>
        <w:rPr>
          <w:i/>
          <w:color w:val="666666"/>
          <w:sz w:val="18"/>
        </w:rPr>
        <w:t>van den Brand FA et al.  ·  PLoS One  ·  18.09.2026  ·  PMID 42758680</w:t>
      </w:r>
    </w:p>
    <w:p>
      <w:r>
        <w:t>Systematische Entwicklung einer Implementierungsstrategie für Workplace-Rauchentwöhnungsprogramme mit finanziellen Anreizen mittels Implementation Mapping in den Niederlanden.</w:t>
      </w:r>
    </w:p>
    <w:p>
      <w:r>
        <w:rPr>
          <w:b/>
        </w:rPr>
        <w:t xml:space="preserve">Ergebnis: </w:t>
      </w:r>
      <w:r>
        <w:t>Identifizierte Schlüsseladoptoren (Geschäftsführung, HR-Manager) und Implementierer sowie sieben Determinanten für erfolgreiche Durchführung. Entwickelte evidenzbasierte Strategien einschließlich Implementierungsleitfaden, Website, Video und Webinar. Stakeholder-Feedback führte zu Verbesserungen.</w:t>
      </w:r>
    </w:p>
    <w:p>
      <w:r>
        <w:rPr>
          <w:b/>
          <w:sz w:val="19"/>
        </w:rPr>
        <w:t xml:space="preserve">Übertragbarkeit: </w:t>
      </w:r>
      <w:r>
        <w:rPr>
          <w:sz w:val="19"/>
        </w:rPr>
        <w:t>Niederlande, ähnliches Sozialversicherungssystem mit Betriebsstruktur</w:t>
      </w:r>
    </w:p>
    <w:p>
      <w:r>
        <w:rPr>
          <w:color w:val="5A7D3A"/>
          <w:sz w:val="18"/>
        </w:rPr>
        <w:t>https://pubmed.ncbi.nlm.nih.gov/42758680/</w:t>
      </w:r>
    </w:p>
    <w:p>
      <w:pPr>
        <w:pStyle w:val="Heading2"/>
      </w:pPr>
      <w:r>
        <w:t>Kognitive Verzerrungen und Nierenfunktions-Risikoperception bei älteren CKD-Patienten</w:t>
      </w:r>
    </w:p>
    <w:p>
      <w:r>
        <w:rPr>
          <w:i/>
          <w:color w:val="666666"/>
          <w:sz w:val="18"/>
        </w:rPr>
        <w:t>Bonnet K et al.  ·  Clin J Am Soc Nephrol  ·  18.09.2026  ·  PMID 42758548</w:t>
      </w:r>
    </w:p>
    <w:p>
      <w:r>
        <w:t>Mixed-Methods-Studie mit Älteren (&gt;60 Jahre) im Stadium 3B–5 CKD zu kognitiven Verzerrungen bei der Wahrnehmung ihres Nierenfunktionsausfallrisikos.</w:t>
      </w:r>
    </w:p>
    <w:p>
      <w:r>
        <w:rPr>
          <w:b/>
        </w:rPr>
        <w:t xml:space="preserve">Ergebnis: </w:t>
      </w:r>
      <w:r>
        <w:t>Nur 24% der Teilnehmer hatten Prognosekonsens (objektives vs. subjektiv wahrgenommenes Risiko). Höhere Patient Activation war unabhängig mit niedrigeren Odds für Unsicherheit assoziiert (OR 0,66; 95%-KI 0,44–0,99). Qualitativ: Empfehlungen für hoffnungsvolle Sprache, Einbeziehen von Angehörigen und numeracy-Berücksichtigung.</w:t>
      </w:r>
    </w:p>
    <w:p>
      <w:r>
        <w:rPr>
          <w:b/>
          <w:sz w:val="19"/>
        </w:rPr>
        <w:t xml:space="preserve">Übertragbarkeit: </w:t>
      </w:r>
      <w:r>
        <w:rPr>
          <w:sz w:val="19"/>
        </w:rPr>
        <w:t>US-Daten, aber Fragestellung zur Patientenkommunikation systemunabhängig</w:t>
      </w:r>
    </w:p>
    <w:p>
      <w:r>
        <w:rPr>
          <w:color w:val="5A7D3A"/>
          <w:sz w:val="18"/>
        </w:rPr>
        <w:t>https://pubmed.ncbi.nlm.nih.gov/42758548/</w:t>
      </w:r>
    </w:p>
    <w:p>
      <w:pPr>
        <w:pStyle w:val="Heading2"/>
      </w:pPr>
      <w:r>
        <w:t>Komplexe-Versorgungsprogramm reduziert Krankenhausnutzung bei Kindern</w:t>
      </w:r>
    </w:p>
    <w:p>
      <w:r>
        <w:rPr>
          <w:i/>
          <w:color w:val="666666"/>
          <w:sz w:val="18"/>
        </w:rPr>
        <w:t>Lee J et al.  ·  J Pediatr Health Care  ·  17.09.2026  ·  PMID 42758058</w:t>
      </w:r>
    </w:p>
    <w:p>
      <w:r>
        <w:t>Retrospektive Kohortenstudie von 71 Kindern mit medizinischer Komplexität in einem Cross-Setting-Komplexcare-Programm mit kleinem Kernteam (2015–2024).</w:t>
      </w:r>
    </w:p>
    <w:p>
      <w:r>
        <w:rPr>
          <w:b/>
        </w:rPr>
        <w:t xml:space="preserve">Ergebnis: </w:t>
      </w:r>
      <w:r>
        <w:t>Hospitalisierungen sanken von 3,5 auf 2,0 pro Jahr (p &lt; 0,001), Verweildauer von 41,5 auf 11,5 Tage pro Jahr (p &lt; 0,001). Adjustierte Analysen zeigten 32% Reduktion bei Hospitalisierungen und 72% bei Verweildauer.</w:t>
      </w:r>
    </w:p>
    <w:p>
      <w:r>
        <w:rPr>
          <w:b/>
          <w:sz w:val="19"/>
        </w:rPr>
        <w:t xml:space="preserve">Übertragbarkeit: </w:t>
      </w:r>
      <w:r>
        <w:rPr>
          <w:sz w:val="19"/>
        </w:rPr>
        <w:t>US-amerikanische Universitätsklinik, aber Modell zum Case Management übertragbar</w:t>
      </w:r>
    </w:p>
    <w:p>
      <w:r>
        <w:rPr>
          <w:color w:val="5A7D3A"/>
          <w:sz w:val="18"/>
        </w:rPr>
        <w:t>https://pubmed.ncbi.nlm.nih.gov/42758058/</w:t>
      </w:r>
    </w:p>
    <w:p>
      <w:pPr>
        <w:pStyle w:val="Heading2"/>
      </w:pPr>
      <w:r>
        <w:t>Barrieren von Frontline-Mitarbeitern bei TB-Diensten in High-Burden-Ländern</w:t>
      </w:r>
    </w:p>
    <w:p>
      <w:r>
        <w:rPr>
          <w:i/>
          <w:color w:val="666666"/>
          <w:sz w:val="18"/>
        </w:rPr>
        <w:t>Cox SR et al.  ·  J Glob Health  ·  18.09.2026  ·  PMID 42757757</w:t>
      </w:r>
    </w:p>
    <w:p>
      <w:r>
        <w:t>Scoping Review von 189 Studien (2010–2025) zu Healthcare-Worker-bezogenen Barrieren bei TB-Prävention, Diagnostik und Behandlung in WHO-High-Burden-Ländern.</w:t>
      </w:r>
    </w:p>
    <w:p>
      <w:r>
        <w:rPr>
          <w:b/>
        </w:rPr>
        <w:t xml:space="preserve">Ergebnis: </w:t>
      </w:r>
      <w:r>
        <w:t>Wissens- und Skill-Lücken waren die häufigsten Barrieren (n = 128 Studien). Weitere Themen: Provider-Patient-Kommunikation, Stigma (n = 74 Studien), Motivation für qualitativ hochwertige TB-Pflege (n = 69 Studien). COM-B-Framework identifizierte umsetzbare Targets.</w:t>
      </w:r>
    </w:p>
    <w:p>
      <w:r>
        <w:rPr>
          <w:b/>
          <w:sz w:val="19"/>
        </w:rPr>
        <w:t xml:space="preserve">Übertragbarkeit: </w:t>
      </w:r>
      <w:r>
        <w:rPr>
          <w:sz w:val="19"/>
        </w:rPr>
        <w:t>Länder mit Ressourcenlimitationen; Erkenntnisse zu HSR-Barrieren international relevant</w:t>
      </w:r>
    </w:p>
    <w:p>
      <w:r>
        <w:rPr>
          <w:color w:val="5A7D3A"/>
          <w:sz w:val="18"/>
        </w:rPr>
        <w:t>https://pubmed.ncbi.nlm.nih.gov/42757757/</w:t>
      </w:r>
    </w:p>
    <w:p>
      <w:pPr>
        <w:pStyle w:val="Heading2"/>
      </w:pPr>
      <w:r>
        <w:t>Strukturierte Laktationsberatung und Muttermilchbanken in deutschen NICUs</w:t>
      </w:r>
    </w:p>
    <w:p>
      <w:r>
        <w:rPr>
          <w:i/>
          <w:color w:val="666666"/>
          <w:sz w:val="18"/>
        </w:rPr>
        <w:t>Köberlein-Neu J et al.  ·  BMC Med  ·  11.09.2026  ·  PMID 42754870</w:t>
      </w:r>
    </w:p>
    <w:p>
      <w:r>
        <w:t>Stepped-Wedge-Cluster-RCT in 15 deutschen Level-I-NICUs zur Wirksamkeit von strukturierter Laktationsberatung mit Donor-Milk-Banking auf ausschließliches Stillen bei Entlassung.</w:t>
      </w:r>
    </w:p>
    <w:p>
      <w:r>
        <w:rPr>
          <w:b/>
        </w:rPr>
        <w:t xml:space="preserve">Ergebnis: </w:t>
      </w:r>
      <w:r>
        <w:t>Ausschließliches Stillen bei Entlassung stieg um 11 Prozentpunkte (95%-KI: 3,0–19,0; p = 0,007) von 43% Baseline. Keine signifikanten Unterschiede in klinischen Komplikationen oder Verweildauer. Implementierbarkeit und Durchführungstreue waren ausreichend (Beratung in 71% wie geplant).</w:t>
      </w:r>
    </w:p>
    <w:p>
      <w:r>
        <w:rPr>
          <w:b/>
          <w:sz w:val="19"/>
        </w:rPr>
        <w:t xml:space="preserve">Übertragbarkeit: </w:t>
      </w:r>
      <w:r>
        <w:rPr>
          <w:sz w:val="19"/>
        </w:rPr>
        <w:t>Deutsche RCT-Daten, gesetzlich versicherte Neugeborene in Universitätskliniken</w:t>
      </w:r>
    </w:p>
    <w:p>
      <w:r>
        <w:rPr>
          <w:color w:val="5A7D3A"/>
          <w:sz w:val="18"/>
        </w:rPr>
        <w:t>https://pubmed.ncbi.nlm.nih.gov/42754870/</w:t>
      </w:r>
    </w:p>
    <w:p>
      <w:pPr>
        <w:pStyle w:val="Heading1"/>
      </w:pPr>
      <w:r>
        <w:t>Aufgenommen am 18.09.2026</w:t>
      </w:r>
    </w:p>
    <w:p>
      <w:pPr>
        <w:pStyle w:val="Heading2"/>
      </w:pPr>
      <w:r>
        <w:t>Workforce readiness for Advance Care Planning in ID services</w:t>
      </w:r>
    </w:p>
    <w:p>
      <w:r>
        <w:rPr>
          <w:i/>
          <w:color w:val="666666"/>
          <w:sz w:val="18"/>
        </w:rPr>
        <w:t>Zeilinger EL Prof Dr et al.  ·  J Pain Symptom Manage  ·  17.09.2026  ·  PMID 42754183</w:t>
      </w:r>
    </w:p>
    <w:p>
      <w:r>
        <w:t>Österreichische Querschnittstudie zur Bereitschaft von Betreuungspersonen in Wohneinrichtungen für Menschen mit Behinderungen, ACP-Gespräche zu führen.</w:t>
      </w:r>
    </w:p>
    <w:p>
      <w:r>
        <w:rPr>
          <w:b/>
        </w:rPr>
        <w:t xml:space="preserve">Ergebnis: </w:t>
      </w:r>
      <w:r>
        <w:t>67,7 % der 127 Befragten kannten Patientenverfügungen, aber nur 1,6 % konnten ACP erklären. 68,5 % fühlten sich komfortabel bei ACP-Gesprächen, 85,8 % sahen ACP als wichtig an, und 77,2 % sahen es als ihre Verantwortung. Fehlende konzeptionelle Vorbereitung trotz hoher Unterstützung für ACP.</w:t>
      </w:r>
    </w:p>
    <w:p>
      <w:r>
        <w:rPr>
          <w:b/>
          <w:sz w:val="19"/>
        </w:rPr>
        <w:t xml:space="preserve">Übertragbarkeit: </w:t>
      </w:r>
      <w:r>
        <w:rPr>
          <w:sz w:val="19"/>
        </w:rPr>
        <w:t>Österreich, ähnliche Systemstruktur und Versorgungskontext wie Deutschland</w:t>
      </w:r>
    </w:p>
    <w:p>
      <w:r>
        <w:rPr>
          <w:color w:val="5A7D3A"/>
          <w:sz w:val="18"/>
        </w:rPr>
        <w:t>https://pubmed.ncbi.nlm.nih.gov/42754183/</w:t>
      </w:r>
    </w:p>
    <w:p>
      <w:pPr>
        <w:pStyle w:val="Heading2"/>
      </w:pPr>
      <w:r>
        <w:t>Multilevel-Faktoren bei Non-Response zu Patient-Reported Outcome Measures</w:t>
      </w:r>
    </w:p>
    <w:p>
      <w:r>
        <w:rPr>
          <w:i/>
          <w:color w:val="666666"/>
          <w:sz w:val="18"/>
        </w:rPr>
        <w:t>Liu JB et al.  ·  Qual Life Res  ·  17.09.2026  ·  PMID 42753022</w:t>
      </w:r>
    </w:p>
    <w:p>
      <w:r>
        <w:t>US-Kohortenanalyse von 12.214 Patienten an fünf Strahlentherapie-Kliniken zu Faktoren auf Patient-, Provider- und Klinikebene, die Non-Response zu PROMIS Global-10 vorhersagen.</w:t>
      </w:r>
    </w:p>
    <w:p>
      <w:r>
        <w:rPr>
          <w:b/>
        </w:rPr>
        <w:t xml:space="preserve">Ergebnis: </w:t>
      </w:r>
      <w:r>
        <w:t>Patient- und Termin-Response-Raten: 35,4 % bzw. 31,7 %; Response variierte zwischen Kliniken 12,8–66,2 %. Nach Adjustierung: jüngste Operation (aOR 1,97) und längere Diagnosedauer (aOR 0,46 für &gt;12 Monate) persistierten. Klinik-Implementierungsfaktoren (späte Programmstartzeit aOR 0,29) waren stärker als Patientenmerkmale.</w:t>
      </w:r>
    </w:p>
    <w:p>
      <w:r>
        <w:rPr>
          <w:b/>
          <w:sz w:val="19"/>
        </w:rPr>
        <w:t xml:space="preserve">Übertragbarkeit: </w:t>
      </w:r>
      <w:r>
        <w:rPr>
          <w:sz w:val="19"/>
        </w:rPr>
        <w:t>USA - Methodologie zu PROM-Implementierung systemunabhängig relevant für deutsches QM</w:t>
      </w:r>
    </w:p>
    <w:p>
      <w:r>
        <w:rPr>
          <w:color w:val="5A7D3A"/>
          <w:sz w:val="18"/>
        </w:rPr>
        <w:t>https://pubmed.ncbi.nlm.nih.gov/42753022/</w:t>
      </w:r>
    </w:p>
    <w:p>
      <w:pPr>
        <w:pStyle w:val="Heading2"/>
      </w:pPr>
      <w:r>
        <w:t>Finanzielle Auswirkungen von Schwangerschaft und Geburt bei Louisiana Medicaid</w:t>
      </w:r>
    </w:p>
    <w:p>
      <w:r>
        <w:rPr>
          <w:i/>
          <w:color w:val="666666"/>
          <w:sz w:val="18"/>
        </w:rPr>
        <w:t>Walker B et al.  ·  Health Serv Res  ·  Okt. 2026  ·  PMID 42751818</w:t>
      </w:r>
    </w:p>
    <w:p>
      <w:r>
        <w:t>US-Studie zu Auswirkungen von Schwangerschaft auf Verschuldung und Kreditscores bei Medicaid-Versicherten, stratifiziert nach Ethnie.</w:t>
      </w:r>
    </w:p>
    <w:p>
      <w:r>
        <w:rPr>
          <w:b/>
        </w:rPr>
        <w:t xml:space="preserve">Ergebnis: </w:t>
      </w:r>
      <w:r>
        <w:t>Nicht-hispanische schwarze Frauen zeigten negative finanzielle Folgen: Kreditscores sanken um 4 Punkte (95%-KI: -5,65 bis -1,81), medizinische Schulden stiegen um 41 USD (KI: 6–75), andere Schulden um 44 USD (KI: 15–74). Nicht-hispanische weiße Frauen zeigten keine nachteiligen Auswirkungen.</w:t>
      </w:r>
    </w:p>
    <w:p>
      <w:r>
        <w:rPr>
          <w:b/>
          <w:sz w:val="19"/>
        </w:rPr>
        <w:t xml:space="preserve">Übertragbarkeit: </w:t>
      </w:r>
      <w:r>
        <w:rPr>
          <w:sz w:val="19"/>
        </w:rPr>
        <w:t>USA/Medicaid - Fragestellung aber zu Equity und Versorgungsgerechtigkeit systemunabhängig relevant</w:t>
      </w:r>
    </w:p>
    <w:p>
      <w:r>
        <w:rPr>
          <w:color w:val="5A7D3A"/>
          <w:sz w:val="18"/>
        </w:rPr>
        <w:t>https://pubmed.ncbi.nlm.nih.gov/42751818/</w:t>
      </w:r>
    </w:p>
    <w:p>
      <w:pPr>
        <w:pStyle w:val="Heading2"/>
      </w:pPr>
      <w:r>
        <w:t>Lernen zur Unterstützung von Klientenautonomie in Pflegepraktika</w:t>
      </w:r>
    </w:p>
    <w:p>
      <w:r>
        <w:rPr>
          <w:i/>
          <w:color w:val="666666"/>
          <w:sz w:val="18"/>
        </w:rPr>
        <w:t>Knibbeler MMCJ et al.  ·  Int J Nurs Stud Adv  ·  05.09.2026  ·  PMID 42751206</w:t>
      </w:r>
    </w:p>
    <w:p>
      <w:r>
        <w:t>Qualitative Studie aus Niederlanden zur Frage, wie Pflegestudierende während des klinischen Praktikums lernen, Klientenautonomie zu unterstützen.</w:t>
      </w:r>
    </w:p>
    <w:p>
      <w:r>
        <w:rPr>
          <w:b/>
        </w:rPr>
        <w:t xml:space="preserve">Ergebnis: </w:t>
      </w:r>
      <w:r>
        <w:t>Autonomieförderung war in der Praxis präsent aber inkonsistent; Betreuer interpretierten Autonomie oft als Selbstständigkeit statt Partizipation in Entscheidungen. Implizites Lernen durch Beobachtung dominierte; strukturierte Reflexion war selten. Supervision und Feedback durch Betreuer waren nicht systematisch.</w:t>
      </w:r>
    </w:p>
    <w:p>
      <w:r>
        <w:rPr>
          <w:b/>
          <w:sz w:val="19"/>
        </w:rPr>
        <w:t xml:space="preserve">Übertragbarkeit: </w:t>
      </w:r>
      <w:r>
        <w:rPr>
          <w:sz w:val="19"/>
        </w:rPr>
        <w:t>Niederlande, vergleichbares Pflegeausbildungssystem und Versorgungskontext</w:t>
      </w:r>
    </w:p>
    <w:p>
      <w:r>
        <w:rPr>
          <w:color w:val="5A7D3A"/>
          <w:sz w:val="18"/>
        </w:rPr>
        <w:t>https://pubmed.ncbi.nlm.nih.gov/42751206/</w:t>
      </w:r>
    </w:p>
    <w:p>
      <w:pPr>
        <w:pStyle w:val="Heading2"/>
      </w:pPr>
      <w:r>
        <w:t>Mundgesundheitspflege in Langzeiteinrichtungen: Barrieren und Enabler</w:t>
      </w:r>
    </w:p>
    <w:p>
      <w:r>
        <w:rPr>
          <w:i/>
          <w:color w:val="666666"/>
          <w:sz w:val="18"/>
        </w:rPr>
        <w:t>Spilsbury K et al.  ·  Int J Nurs Stud Adv  ·  13.08.2026  ·  PMID 42750939</w:t>
      </w:r>
    </w:p>
    <w:p>
      <w:r>
        <w:t>Britische Scoping Review zu Faktoren auf Mikro-, Meso- und Makroebene, die Mundgesundheitspflege durch Personal in Altenheimen beeinflussen.</w:t>
      </w:r>
    </w:p>
    <w:p>
      <w:r>
        <w:rPr>
          <w:b/>
        </w:rPr>
        <w:t xml:space="preserve">Ergebnis: </w:t>
      </w:r>
      <w:r>
        <w:t>63 Studien eingeschlossen. Häufigste Einflussfaktoren im COM-B-Modell waren Opportunity-Faktoren (Umgebung, Ressourcen, soziale Einflüsse). Wichtigste Enabler: Schulung, Mundgesundheitskampagnen, unterstützende Führung, Assessmentsysteme. Schlüsselbarrieren: Personalknappheit, Zeitdruck, begrenzte Schulung, niedrige organisationale Priorität, eingeschränkter Zugang zu Zahnservices.</w:t>
      </w:r>
    </w:p>
    <w:p>
      <w:r>
        <w:rPr>
          <w:b/>
          <w:sz w:val="19"/>
        </w:rPr>
        <w:t xml:space="preserve">Übertragbarkeit: </w:t>
      </w:r>
      <w:r>
        <w:rPr>
          <w:sz w:val="19"/>
        </w:rPr>
        <w:t>Großbritannien, Empfehlungen für Langzeitpflege in Deutschland direkt anwendbar</w:t>
      </w:r>
    </w:p>
    <w:p>
      <w:r>
        <w:rPr>
          <w:color w:val="5A7D3A"/>
          <w:sz w:val="18"/>
        </w:rPr>
        <w:t>https://pubmed.ncbi.nlm.nih.gov/42750939/</w:t>
      </w:r>
    </w:p>
    <w:p>
      <w:pPr>
        <w:pStyle w:val="Heading2"/>
      </w:pPr>
      <w:r>
        <w:t>Algorithmen zur Identifikation von HCBS in Medicaid-Claims</w:t>
      </w:r>
    </w:p>
    <w:p>
      <w:r>
        <w:rPr>
          <w:i/>
          <w:color w:val="666666"/>
          <w:sz w:val="18"/>
        </w:rPr>
        <w:t>Dihwa V et al.  ·  Health Serv Res  ·  Okt. 2026  ·  PMID 42750346</w:t>
      </w:r>
    </w:p>
    <w:p>
      <w:r>
        <w:t>US-Evaluationsstudie von drei Algorithmen zur Identifikation von Home- and Community-Based Services in Medicaid-Daten 2021–2023.</w:t>
      </w:r>
    </w:p>
    <w:p>
      <w:r>
        <w:rPr>
          <w:b/>
        </w:rPr>
        <w:t xml:space="preserve">Ergebnis: </w:t>
      </w:r>
      <w:r>
        <w:t>Zwei bestehende Algorithmen zeigten hohe Übereinstimmung (Po = 93 %, Kappa = 0,77). Ein neuer vereinheitlichter Algorithmus adressierte Diskrepanzen durch Novel-Nutzung von Waiver-IDs. Jedoch zeigten einige Bundesstaaten implausible Zählungen oder große Schwankungen über die Jahre (&gt;50 %), was auf Datenqualitätsprobleme hindeutet.</w:t>
      </w:r>
    </w:p>
    <w:p>
      <w:r>
        <w:rPr>
          <w:b/>
          <w:sz w:val="19"/>
        </w:rPr>
        <w:t xml:space="preserve">Übertragbarkeit: </w:t>
      </w:r>
      <w:r>
        <w:rPr>
          <w:sz w:val="19"/>
        </w:rPr>
        <w:t>USA - Datenqualitätsthematik systemunabhängig, aber nur bedingt auf Deutschland übertragbar</w:t>
      </w:r>
    </w:p>
    <w:p>
      <w:r>
        <w:rPr>
          <w:color w:val="5A7D3A"/>
          <w:sz w:val="18"/>
        </w:rPr>
        <w:t>https://pubmed.ncbi.nlm.nih.gov/42750346/</w:t>
      </w:r>
    </w:p>
    <w:p>
      <w:pPr>
        <w:pStyle w:val="Heading1"/>
      </w:pPr>
      <w:r>
        <w:t>Aufgenommen am 17.09.2026</w:t>
      </w:r>
    </w:p>
    <w:p>
      <w:pPr>
        <w:pStyle w:val="Heading2"/>
      </w:pPr>
      <w:r>
        <w:t>Chirurgische Behandlung von NSCLC in England: Trends, Variation und kurzfristige Ergebnisse 2015–2023</w:t>
      </w:r>
    </w:p>
    <w:p>
      <w:r>
        <w:rPr>
          <w:i/>
          <w:color w:val="666666"/>
          <w:sz w:val="18"/>
        </w:rPr>
        <w:t>Dixon LK et al.  ·  BMJ Open  ·  16.09.2026  ·  PMID 42749376</w:t>
      </w:r>
    </w:p>
    <w:p>
      <w:r>
        <w:t>Bevölkerungsgestützte Kohortenstudie zu Trends in der chirurgischen Praxis, regionalen Unterschieden und postoperativen Outcomes bei Lungenkrebs-Resektion in England über 9 Jahre.</w:t>
      </w:r>
    </w:p>
    <w:p>
      <w:r>
        <w:rPr>
          <w:b/>
        </w:rPr>
        <w:t xml:space="preserve">Ergebnis: </w:t>
      </w:r>
      <w:r>
        <w:t>Resektionsrate stieg von 15,4 % (2015) auf 20,9 % (2023); Segmentektomie von 11,2 % auf 20,6 %, minimal-invasive Chirurgie von 47,1 % auf 79,7 %; 90-Tage-Mortalität sank von 4,03 % auf 2,26 %; Verweildauer verkürzt sich, Wiederaufnahmen stabil bei ~10–12 % – jedoch erhebliche Zentren-Heterogenität in Segmentektomie (10,7–80,3 %) und roboterassistierter Chirurgie (0–67 %).</w:t>
      </w:r>
    </w:p>
    <w:p>
      <w:r>
        <w:rPr>
          <w:b/>
          <w:sz w:val="19"/>
        </w:rPr>
        <w:t xml:space="preserve">Übertragbarkeit: </w:t>
      </w:r>
      <w:r>
        <w:rPr>
          <w:sz w:val="19"/>
        </w:rPr>
        <w:t>England, spezialisierte Thoraxchirurgie-Zentren – systemischer Kontext nur bedingt übertragbar</w:t>
      </w:r>
    </w:p>
    <w:p>
      <w:r>
        <w:rPr>
          <w:color w:val="5A7D3A"/>
          <w:sz w:val="18"/>
        </w:rPr>
        <w:t>https://pubmed.ncbi.nlm.nih.gov/42749376/</w:t>
      </w:r>
    </w:p>
    <w:p>
      <w:pPr>
        <w:pStyle w:val="Heading2"/>
      </w:pPr>
      <w:r>
        <w:t>Hybrid-Telemedizin-Hausbesuch-Modell für Pneumonieversorung: Pilot-Fallserie aus Texas</w:t>
      </w:r>
    </w:p>
    <w:p>
      <w:r>
        <w:rPr>
          <w:i/>
          <w:color w:val="666666"/>
          <w:sz w:val="18"/>
        </w:rPr>
        <w:t>Bourmand R et al.  ·  JMIR Form Res  ·  16.09.2026  ·  PMID 42748457</w:t>
      </w:r>
    </w:p>
    <w:p>
      <w:r>
        <w:t>Retrospektive deskriptive Fallserie (n=28 Patienten mit Pneumoniediagnose) zur Implementierbarkeit und Nutzungsmuster eines Hybrid-Modells aus virtueller ärztlicher Bewertung und trainierter Fachperson im Hausbesuch mit digitalen Diagnostik-Tools.</w:t>
      </w:r>
    </w:p>
    <w:p>
      <w:r>
        <w:rPr>
          <w:b/>
        </w:rPr>
        <w:t xml:space="preserve">Ergebnis: </w:t>
      </w:r>
      <w:r>
        <w:t>28 Patienten mit 56 klinischen Kontakten (Median 2, IQR 1–3 pro Patient); CRB-65-Scores 0–2 (46,4 % Score 0, 46,4 % Score 1, 7,1 % Score 2); 8/28 (28,6 %) zur ED überwiesen; Patienten zur ED überwiesen hatten signifikant höhere CRB-65-Scores (Median 1, IQR 1–1,5 vs. Median 0, IQR 0–1; p=0,01); Modell machbar, aber größere prospektive Vergleichsstudien für Outcomes/Sicherheit erforderlich.</w:t>
      </w:r>
    </w:p>
    <w:p>
      <w:r>
        <w:rPr>
          <w:b/>
          <w:sz w:val="19"/>
        </w:rPr>
        <w:t xml:space="preserve">Übertragbarkeit: </w:t>
      </w:r>
      <w:r>
        <w:rPr>
          <w:sz w:val="19"/>
        </w:rPr>
        <w:t>USA – Fragestellung zur Versorgungsmodellintegration systemunabhängig, aber Kontext Urgent Care begrenzt übertragbar</w:t>
      </w:r>
    </w:p>
    <w:p>
      <w:r>
        <w:rPr>
          <w:color w:val="5A7D3A"/>
          <w:sz w:val="18"/>
        </w:rPr>
        <w:t>https://pubmed.ncbi.nlm.nih.gov/42748457/</w:t>
      </w:r>
    </w:p>
    <w:p>
      <w:pPr>
        <w:pStyle w:val="Heading2"/>
      </w:pPr>
      <w:r>
        <w:t>Elektronische Arzneihinweise verbessern Überweisungen zu Diabetes-Selbstmanagement-Schulung</w:t>
      </w:r>
    </w:p>
    <w:p>
      <w:r>
        <w:rPr>
          <w:i/>
          <w:color w:val="666666"/>
          <w:sz w:val="18"/>
        </w:rPr>
        <w:t>Donahue KE et al.  ·  Diabetes Care  ·  16.09.2026  ·  PMID 42747941</w:t>
      </w:r>
    </w:p>
    <w:p>
      <w:r>
        <w:t>Clusterrandomisierte Studie zur Wirkung von Best-Practice-Advisories im EHR auf Überweisungsquoten zu Diabetes-Selbstmanagement-Schulung (DSMES) über 18 Monate in US-Primärversorgung.</w:t>
      </w:r>
    </w:p>
    <w:p>
      <w:r>
        <w:rPr>
          <w:b/>
        </w:rPr>
        <w:t xml:space="preserve">Ergebnis: </w:t>
      </w:r>
      <w:r>
        <w:t>Nach 12 Monaten: 12,9 % Überweisungsrate in Interventionskliniken vs. 1,2 % in Kontrollen (p&lt;0,001); nach 18 Monaten 13,7 % vs. 1,6 % (p&lt;0,001); adjustierte Odds Ratio 10,55 (95%-KI 4,65–23,94) nach 12 Monaten und 9,44 (95%-KI 4,91–18,17) nach 18 Monaten. Standing Orders erhielten diese Gewinne.</w:t>
      </w:r>
    </w:p>
    <w:p>
      <w:r>
        <w:rPr>
          <w:b/>
          <w:sz w:val="19"/>
        </w:rPr>
        <w:t xml:space="preserve">Übertragbarkeit: </w:t>
      </w:r>
      <w:r>
        <w:rPr>
          <w:sz w:val="19"/>
        </w:rPr>
        <w:t>USA, Primärversorgung – Prozessoptimierung systemunabhängig, aber Anreizsystem unterschiedlich</w:t>
      </w:r>
    </w:p>
    <w:p>
      <w:r>
        <w:rPr>
          <w:color w:val="5A7D3A"/>
          <w:sz w:val="18"/>
        </w:rPr>
        <w:t>https://pubmed.ncbi.nlm.nih.gov/42747941/</w:t>
      </w:r>
    </w:p>
    <w:p>
      <w:pPr>
        <w:pStyle w:val="Heading2"/>
      </w:pPr>
      <w:r>
        <w:t>Mehrebenen-Mehrfach-Fallstudie: Methodik zur Analyse komplexer Versorgungstrajektorien älterer Menschen</w:t>
      </w:r>
    </w:p>
    <w:p>
      <w:r>
        <w:rPr>
          <w:i/>
          <w:color w:val="666666"/>
          <w:sz w:val="18"/>
        </w:rPr>
        <w:t>Dieterich A et al.  ·  Z Gerontol Geriatr  ·  16.09.2026  ·  PMID 42747513</w:t>
      </w:r>
    </w:p>
    <w:p>
      <w:r>
        <w:t>Methodisches Diskussionspapier zur Anwendung von Mehrebenen-Mehrfach-Fallstudien als Forschungsdesign zur empirischen Rekonstruktion komplexer Hilfeverläufe in sektorenübergreifender Versorgung für ältere Menschen.</w:t>
      </w:r>
    </w:p>
    <w:p>
      <w:r>
        <w:rPr>
          <w:b/>
        </w:rPr>
        <w:t xml:space="preserve">Ergebnis: </w:t>
      </w:r>
      <w:r>
        <w:t>Fallkonstellationen auf Mikro- (Interaktion Betroffener, professionelle und informelle Helfer), Meso- (Organisationen, Netzwerke) und Makroebene (Rahmenbedingungen) systematisch verknüpft; Methodenkombination (Interviews, Dokumenten-, Sozialraum-, Netzwerkanalysen, reflexive thematische Analyse) ermöglicht kontextabhängige Bedingungen von Versorgung zu identifizieren; Design eröffnet neue Möglichkeiten für Versorgungsforschung, stellt aber hohe Anforderungen an Feldzugang, Datenintegration und Forschungsethik.</w:t>
      </w:r>
    </w:p>
    <w:p>
      <w:r>
        <w:rPr>
          <w:b/>
          <w:sz w:val="19"/>
        </w:rPr>
        <w:t xml:space="preserve">Übertragbarkeit: </w:t>
      </w:r>
      <w:r>
        <w:rPr>
          <w:sz w:val="19"/>
        </w:rPr>
        <w:t>Deutschland, Versorgungsforschung – direkt anwendbare Methodik für sektorenübergreifende Versorgungsanalyse</w:t>
      </w:r>
    </w:p>
    <w:p>
      <w:r>
        <w:rPr>
          <w:color w:val="5A7D3A"/>
          <w:sz w:val="18"/>
        </w:rPr>
        <w:t>https://pubmed.ncbi.nlm.nih.gov/42747513/</w:t>
      </w:r>
    </w:p>
    <w:p>
      <w:pPr>
        <w:pStyle w:val="Heading2"/>
      </w:pPr>
      <w:r>
        <w:t>Zusammenarbeit und Partizipation in integrierter Versorgung: Sicht von Managern mit komplexen Bedarf</w:t>
      </w:r>
    </w:p>
    <w:p>
      <w:r>
        <w:rPr>
          <w:i/>
          <w:color w:val="666666"/>
          <w:sz w:val="18"/>
        </w:rPr>
        <w:t>Hjelm M et al.  ·  BMC Health Serv Res  ·  12.09.2026  ·  PMID 42745286</w:t>
      </w:r>
    </w:p>
    <w:p>
      <w:r>
        <w:t>Qualitative Fokusgruppenstudie (n=13 Manager) zu Barrieren und Facilitatoren interprofessioneller Zusammenarbeit und Patientenbeteiligung in integrierter Gesundheits- und Sozialversorgung für Erwachsene mit komplexen Bedarfen in Schweden.</w:t>
      </w:r>
    </w:p>
    <w:p>
      <w:r>
        <w:rPr>
          <w:b/>
        </w:rPr>
        <w:t xml:space="preserve">Ergebnis: </w:t>
      </w:r>
      <w:r>
        <w:t>Drei zentrale Kategorien identifiziert: (1) organisatorische Voraussetzungen für nachhaltige Verbesserung integrierter Versorgung, (2) interprofessionelle Zusammenarbeit zur Bedarfserfassung, (3) relationale und bedarfsgerechte Ansätze; Kluft zwischen Intention und Implementierung von personenzentrierter, integrierter Versorgung erkannt; Vertrauen, klare Governance und organisatorische Kontinuität als Schlüsselfaktoren.</w:t>
      </w:r>
    </w:p>
    <w:p>
      <w:r>
        <w:rPr>
          <w:b/>
          <w:sz w:val="19"/>
        </w:rPr>
        <w:t xml:space="preserve">Übertragbarkeit: </w:t>
      </w:r>
      <w:r>
        <w:rPr>
          <w:sz w:val="19"/>
        </w:rPr>
        <w:t>Schweden – Primärversorgung und Koordinationsprozesse gut übertragbar auf Deutschland</w:t>
      </w:r>
    </w:p>
    <w:p>
      <w:r>
        <w:rPr>
          <w:color w:val="5A7D3A"/>
          <w:sz w:val="18"/>
        </w:rPr>
        <w:t>https://pubmed.ncbi.nlm.nih.gov/42745286/</w:t>
      </w:r>
    </w:p>
    <w:p>
      <w:pPr>
        <w:pStyle w:val="Heading2"/>
      </w:pPr>
      <w:r>
        <w:t>Lungenkrebs-Screening in Flandern: Barrieren und Facilitatoren aus Stakeholder-Perspektive</w:t>
      </w:r>
    </w:p>
    <w:p>
      <w:r>
        <w:rPr>
          <w:i/>
          <w:color w:val="666666"/>
          <w:sz w:val="18"/>
        </w:rPr>
        <w:t>Michiels L et al.  ·  BMC Health Serv Res  ·  31.08.2026  ·  PMID 42745254</w:t>
      </w:r>
    </w:p>
    <w:p>
      <w:r>
        <w:t>Qualitative exploratorische Studie (22 Gesundheitsfachpersonen, 13 Screening-Berechtigte) zu Implementierungs- und Partizipationsbarrieren sowie Facilitatoren für bevölkerungsgestütztes Lungenkrebs-Screening mit Niedrig-Dosis-CT in Belgien.</w:t>
      </w:r>
    </w:p>
    <w:p>
      <w:r>
        <w:rPr>
          <w:b/>
        </w:rPr>
        <w:t xml:space="preserve">Ergebnis: </w:t>
      </w:r>
      <w:r>
        <w:t>Überwiegend positive Einstellung zum Screening, aber Barrieren: Stigma bezüglich Rauchen, begrenzte Gesundheitskompetenz, indirekte finanzielle/logistische Hindernisse, Angst vor Screening und Warten auf Ergebnisse, Workload-Bedenken, Schulungsbedarf bei Fachpersonen; Facilitatoren: klare Richtlinien, staatliche Koordination/Finanzierung, Integration in Workflows, Zugänglichkeit, public awareness, vertrauensbasierte Kommunikation ohne Wertung.</w:t>
      </w:r>
    </w:p>
    <w:p>
      <w:r>
        <w:rPr>
          <w:b/>
          <w:sz w:val="19"/>
        </w:rPr>
        <w:t xml:space="preserve">Übertragbarkeit: </w:t>
      </w:r>
      <w:r>
        <w:rPr>
          <w:sz w:val="19"/>
        </w:rPr>
        <w:t>Belgien, vergleichbares Sozialversicherungssystem mit ähnlichen Implementierungshürden</w:t>
      </w:r>
    </w:p>
    <w:p>
      <w:r>
        <w:rPr>
          <w:color w:val="5A7D3A"/>
          <w:sz w:val="18"/>
        </w:rPr>
        <w:t>https://pubmed.ncbi.nlm.nih.gov/42745254/</w:t>
      </w:r>
    </w:p>
    <w:p>
      <w:pPr>
        <w:pStyle w:val="Heading2"/>
      </w:pPr>
      <w:r>
        <w:t>Digitale Versorgungstechnologien für ältere Menschen: Anforderungen für Erfahrung als gute Versorgung</w:t>
      </w:r>
    </w:p>
    <w:p>
      <w:r>
        <w:rPr>
          <w:i/>
          <w:color w:val="666666"/>
          <w:sz w:val="18"/>
        </w:rPr>
        <w:t>Kruithof K et al.  ·  BMC Health Serv Res  ·  05.08.2026  ·  PMID 42745252</w:t>
      </w:r>
    </w:p>
    <w:p>
      <w:r>
        <w:t>Qualitative Studie (n=27 wohnhaft lebende ältere Menschen) zu Bedingungen, unter denen digitale Pflege- und Unterstützungstechnologien von älteren Menschen als gute Versorgung wahrgenommen werden.</w:t>
      </w:r>
    </w:p>
    <w:p>
      <w:r>
        <w:rPr>
          <w:b/>
        </w:rPr>
        <w:t xml:space="preserve">Ergebnis: </w:t>
      </w:r>
      <w:r>
        <w:t>Technologien als gute Versorgung erlebt, wenn sie (1) Bedarf und Gewohnheiten entsprechen, (2) Fähigkeiten unterstützen, (3) Werte respektieren; aktive Rolle bei Technologiewahl assoziiert mit Altern-in-place und verbesserter Zugänglichkeit/Sicherheit/Autonomie; von Betreuerseite eingeführte Technologien oft als unnötig wahrgenommen und nicht genutzt; Technologien können reduziertem menschlichem Kontakt und Zugänglichkeitsmängeln schaden.</w:t>
      </w:r>
    </w:p>
    <w:p>
      <w:r>
        <w:rPr>
          <w:b/>
          <w:sz w:val="19"/>
        </w:rPr>
        <w:t xml:space="preserve">Übertragbarkeit: </w:t>
      </w:r>
      <w:r>
        <w:rPr>
          <w:sz w:val="19"/>
        </w:rPr>
        <w:t>Niederlande, ähnliches Gesundheitssystem – Implementierung digitaler Lösungen systemunabhängig</w:t>
      </w:r>
    </w:p>
    <w:p>
      <w:r>
        <w:rPr>
          <w:color w:val="5A7D3A"/>
          <w:sz w:val="18"/>
        </w:rPr>
        <w:t>https://pubmed.ncbi.nlm.nih.gov/42745252/</w:t>
      </w:r>
    </w:p>
    <w:p>
      <w:pPr>
        <w:pStyle w:val="Heading1"/>
      </w:pPr>
      <w:r>
        <w:t>Aufgenommen am 16.09.2026</w:t>
      </w:r>
    </w:p>
    <w:p>
      <w:pPr>
        <w:pStyle w:val="Heading2"/>
      </w:pPr>
      <w:r>
        <w:t>Pragmatisches Vorhersagemodell für Asthma-Klinikreadmissionen</w:t>
      </w:r>
    </w:p>
    <w:p>
      <w:r>
        <w:rPr>
          <w:i/>
          <w:color w:val="666666"/>
          <w:sz w:val="18"/>
        </w:rPr>
        <w:t>Tay TR et al.  ·  Respir Med  ·  15.09.2026  ·  PMID 42744205</w:t>
      </w:r>
    </w:p>
    <w:p>
      <w:r>
        <w:t>Entwicklung und externe Validierung eines neunfaktoriellen Vorhersagemodells für Krankenhauswiederaufnahmen nach Asthmaexazerbation innerhalb von 12 Monaten.</w:t>
      </w:r>
    </w:p>
    <w:p>
      <w:r>
        <w:rPr>
          <w:b/>
        </w:rPr>
        <w:t xml:space="preserve">Ergebnis: </w:t>
      </w:r>
      <w:r>
        <w:t>READMIT-Modell zeigte gute Diskriminierung im Entwicklungs-(AUC 0,748; 95% KI 0,711–0,785) und externen Kohort (AUC 0,737; 95% KI 0,712–0,762), mit zufriedenstellender Kalibrierung.</w:t>
      </w:r>
    </w:p>
    <w:p>
      <w:r>
        <w:rPr>
          <w:b/>
          <w:sz w:val="19"/>
        </w:rPr>
        <w:t xml:space="preserve">Übertragbarkeit: </w:t>
      </w:r>
      <w:r>
        <w:rPr>
          <w:sz w:val="19"/>
        </w:rPr>
        <w:t>Singapur-Daten, aber Fragestellung zu klinischen Prozessen systemunabhängig</w:t>
      </w:r>
    </w:p>
    <w:p>
      <w:r>
        <w:rPr>
          <w:color w:val="5A7D3A"/>
          <w:sz w:val="18"/>
        </w:rPr>
        <w:t>https://pubmed.ncbi.nlm.nih.gov/42744205/</w:t>
      </w:r>
    </w:p>
    <w:p>
      <w:pPr>
        <w:pStyle w:val="Heading2"/>
      </w:pPr>
      <w:r>
        <w:t>Buprenorphin-Verordnungen nach Einführung eines niedrigschwelligen virtuellen Netzwerks</w:t>
      </w:r>
    </w:p>
    <w:p>
      <w:r>
        <w:rPr>
          <w:i/>
          <w:color w:val="666666"/>
          <w:sz w:val="18"/>
        </w:rPr>
        <w:t>Lindenfeld Z et al.  ·  J Subst Use Addict Treat  ·  15.09.2026  ·  PMID 42744115</w:t>
      </w:r>
    </w:p>
    <w:p>
      <w:r>
        <w:t>Analyse der Auswirkungen eines kommunalen Rapid-Access-Modells (RealFix) mit virtuellen Anbietern auf die Buprenorphin-Verschreibungen in Paterson, New Jersey, mittels Differenzen-in-Differenzen-Analyse (2021–2025).</w:t>
      </w:r>
    </w:p>
    <w:p>
      <w:r>
        <w:rPr>
          <w:b/>
        </w:rPr>
        <w:t xml:space="preserve">Ergebnis: </w:t>
      </w:r>
      <w:r>
        <w:t>RealFix war mit Zunahmen von 66,5–76,8 Buprenorphin-Rezepten pro 10.000 Einwohner monatlich verbunden (14,6–17,0% Anstieg über Kontrollgruppen hinaus); Retentionseffekte waren gemischt.</w:t>
      </w:r>
    </w:p>
    <w:p>
      <w:r>
        <w:rPr>
          <w:b/>
          <w:sz w:val="19"/>
        </w:rPr>
        <w:t xml:space="preserve">Übertragbarkeit: </w:t>
      </w:r>
      <w:r>
        <w:rPr>
          <w:sz w:val="19"/>
        </w:rPr>
        <w:t>USA (Medicaid)-Daten, aber Fragestellung zu niedrigschwelliger Zugangssteuerung auf andere Systeme übertragbar</w:t>
      </w:r>
    </w:p>
    <w:p>
      <w:r>
        <w:rPr>
          <w:color w:val="5A7D3A"/>
          <w:sz w:val="18"/>
        </w:rPr>
        <w:t>https://pubmed.ncbi.nlm.nih.gov/42744115/</w:t>
      </w:r>
    </w:p>
    <w:p>
      <w:pPr>
        <w:pStyle w:val="Heading2"/>
      </w:pPr>
      <w:r>
        <w:t>Routinedaten in der onkologischen Versorgungsforschung: Chancen und Herausforderungen</w:t>
      </w:r>
    </w:p>
    <w:p>
      <w:r>
        <w:rPr>
          <w:i/>
          <w:color w:val="666666"/>
          <w:sz w:val="18"/>
        </w:rPr>
        <w:t>Kästner A et al.  ·  Gesundheitswesen  ·  15.09.2026  ·  PMID 42743977</w:t>
      </w:r>
    </w:p>
    <w:p>
      <w:r>
        <w:t>Qualitative Analyse praktischer Erfahrungen mit Krebsregisterdaten und Abrechnungsdaten von Krankenkassen für Versorgungsforschung am Beispiel eines Innovationsfonds-Projekts.</w:t>
      </w:r>
    </w:p>
    <w:p>
      <w:r>
        <w:rPr>
          <w:b/>
        </w:rPr>
        <w:t xml:space="preserve">Ergebnis: </w:t>
      </w:r>
      <w:r>
        <w:t>Verlinkung von Krebsregistern und Abrechnungsdaten ermöglicht umfassende Analysen von Langzeitoutcomes und Versorgungsstrukturen, erfordert jedoch zeitintensive Abstimmungs- und Genehmigungsprozesse sowie spezialisierte methodische Expertise.</w:t>
      </w:r>
    </w:p>
    <w:p>
      <w:r>
        <w:rPr>
          <w:b/>
          <w:sz w:val="19"/>
        </w:rPr>
        <w:t xml:space="preserve">Übertragbarkeit: </w:t>
      </w:r>
      <w:r>
        <w:rPr>
          <w:sz w:val="19"/>
        </w:rPr>
        <w:t>Deutsches Gesundheitssystem, Krebsregister nach §65c SGB V und gesetzliche Krankenkassen</w:t>
      </w:r>
    </w:p>
    <w:p>
      <w:r>
        <w:rPr>
          <w:color w:val="5A7D3A"/>
          <w:sz w:val="18"/>
        </w:rPr>
        <w:t>https://pubmed.ncbi.nlm.nih.gov/42743977/</w:t>
      </w:r>
    </w:p>
    <w:p>
      <w:pPr>
        <w:pStyle w:val="Heading2"/>
      </w:pPr>
      <w:r>
        <w:t>Präferenzen für dezentrale ophthalmologische Kliniken: Diskrete-Wahl-Experiment im UK</w:t>
      </w:r>
    </w:p>
    <w:p>
      <w:r>
        <w:rPr>
          <w:i/>
          <w:color w:val="666666"/>
          <w:sz w:val="18"/>
        </w:rPr>
        <w:t>Ndwandwe S et al.  ·  PLoS One  ·  15.09.2026  ·  PMID 42743352</w:t>
      </w:r>
    </w:p>
    <w:p>
      <w:r>
        <w:t>Diskrete-Wahl-Experiment mit 389 Befragten (Patienten, Fachkräfte, Öffentlichkeit) zu Präferenzen für Merkmale einer techniker-geleiteten asynchronen Augenklinik zur Überwachung chronischer Augenerkrankungen.</w:t>
      </w:r>
    </w:p>
    <w:p>
      <w:r>
        <w:rPr>
          <w:b/>
        </w:rPr>
        <w:t xml:space="preserve">Ergebnis: </w:t>
      </w:r>
      <w:r>
        <w:t>Wer einen Techniker statt Kliniker sah und Ergebnisse per Post erhielt, benötigte Reduktion der Terminverzögerung um 6,27 Monate (95% KI 4,52–8,03) oder Fahrtzeit um 153 Minuten (95% KI 88–219); techniker-geleitete Modelle könnten kliniker-geleitete Services ergänzen, wenn sie Verzögerungen verkürzen.</w:t>
      </w:r>
    </w:p>
    <w:p>
      <w:r>
        <w:rPr>
          <w:b/>
          <w:sz w:val="19"/>
        </w:rPr>
        <w:t xml:space="preserve">Übertragbarkeit: </w:t>
      </w:r>
      <w:r>
        <w:rPr>
          <w:sz w:val="19"/>
        </w:rPr>
        <w:t>UK NHS-System, teilweise übertragbar auf dezentrale Versorgungsmodelle in Deutschland</w:t>
      </w:r>
    </w:p>
    <w:p>
      <w:r>
        <w:rPr>
          <w:color w:val="5A7D3A"/>
          <w:sz w:val="18"/>
        </w:rPr>
        <w:t>https://pubmed.ncbi.nlm.nih.gov/42743352/</w:t>
      </w:r>
    </w:p>
    <w:p>
      <w:pPr>
        <w:pStyle w:val="Heading2"/>
      </w:pPr>
      <w:r>
        <w:t>Psychische Belastung von Gesundheitsfachkräften in der COVID-19-Pandemie</w:t>
      </w:r>
    </w:p>
    <w:p>
      <w:r>
        <w:rPr>
          <w:i/>
          <w:color w:val="666666"/>
          <w:sz w:val="18"/>
        </w:rPr>
        <w:t>Peters C et al.  ·  Front Public Health  ·  31.08.2026  ·  PMID 42741285</w:t>
      </w:r>
    </w:p>
    <w:p>
      <w:r>
        <w:t>Querschnittstudie zu Arbeitsbedingungen und psychischer Gesundheit von 576 Beschäftigten in deutschen Gesundheits- und Sozialeinrichtungen während COVID-19.</w:t>
      </w:r>
    </w:p>
    <w:p>
      <w:r>
        <w:rPr>
          <w:b/>
        </w:rPr>
        <w:t xml:space="preserve">Ergebnis: </w:t>
      </w:r>
      <w:r>
        <w:t>59% waren Gesundheitsfachkräfte; diese berichteten schlechtere Arbeitsfähigkeit (6,9 vs. 7,3), höhere emotionale Belastung und depressive Symptome; ca. ein Fünftel zeigte moderate bis schwere psychische Belastung.</w:t>
      </w:r>
    </w:p>
    <w:p>
      <w:r>
        <w:rPr>
          <w:b/>
          <w:sz w:val="19"/>
        </w:rPr>
        <w:t xml:space="preserve">Übertragbarkeit: </w:t>
      </w:r>
      <w:r>
        <w:rPr>
          <w:sz w:val="19"/>
        </w:rPr>
        <w:t>Deutsche Routinedaten, Studie in Deutschland durchgeführt</w:t>
      </w:r>
    </w:p>
    <w:p>
      <w:r>
        <w:rPr>
          <w:color w:val="5A7D3A"/>
          <w:sz w:val="18"/>
        </w:rPr>
        <w:t>https://pubmed.ncbi.nlm.nih.gov/42741285/</w:t>
      </w:r>
    </w:p>
    <w:p>
      <w:pPr>
        <w:pStyle w:val="Heading2"/>
      </w:pPr>
      <w:r>
        <w:t>Zugang zur elektronischen Patientenakte über Krankenversicherer-Apps in Deutschland</w:t>
      </w:r>
    </w:p>
    <w:p>
      <w:r>
        <w:rPr>
          <w:i/>
          <w:color w:val="666666"/>
          <w:sz w:val="18"/>
        </w:rPr>
        <w:t>May S et al.  ·  JMIR Mhealth Uhealth  ·  14.09.2026  ·  PMID 42735900</w:t>
      </w:r>
    </w:p>
    <w:p>
      <w:r>
        <w:t>Qualitative Interviewstudie mit 23 Personen zu Nutzererfahrungen beim Einrichten und Authentifizieren des Zugangs zur ePA durch Versicherer-Apps.</w:t>
      </w:r>
    </w:p>
    <w:p>
      <w:r>
        <w:rPr>
          <w:b/>
        </w:rPr>
        <w:t xml:space="preserve">Ergebnis: </w:t>
      </w:r>
      <w:r>
        <w:t>Zugang besteht nicht aus einem einzelnen Schritt, sondern aus fünf interdependenten Phasen (Orientierung, technischer Zugang, Verifizierung, Unterbrechungen, initiale Nutzung); Barrieren akkumulieren sich über Phasen hinweg und führen zu wiederholten Versuchen.</w:t>
      </w:r>
    </w:p>
    <w:p>
      <w:r>
        <w:rPr>
          <w:b/>
          <w:sz w:val="19"/>
        </w:rPr>
        <w:t xml:space="preserve">Übertragbarkeit: </w:t>
      </w:r>
      <w:r>
        <w:rPr>
          <w:sz w:val="19"/>
        </w:rPr>
        <w:t>Deutsche Routinedaten und ePA-Implementierung, direkt für deutsches System anwendbar</w:t>
      </w:r>
    </w:p>
    <w:p>
      <w:r>
        <w:rPr>
          <w:color w:val="5A7D3A"/>
          <w:sz w:val="18"/>
        </w:rPr>
        <w:t>https://pubmed.ncbi.nlm.nih.gov/42735900/</w:t>
      </w:r>
    </w:p>
    <w:p>
      <w:pPr>
        <w:pStyle w:val="Heading1"/>
      </w:pPr>
      <w:r>
        <w:t>Aufgenommen am 15.09.2026</w:t>
      </w:r>
    </w:p>
    <w:p>
      <w:pPr>
        <w:pStyle w:val="Heading2"/>
      </w:pPr>
      <w:r>
        <w:t>Design-Richtlinien für Online-Gesundheitsforen</w:t>
      </w:r>
    </w:p>
    <w:p>
      <w:r>
        <w:rPr>
          <w:i/>
          <w:color w:val="666666"/>
          <w:sz w:val="18"/>
        </w:rPr>
        <w:t>Marshall P et al.  ·  J Med Internet Res  ·  14.09.2026  ·  PMID 42735377</w:t>
      </w:r>
    </w:p>
    <w:p>
      <w:r>
        <w:t>Qualitative Studie mit 54 Interviews und Workshops zur Entwicklung evidenzgestützter Designrichtlinien für sichere Online-Gesundheitsforen basierend auf Selbstbestimmungstheorie.</w:t>
      </w:r>
    </w:p>
    <w:p>
      <w:r>
        <w:rPr>
          <w:b/>
        </w:rPr>
        <w:t xml:space="preserve">Ergebnis: </w:t>
      </w:r>
      <w:r>
        <w:t>Vier übergeordnete Designprinzipien identifiziert (Autonomie, Kompetenz, Zugehörigkeit, Sicherheit) mit pragmatischen Umsetzungsstrategien; Ergebnisse zeigen gemischte Nutzererfahrungen und Bedarf für nutzerzentrierte Weiterentwicklung.</w:t>
      </w:r>
    </w:p>
    <w:p>
      <w:r>
        <w:rPr>
          <w:b/>
          <w:sz w:val="19"/>
        </w:rPr>
        <w:t xml:space="preserve">Übertragbarkeit: </w:t>
      </w:r>
      <w:r>
        <w:rPr>
          <w:sz w:val="19"/>
        </w:rPr>
        <w:t>UK-Studie, aber Fragestellung zu Prozessqualität und Nutzerperspektive systemunabhängig übertragbar.</w:t>
      </w:r>
    </w:p>
    <w:p>
      <w:r>
        <w:rPr>
          <w:color w:val="5A7D3A"/>
          <w:sz w:val="18"/>
        </w:rPr>
        <w:t>https://pubmed.ncbi.nlm.nih.gov/42735377/</w:t>
      </w:r>
    </w:p>
    <w:p>
      <w:pPr>
        <w:pStyle w:val="Heading2"/>
      </w:pPr>
      <w:r>
        <w:t>Hepatitis-B-Disparitäten bei Migranten in Dänemark</w:t>
      </w:r>
    </w:p>
    <w:p>
      <w:r>
        <w:rPr>
          <w:i/>
          <w:color w:val="666666"/>
          <w:sz w:val="18"/>
        </w:rPr>
        <w:t>Deal A et al.  ·  Eur J Public Health  ·  04.08.2026  ·  PMID 42734651</w:t>
      </w:r>
    </w:p>
    <w:p>
      <w:r>
        <w:t>Matched-Cohort-Studie mit 179.110 Migranten und 1.049.345 Dänen über 23 Jahre zur Erfassung von HBV-Diagnoseraten und Verzögerungen.</w:t>
      </w:r>
    </w:p>
    <w:p>
      <w:r>
        <w:rPr>
          <w:b/>
        </w:rPr>
        <w:t xml:space="preserve">Ergebnis: </w:t>
      </w:r>
      <w:r>
        <w:t>Migranten zeigten 30,6-fach erhöhtes HBV-Diagnosrisiko (95%-KI: 26,7–35,2); durchschnittliche Verzögerung von Ankunft bis Diagnose 5,4 Jahre; Unterversorgung bei Personen außerhalb routinemäßiger Screening-Prozesse.</w:t>
      </w:r>
    </w:p>
    <w:p>
      <w:r>
        <w:rPr>
          <w:b/>
          <w:sz w:val="19"/>
        </w:rPr>
        <w:t xml:space="preserve">Übertragbarkeit: </w:t>
      </w:r>
      <w:r>
        <w:rPr>
          <w:sz w:val="19"/>
        </w:rPr>
        <w:t>Dänemark, Sozialversicherungssystem vergleichbar mit Deutschland, aussagekräftig für Migrantenpopulationen.</w:t>
      </w:r>
    </w:p>
    <w:p>
      <w:r>
        <w:rPr>
          <w:color w:val="5A7D3A"/>
          <w:sz w:val="18"/>
        </w:rPr>
        <w:t>https://pubmed.ncbi.nlm.nih.gov/42734651/</w:t>
      </w:r>
    </w:p>
    <w:p>
      <w:pPr>
        <w:pStyle w:val="Heading2"/>
      </w:pPr>
      <w:r>
        <w:t>Indirekte Effektivitätsvergleich Tafamidis vs. Acoramidis bei Transthyretin-Kardiomyopathie</w:t>
      </w:r>
    </w:p>
    <w:p>
      <w:r>
        <w:rPr>
          <w:i/>
          <w:color w:val="666666"/>
          <w:sz w:val="18"/>
        </w:rPr>
        <w:t>Debonnaire P et al.  ·  J Comp Eff Res  ·  14.09.2026  ·  PMID 42734113</w:t>
      </w:r>
    </w:p>
    <w:p>
      <w:r>
        <w:t>Trial-Emulation-Studie mit indirektem Vergleich zweier Transthyretin-Stabilisatoren basierend auf Registerdaten und klinischen Trials.</w:t>
      </w:r>
    </w:p>
    <w:p>
      <w:r>
        <w:rPr>
          <w:b/>
        </w:rPr>
        <w:t xml:space="preserve">Ergebnis: </w:t>
      </w:r>
      <w:r>
        <w:t>Nach Kalibrierung zeigte Acoramidis eine 42-Monats-Mortalitätsrate von 24,0% versus kalibrierte 31,2% für Tafamidis; relatives Mortalitätsrisiko 0,78 (95%-KI: 0,60–0,99), was auf 22% niedrigeres Sterblichkeitsrisiko deutet.</w:t>
      </w:r>
    </w:p>
    <w:p>
      <w:r>
        <w:rPr>
          <w:b/>
          <w:sz w:val="19"/>
        </w:rPr>
        <w:t xml:space="preserve">Übertragbarkeit: </w:t>
      </w:r>
      <w:r>
        <w:rPr>
          <w:sz w:val="19"/>
        </w:rPr>
        <w:t>Gering: US-Registerdaten; aber Fragestellung zur Vergleichbarkeit von Wirkstoffen systemunabhängig relevant.</w:t>
      </w:r>
    </w:p>
    <w:p>
      <w:r>
        <w:rPr>
          <w:color w:val="5A7D3A"/>
          <w:sz w:val="18"/>
        </w:rPr>
        <w:t>https://pubmed.ncbi.nlm.nih.gov/42734113/</w:t>
      </w:r>
    </w:p>
    <w:p>
      <w:pPr>
        <w:pStyle w:val="Heading2"/>
      </w:pPr>
      <w:r>
        <w:t>SESAME-Checkliste für Adverse-Event- und Fehlerberichterstattung</w:t>
      </w:r>
    </w:p>
    <w:p>
      <w:r>
        <w:rPr>
          <w:i/>
          <w:color w:val="666666"/>
          <w:sz w:val="18"/>
        </w:rPr>
        <w:t>Griffey RT et al.  ·  J Patient Saf  ·  11.09.2026  ·  PMID 42725452</w:t>
      </w:r>
    </w:p>
    <w:p>
      <w:r>
        <w:t>Methodisches Konsensuspapier zur Entwicklung einer 44-Item-Checkliste (SESAME) zur Standardisierung der Berichterstattung in Studien zu unerwünschten Ereignissen und medizinischen Fehlern.</w:t>
      </w:r>
    </w:p>
    <w:p>
      <w:r>
        <w:rPr>
          <w:b/>
        </w:rPr>
        <w:t xml:space="preserve">Ergebnis: </w:t>
      </w:r>
      <w:r>
        <w:t>SESAME-Checkliste mit 44 Items deckt alle kritischen Reporting-Domänen ab; Ziel ist Verbesserung der Vollständigkeit, Vergleichbarkeit und Reproduzierbarkeit; Entwicklung nach EQUATOR-Standards mit internationalem Expertenkonsens.</w:t>
      </w:r>
    </w:p>
    <w:p>
      <w:r>
        <w:rPr>
          <w:b/>
          <w:sz w:val="19"/>
        </w:rPr>
        <w:t xml:space="preserve">Übertragbarkeit: </w:t>
      </w:r>
      <w:r>
        <w:rPr>
          <w:sz w:val="19"/>
        </w:rPr>
        <w:t>Internationales Konsensdokument zur Studienqualität, systemunabhängig für Patientensicherheitsforschung relevant.</w:t>
      </w:r>
    </w:p>
    <w:p>
      <w:r>
        <w:rPr>
          <w:color w:val="5A7D3A"/>
          <w:sz w:val="18"/>
        </w:rPr>
        <w:t>https://pubmed.ncbi.nlm.nih.gov/42725452/</w:t>
      </w:r>
    </w:p>
    <w:p>
      <w:pPr>
        <w:pStyle w:val="Heading2"/>
      </w:pPr>
      <w:r>
        <w:t>Koordinierter Ansatz zur integrierten Sturz- und Frakturprävention</w:t>
      </w:r>
    </w:p>
    <w:p>
      <w:r>
        <w:rPr>
          <w:i/>
          <w:color w:val="666666"/>
          <w:sz w:val="18"/>
        </w:rPr>
        <w:t>van der Velde N et al.  ·  Eur Geriatr Med  ·  10.09.2026  ·  PMID 42720850</w:t>
      </w:r>
    </w:p>
    <w:p>
      <w:r>
        <w:t>Position Paper von sieben internationalen Fachgesellschaften zu evidenzgestützter integrierter Versorgung für Sturz- und Frakturprävention bei älteren Menschen.</w:t>
      </w:r>
    </w:p>
    <w:p>
      <w:r>
        <w:rPr>
          <w:b/>
        </w:rPr>
        <w:t xml:space="preserve">Ergebnis: </w:t>
      </w:r>
      <w:r>
        <w:t>Kernerkenntnis: Fragmentierte Versorgungsstrukturen erfordern integrierte Fall- und Frakturprävention als Public-Health-Priorität; Empfehlungen für interdisziplinäre Zusammenarbeit, Trainings und systemische Ressourcenallokation.</w:t>
      </w:r>
    </w:p>
    <w:p>
      <w:r>
        <w:rPr>
          <w:b/>
          <w:sz w:val="19"/>
        </w:rPr>
        <w:t xml:space="preserve">Übertragbarkeit: </w:t>
      </w:r>
      <w:r>
        <w:rPr>
          <w:sz w:val="19"/>
        </w:rPr>
        <w:t>Europäischer Konsens mit Fokus auf Versorgungsprozesse, Qualität und Implementierung in Regelversorgung.</w:t>
      </w:r>
    </w:p>
    <w:p>
      <w:r>
        <w:rPr>
          <w:color w:val="5A7D3A"/>
          <w:sz w:val="18"/>
        </w:rPr>
        <w:t>https://pubmed.ncbi.nlm.nih.gov/42720850/</w:t>
      </w:r>
    </w:p>
    <w:p>
      <w:pPr>
        <w:pStyle w:val="Heading2"/>
      </w:pPr>
      <w:r>
        <w:t>Tabakrauchexposition und Gesundheitsdienstleistungen bei jungen Erwachsenen</w:t>
      </w:r>
    </w:p>
    <w:p>
      <w:r>
        <w:rPr>
          <w:i/>
          <w:color w:val="666666"/>
          <w:sz w:val="18"/>
        </w:rPr>
        <w:t>Akhtar S et al.  ·  BMC Health Serv Res  ·  04.09.2026  ·  PMID 42717348</w:t>
      </w:r>
    </w:p>
    <w:p>
      <w:r>
        <w:t>Querschnittsstudie mit 1.323 Studierenden zur Erfassung von Tabakrauchexposition, Symptomen und Inanspruchnahme von Gesundheitsdienstleistungen.</w:t>
      </w:r>
    </w:p>
    <w:p>
      <w:r>
        <w:rPr>
          <w:b/>
        </w:rPr>
        <w:t xml:space="preserve">Ergebnis: </w:t>
      </w:r>
      <w:r>
        <w:t>Exposition gegenüber Tabakrauch 55,9% (740/1.323); Husten (aOR 2,10; 95%-KI 1,66–2,64), Dyspnoe (aOR 1,30; 95%-KI 1,01–1,67) und Asthma (aOR 1,95; 95%-KI 1,43–2,65) signifikant mit Inanspruchnahme assoziiert.</w:t>
      </w:r>
    </w:p>
    <w:p>
      <w:r>
        <w:rPr>
          <w:b/>
          <w:sz w:val="19"/>
        </w:rPr>
        <w:t xml:space="preserve">Übertragbarkeit: </w:t>
      </w:r>
      <w:r>
        <w:rPr>
          <w:sz w:val="19"/>
        </w:rPr>
        <w:t>Kuwait, aber Fragestellung zu Symptomen, Morbidität und Versorgungsnutzung epidemiologisch aussagekräftig.</w:t>
      </w:r>
    </w:p>
    <w:p>
      <w:r>
        <w:rPr>
          <w:color w:val="5A7D3A"/>
          <w:sz w:val="18"/>
        </w:rPr>
        <w:t>https://pubmed.ncbi.nlm.nih.gov/42717348/</w:t>
      </w:r>
    </w:p>
    <w:p>
      <w:pPr>
        <w:pStyle w:val="Heading1"/>
      </w:pPr>
      <w:r>
        <w:t>Aufgenommen am 14.09.2026</w:t>
      </w:r>
    </w:p>
    <w:p>
      <w:pPr>
        <w:pStyle w:val="Heading2"/>
      </w:pPr>
      <w:r>
        <w:t>Kliniker- und Informatiker-Perspektiven auf Harm-Risk-Vorhersage-Tools</w:t>
      </w:r>
    </w:p>
    <w:p>
      <w:r>
        <w:rPr>
          <w:i/>
          <w:color w:val="666666"/>
          <w:sz w:val="18"/>
        </w:rPr>
        <w:t>Lam JYJ et al.  ·  J Eval Clin Pract  ·  Sept. 2026  ·  PMID 42732558</w:t>
      </w:r>
    </w:p>
    <w:p>
      <w:r>
        <w:t>Qualitative Studie mit 22 Interviews (6 Ärzte, 11 Pharmazeuten, 5 Informatiker) zur Implementierung digitaler Risk-Prediction-Tools für Medikamentenschaden in australischen Krankenhäusern.</w:t>
      </w:r>
    </w:p>
    <w:p>
      <w:r>
        <w:rPr>
          <w:b/>
        </w:rPr>
        <w:t xml:space="preserve">Ergebnis: </w:t>
      </w:r>
      <w:r>
        <w:t>Fünf Themen mit Einfluss auf Adoption: Vertrauen der Kliniker, wahrgenommener Nutzen, organisatorische Bereitschaft, automatisierungsfähigkeit und Workflow-Kompatibilität. Barrieren: schlechte Systemintegration, Unsicherheit über Tool-Zuverlässigkeit; Enabler: umfassende Feedback-Mechanismen, Ressourcenplanung.</w:t>
      </w:r>
    </w:p>
    <w:p>
      <w:r>
        <w:rPr>
          <w:b/>
          <w:sz w:val="19"/>
        </w:rPr>
        <w:t xml:space="preserve">Übertragbarkeit: </w:t>
      </w:r>
      <w:r>
        <w:rPr>
          <w:sz w:val="19"/>
        </w:rPr>
        <w:t>Australien, aber klinische Perspektiven auf digitale Sicherheitstools übertragbar</w:t>
      </w:r>
    </w:p>
    <w:p>
      <w:r>
        <w:rPr>
          <w:color w:val="5A7D3A"/>
          <w:sz w:val="18"/>
        </w:rPr>
        <w:t>https://pubmed.ncbi.nlm.nih.gov/42732558/</w:t>
      </w:r>
    </w:p>
    <w:p>
      <w:pPr>
        <w:pStyle w:val="Heading2"/>
      </w:pPr>
      <w:r>
        <w:t>ADHD-Medikation und Selbstverletzungsrisiko: multinational</w:t>
      </w:r>
    </w:p>
    <w:p>
      <w:r>
        <w:rPr>
          <w:i/>
          <w:color w:val="666666"/>
          <w:sz w:val="18"/>
        </w:rPr>
        <w:t>Chan AYL et al.  ·  BMJ Ment Health  ·  12.09.2026  ·  PMID 42731881</w:t>
      </w:r>
    </w:p>
    <w:p>
      <w:r>
        <w:t>Multinational selbstkontrollierte Fallserie zur Assoziation zwischen ADHD-Medikation und Selbstverletzungen anhand von fünf Ländern-Datenbanken.</w:t>
      </w:r>
    </w:p>
    <w:p>
      <w:r>
        <w:rPr>
          <w:b/>
        </w:rPr>
        <w:t xml:space="preserve">Ergebnis: </w:t>
      </w:r>
      <w:r>
        <w:t>Höchstes Risiko 90 Tage vor Therapiestart (IRR 2,58), dann während ersten 90 Tage (IRR 1,78) und später (IRR 1,27). Muster konsistent über alle Datenbanken – erhöhtes Risiko vor Behandlung deutet auf unbehandelte ADHD-Symptome, nicht auf Medikation hin.</w:t>
      </w:r>
    </w:p>
    <w:p>
      <w:r>
        <w:rPr>
          <w:b/>
          <w:sz w:val="19"/>
        </w:rPr>
        <w:t xml:space="preserve">Übertragbarkeit: </w:t>
      </w:r>
      <w:r>
        <w:rPr>
          <w:sz w:val="19"/>
        </w:rPr>
        <w:t>Multinational, UK, Neuseeland, Taiwan eingeschlossen</w:t>
      </w:r>
    </w:p>
    <w:p>
      <w:r>
        <w:rPr>
          <w:color w:val="5A7D3A"/>
          <w:sz w:val="18"/>
        </w:rPr>
        <w:t>https://pubmed.ncbi.nlm.nih.gov/42731881/</w:t>
      </w:r>
    </w:p>
    <w:p>
      <w:pPr>
        <w:pStyle w:val="Heading2"/>
      </w:pPr>
      <w:r>
        <w:t>Online-Infektionstests: Systemische Vorteile und Barrieren</w:t>
      </w:r>
    </w:p>
    <w:p>
      <w:r>
        <w:rPr>
          <w:i/>
          <w:color w:val="666666"/>
          <w:sz w:val="18"/>
        </w:rPr>
        <w:t>Grace D et al.  ·  BMC Health Serv Res  ·  05.09.2026  ·  PMID 42728588</w:t>
      </w:r>
    </w:p>
    <w:p>
      <w:r>
        <w:t>Qualitative Interviews mit 41 Fachleuten zu Implementierung eines Online-Tests für sexuell übertragbare Infektionen (GetCheckedOnline) in Ontario.</w:t>
      </w:r>
    </w:p>
    <w:p>
      <w:r>
        <w:rPr>
          <w:b/>
        </w:rPr>
        <w:t xml:space="preserve">Ergebnis: </w:t>
      </w:r>
      <w:r>
        <w:t>Fünf zentrale Spannungsfelder identifiziert: Zugang, Datenschutz, Koordination, Agency und Systemauswirkungen. Teilnehmende erkannten Vorteile (besserer Zugang), berichteten aber auch unerwünschte Folgen (Koordinationsverluste zwischen Sektoren, Datenschutzbedenken).</w:t>
      </w:r>
    </w:p>
    <w:p>
      <w:r>
        <w:rPr>
          <w:b/>
          <w:sz w:val="19"/>
        </w:rPr>
        <w:t xml:space="preserve">Übertragbarkeit: </w:t>
      </w:r>
      <w:r>
        <w:rPr>
          <w:sz w:val="19"/>
        </w:rPr>
        <w:t>Kanada, aber Fragestellung zu digitalen Testmodellen systemübergreifend relevant</w:t>
      </w:r>
    </w:p>
    <w:p>
      <w:r>
        <w:rPr>
          <w:color w:val="5A7D3A"/>
          <w:sz w:val="18"/>
        </w:rPr>
        <w:t>https://pubmed.ncbi.nlm.nih.gov/42728588/</w:t>
      </w:r>
    </w:p>
    <w:p>
      <w:pPr>
        <w:pStyle w:val="Heading2"/>
      </w:pPr>
      <w:r>
        <w:t>Notfall- und Katastrophenbereitschaft in Krankenhäusern Äthiopiens</w:t>
      </w:r>
    </w:p>
    <w:p>
      <w:r>
        <w:rPr>
          <w:i/>
          <w:color w:val="666666"/>
          <w:sz w:val="18"/>
        </w:rPr>
        <w:t>Farah B et al.  ·  Res Health Serv Reg  ·  10.09.2026  ·  PMID 42720815</w:t>
      </w:r>
    </w:p>
    <w:p>
      <w:r>
        <w:t>Querschnittsstudie zur Notfall- und Katastrophenbereitschaft in vier öffentlichen Zonal-Krankenhäusern in der Somali-Region mit WHO-Hospital-Safety-Index Modul 4.</w:t>
      </w:r>
    </w:p>
    <w:p>
      <w:r>
        <w:rPr>
          <w:b/>
        </w:rPr>
        <w:t xml:space="preserve">Ergebnis: </w:t>
      </w:r>
      <w:r>
        <w:t>Mittlere Bereitschaftswerte von 45%; tiefste Werte für Notfall- und Katastrophenreaktion/Wiederherstellung (41,3%). Defizite in Reaktionsplanung, logistischer Bereitschaft, Finanzadministration und Kommunikationssystemen; fehlende externe Stakeholder-Koordination.</w:t>
      </w:r>
    </w:p>
    <w:p>
      <w:r>
        <w:rPr>
          <w:b/>
          <w:sz w:val="19"/>
        </w:rPr>
        <w:t xml:space="preserve">Übertragbarkeit: </w:t>
      </w:r>
      <w:r>
        <w:rPr>
          <w:sz w:val="19"/>
        </w:rPr>
        <w:t>Äthiopien (LMIC), aber HTA zur Systemreife allgemein relevant</w:t>
      </w:r>
    </w:p>
    <w:p>
      <w:r>
        <w:rPr>
          <w:color w:val="5A7D3A"/>
          <w:sz w:val="18"/>
        </w:rPr>
        <w:t>https://pubmed.ncbi.nlm.nih.gov/42720815/</w:t>
      </w:r>
    </w:p>
    <w:p>
      <w:pPr>
        <w:pStyle w:val="Heading2"/>
      </w:pPr>
      <w:r>
        <w:t>Risk Adjustment in Medicare Advantage mit Encounter-Daten</w:t>
      </w:r>
    </w:p>
    <w:p>
      <w:r>
        <w:rPr>
          <w:i/>
          <w:color w:val="666666"/>
          <w:sz w:val="18"/>
        </w:rPr>
        <w:t>Carlin CS et al.  ·  Health Serv Res  ·  Okt. 2026  ·  PMID 42720268</w:t>
      </w:r>
    </w:p>
    <w:p>
      <w:r>
        <w:t>Vergleichende Re-Schätzung des CMS-Hierarchical-Condition-Category-Modells mit Traditional-Medicare- vs. Medicare-Advantage-Claims 2016–2022.</w:t>
      </w:r>
    </w:p>
    <w:p>
      <w:r>
        <w:rPr>
          <w:b/>
        </w:rPr>
        <w:t xml:space="preserve">Ergebnis: </w:t>
      </w:r>
      <w:r>
        <w:t>MA-Daten zeigen 8,9% niedrigere durchschnittliche HCC-Scores als TM-Daten; Unterschiede variieren über Scoreverteilung. Keine neuen Anreizverzerrungen zu Lasten von Minoritäten oder ländlichen Versicherten.</w:t>
      </w:r>
    </w:p>
    <w:p>
      <w:r>
        <w:rPr>
          <w:b/>
          <w:sz w:val="19"/>
        </w:rPr>
        <w:t xml:space="preserve">Übertragbarkeit: </w:t>
      </w:r>
      <w:r>
        <w:rPr>
          <w:sz w:val="19"/>
        </w:rPr>
        <w:t>US-System (MA/Medicare), aber relevante Methodologie für Risk-Adjustment</w:t>
      </w:r>
    </w:p>
    <w:p>
      <w:r>
        <w:rPr>
          <w:color w:val="5A7D3A"/>
          <w:sz w:val="18"/>
        </w:rPr>
        <w:t>https://pubmed.ncbi.nlm.nih.gov/42720268/</w:t>
      </w:r>
    </w:p>
    <w:p>
      <w:pPr>
        <w:pStyle w:val="Heading2"/>
      </w:pPr>
      <w:r>
        <w:t>MISSION4Sax: Sektorübergreifende onkologische Versorgungsmodelle</w:t>
      </w:r>
    </w:p>
    <w:p>
      <w:r>
        <w:rPr>
          <w:i/>
          <w:color w:val="666666"/>
          <w:sz w:val="18"/>
        </w:rPr>
        <w:t>Richter C et al.  ·  J Cancer Res Clin Oncol  ·  02.09.2026  ·  PMID 42693346</w:t>
      </w:r>
    </w:p>
    <w:p>
      <w:r>
        <w:t>Studienprotokoll eines multizentrischen Pilotstudien zur Machbarkeit einer integrierten onkologischen Versorgung über Regionaltumorbrett zwischen Maximalversorgung und Landpraxis mit standardisierten Patientenpfaden.</w:t>
      </w:r>
    </w:p>
    <w:p>
      <w:r>
        <w:rPr>
          <w:b/>
        </w:rPr>
        <w:t xml:space="preserve">Ergebnis: </w:t>
      </w:r>
      <w:r>
        <w:t>Geplante Bewertung von Machbarkeit, Akzeptanz, Implementierung und Datenqualität (keine Effektivitätsfrage); Fokus auf Wartezeiten, Adhärenz, klinische und Patient-Reported Outcomes. Routinedaten der Krankenkasse als externe Referenz geplant, keine Individualverlinkung.</w:t>
      </w:r>
    </w:p>
    <w:p>
      <w:r>
        <w:rPr>
          <w:b/>
          <w:sz w:val="19"/>
        </w:rPr>
        <w:t xml:space="preserve">Übertragbarkeit: </w:t>
      </w:r>
      <w:r>
        <w:rPr>
          <w:sz w:val="19"/>
        </w:rPr>
        <w:t>Deutschland (Sachsen), Versorgungsforschungs-Design direkt übertragbar</w:t>
      </w:r>
    </w:p>
    <w:p>
      <w:r>
        <w:rPr>
          <w:color w:val="5A7D3A"/>
          <w:sz w:val="18"/>
        </w:rPr>
        <w:t>https://pubmed.ncbi.nlm.nih.gov/42693346/</w:t>
      </w:r>
    </w:p>
    <w:p>
      <w:pPr>
        <w:pStyle w:val="Heading1"/>
      </w:pPr>
      <w:r>
        <w:t>Aufgenommen am 13.09.2026</w:t>
      </w:r>
    </w:p>
    <w:p>
      <w:pPr>
        <w:pStyle w:val="Heading2"/>
      </w:pPr>
      <w:r>
        <w:t>Direkt-OP-Teledermatologie für Hautkrebs: Sicherheit und Effizienz</w:t>
      </w:r>
    </w:p>
    <w:p>
      <w:r>
        <w:rPr>
          <w:i/>
          <w:color w:val="666666"/>
          <w:sz w:val="18"/>
        </w:rPr>
        <w:t>Nour S et al.  ·  BMJ Open Qual  ·  11.09.2026  ·  PMID 42731848</w:t>
      </w:r>
    </w:p>
    <w:p>
      <w:r>
        <w:t>Evaluierung eines Direct-to-Surgery-Teledermatologie-Pfads für verdächtige Hautkrebs-Referrals in einem großen NHS-Hautkrebs-Service mit 18.587 Patienten.</w:t>
      </w:r>
    </w:p>
    <w:p>
      <w:r>
        <w:rPr>
          <w:b/>
        </w:rPr>
        <w:t xml:space="preserve">Ergebnis: </w:t>
      </w:r>
      <w:r>
        <w:t>Von 5.099 eingeschlossenen Patienten wurde 99,86% die 28-Tage-Faster-Diagnosis-Standard erreicht (Ziel: 75%); 75,5% der Melanom-/Plattenepithel-Karzinom-Patienten begannen Behandlung innerhalb der 62-Tage-Zielmarke. Histologie identifizierte 35,5% maligne und 15,5% prämaligne Pathologie; Diagnostische Konkordanz 41,5% (Cohen's κ=0,34). Komplikationsrate 1,3%. Der Pfad demonstriert sichere hochvolumige Hautkrebs-Chirurgie mit exzellenter Compliance zur Faster Diagnosis Standard.</w:t>
      </w:r>
    </w:p>
    <w:p>
      <w:r>
        <w:rPr>
          <w:b/>
          <w:sz w:val="19"/>
        </w:rPr>
        <w:t xml:space="preserve">Übertragbarkeit: </w:t>
      </w:r>
      <w:r>
        <w:rPr>
          <w:sz w:val="19"/>
        </w:rPr>
        <w:t>UK-NHS-Setting, aber Prozessoptimierung für Versorgung übertragbar</w:t>
      </w:r>
    </w:p>
    <w:p>
      <w:r>
        <w:rPr>
          <w:color w:val="5A7D3A"/>
          <w:sz w:val="18"/>
        </w:rPr>
        <w:t>https://pubmed.ncbi.nlm.nih.gov/42731848/</w:t>
      </w:r>
    </w:p>
    <w:p>
      <w:pPr>
        <w:pStyle w:val="Heading2"/>
      </w:pPr>
      <w:r>
        <w:t>Merkmale von Hausärzten und potenziell unangemessene Medikation bei älteren Patienten</w:t>
      </w:r>
    </w:p>
    <w:p>
      <w:r>
        <w:rPr>
          <w:i/>
          <w:color w:val="666666"/>
          <w:sz w:val="18"/>
        </w:rPr>
        <w:t>Tatsuno Y et al.  ·  Health Aff Sch  ·  28.08.2026  ·  PMID 42730259</w:t>
      </w:r>
    </w:p>
    <w:p>
      <w:r>
        <w:t>Japanische Querschnittsstudie zu Zusammenhängen zwischen Arztmerkmalen (Alter, Patientenvolumen) und der Verschreibung potenziell unangemessener Medikamente (PIMs) bei ≥75-Jährigen.</w:t>
      </w:r>
    </w:p>
    <w:p>
      <w:r>
        <w:rPr>
          <w:b/>
        </w:rPr>
        <w:t xml:space="preserve">Ergebnis: </w:t>
      </w:r>
      <w:r>
        <w:t>Von 184.097 Patienten erhielten 38,2% mindestens eine PIM; zwei Drittel der PIM-Verschreibungen konzentrierten sich auf 20% der Ärzte. Jüngere Ärzte (aOR 1,27; 95%-KI 1,05–1,55), solche mit niedrigerem Volumen älterer Patienten (aOR 1,39; 95%-KI 1,19–1,61) und Ärzte in Ost- oder Mittel-Japan verschrieben häufiger PIMs. Gezielte Interventionen bei Hochverschreibern könnten PIMs effizient reduzieren.</w:t>
      </w:r>
    </w:p>
    <w:p>
      <w:r>
        <w:rPr>
          <w:b/>
          <w:sz w:val="19"/>
        </w:rPr>
        <w:t xml:space="preserve">Übertragbarkeit: </w:t>
      </w:r>
      <w:r>
        <w:rPr>
          <w:sz w:val="19"/>
        </w:rPr>
        <w:t>Japan, aber Fragestellung zur Arztqualität systemunabhängig übertragbar</w:t>
      </w:r>
    </w:p>
    <w:p>
      <w:r>
        <w:rPr>
          <w:color w:val="5A7D3A"/>
          <w:sz w:val="18"/>
        </w:rPr>
        <w:t>https://pubmed.ncbi.nlm.nih.gov/42730259/</w:t>
      </w:r>
    </w:p>
    <w:p>
      <w:pPr>
        <w:pStyle w:val="Heading2"/>
      </w:pPr>
      <w:r>
        <w:t>Integration Flexibles Assertive Community Treatment mit kommunalen Sozialservices</w:t>
      </w:r>
    </w:p>
    <w:p>
      <w:r>
        <w:rPr>
          <w:i/>
          <w:color w:val="666666"/>
          <w:sz w:val="18"/>
        </w:rPr>
        <w:t>Kleijburg A et al.  ·  Int J Integr Care  ·  08.09.2026  ·  PMID 42729928</w:t>
      </w:r>
    </w:p>
    <w:p>
      <w:r>
        <w:t>Qualitative Studie mit 15 Interviews zur Implementierung von FACT+DSS-Teams (Flexible Assertive Community Treatment + District Social Services) in der Niederlande für Patienten mit schwerer psychischer Erkrankung.</w:t>
      </w:r>
    </w:p>
    <w:p>
      <w:r>
        <w:rPr>
          <w:b/>
        </w:rPr>
        <w:t xml:space="preserve">Ergebnis: </w:t>
      </w:r>
      <w:r>
        <w:t>FACT+DSS wurde von Teamkräften als deutlich positiv erlebt und verbesserte Zugangsbarrieren, Kontinuität der Versorgung, Case-Finding und Vernetzungskollaboration. Wichtige Erfolgsfaktoren waren starke Führung, geteilter Besitz, gleichberechtigte Zusammenarbeit und direkte Beziehungen. Barrieren waren unzureichende Ressourcen und fehlende klare Rollenverteilung.</w:t>
      </w:r>
    </w:p>
    <w:p>
      <w:r>
        <w:rPr>
          <w:b/>
          <w:sz w:val="19"/>
        </w:rPr>
        <w:t xml:space="preserve">Übertragbarkeit: </w:t>
      </w:r>
      <w:r>
        <w:rPr>
          <w:sz w:val="19"/>
        </w:rPr>
        <w:t>Niederlande, vergleichbares Sozialversicherungssystem, integrierte Versorgung</w:t>
      </w:r>
    </w:p>
    <w:p>
      <w:r>
        <w:rPr>
          <w:color w:val="5A7D3A"/>
          <w:sz w:val="18"/>
        </w:rPr>
        <w:t>https://pubmed.ncbi.nlm.nih.gov/42729928/</w:t>
      </w:r>
    </w:p>
    <w:p>
      <w:pPr>
        <w:pStyle w:val="Heading2"/>
      </w:pPr>
      <w:r>
        <w:t>Auswirkung Brandon Act auf Suizidversuche im US-Militär</w:t>
      </w:r>
    </w:p>
    <w:p>
      <w:r>
        <w:rPr>
          <w:i/>
          <w:color w:val="666666"/>
          <w:sz w:val="18"/>
        </w:rPr>
        <w:t>Yoon J et al.  ·  Health Serv Res  ·  Okt. 2026  ·  PMID 42728782</w:t>
      </w:r>
    </w:p>
    <w:p>
      <w:r>
        <w:t>Unterbrochene Zeitreihen-Analyse (2018–2024) der Military Health System-Daten zu Effekten des Brandon Acts (Geheime Selbst-Überweisungs-Pathways für psychische Gesundheit) auf Suizidversuche bei Active-Duty-Soldaten.</w:t>
      </w:r>
    </w:p>
    <w:p>
      <w:r>
        <w:rPr>
          <w:b/>
        </w:rPr>
        <w:t xml:space="preserve">Ergebnis: </w:t>
      </w:r>
      <w:r>
        <w:t>Brandon Act im Dezember 2021 assoziiert mit unmittelbare Reduktion von 6,51 pro 100.000 (95%-KI: -10,54, -2,47) und Trendwechsel von -2,25 pro Quartal (95%-KI: -3,81, -0,70). Nach Implementation Mai 2023 weitere Reduktion von 21,19 pro 100.000 (95%-KI: -26,83, -15,55). Über 3 Jahre geschätzt ~3.800 Suizidversuche verhindert. Größte Effekte bei junior Enlisted, Frauen, Army/Marines.</w:t>
      </w:r>
    </w:p>
    <w:p>
      <w:r>
        <w:rPr>
          <w:b/>
          <w:sz w:val="19"/>
        </w:rPr>
        <w:t xml:space="preserve">Übertragbarkeit: </w:t>
      </w:r>
      <w:r>
        <w:rPr>
          <w:sz w:val="19"/>
        </w:rPr>
        <w:t>US-Militärsystem, aber Fragestellung zu Stigma-Reduktion systemunabhängig übertragbar</w:t>
      </w:r>
    </w:p>
    <w:p>
      <w:r>
        <w:rPr>
          <w:color w:val="5A7D3A"/>
          <w:sz w:val="18"/>
        </w:rPr>
        <w:t>https://pubmed.ncbi.nlm.nih.gov/42728782/</w:t>
      </w:r>
    </w:p>
    <w:p>
      <w:pPr>
        <w:pStyle w:val="Heading2"/>
      </w:pPr>
      <w:r>
        <w:t>Subjektive Bedarfserkennung und Inanspruchnahme psychischer Gesundheitsversorgung</w:t>
      </w:r>
    </w:p>
    <w:p>
      <w:r>
        <w:rPr>
          <w:i/>
          <w:color w:val="666666"/>
          <w:sz w:val="18"/>
        </w:rPr>
        <w:t>Reinhold AK et al.  ·  BMC Health Serv Res  ·  10.09.2026  ·  PMID 42728591</w:t>
      </w:r>
    </w:p>
    <w:p>
      <w:r>
        <w:t>Gemischte Methoden-Studie mit 456 Teilnehmern mit depressiven Symptomen (PHQ-9≥5) zur Diskrepanz zwischen objektivem, subjektivem Bedarf und tatsächlicher Inanspruchnahme von psychischer Versorgung.</w:t>
      </w:r>
    </w:p>
    <w:p>
      <w:r>
        <w:rPr>
          <w:b/>
        </w:rPr>
        <w:t xml:space="preserve">Ergebnis: </w:t>
      </w:r>
      <w:r>
        <w:t>Subjektive Bedarfserkennung ist starker Prädiktor für Inanspruchnahme: 38,1% der Negativ-Gescreenten und 45,8% der Positiv-Gescreenten berichteten weniger als "sehr genau" zu Suizid-Gedanken geantwortet zu haben. Qualitative Analyse (n=23) identifizierte eine Sechsteilung-Typologie von subjektivem Bedarf statt binärer Klassifikation.</w:t>
      </w:r>
    </w:p>
    <w:p>
      <w:r>
        <w:rPr>
          <w:b/>
          <w:sz w:val="19"/>
        </w:rPr>
        <w:t xml:space="preserve">Übertragbarkeit: </w:t>
      </w:r>
      <w:r>
        <w:rPr>
          <w:sz w:val="19"/>
        </w:rPr>
        <w:t>Deutsche Routinedaten, populationsbasierte Stichprobe, Hausarzt-nahe Versorgung</w:t>
      </w:r>
    </w:p>
    <w:p>
      <w:r>
        <w:rPr>
          <w:color w:val="5A7D3A"/>
          <w:sz w:val="18"/>
        </w:rPr>
        <w:t>https://pubmed.ncbi.nlm.nih.gov/42728591/</w:t>
      </w:r>
    </w:p>
    <w:p>
      <w:pPr>
        <w:pStyle w:val="Heading2"/>
      </w:pPr>
      <w:r>
        <w:t>Vial-Sharing-Strategie reduziert Arzneimittelabfall bei CT-Kontrastmittel</w:t>
      </w:r>
    </w:p>
    <w:p>
      <w:r>
        <w:rPr>
          <w:i/>
          <w:color w:val="666666"/>
          <w:sz w:val="18"/>
        </w:rPr>
        <w:t>Yin Y et al.  ·  BMC Health Serv Res  ·  30.07.2026  ·  PMID 42723046</w:t>
      </w:r>
    </w:p>
    <w:p>
      <w:r>
        <w:t>Retrospektive Studie in chinesischem Universitätskrankenhaus zur Kostenreduktion durch Umstellung von Einzelvial- auf gemeinsame Vial-Abrechnung für CT-Kontrastmittel mit Prozessoptimierung.</w:t>
      </w:r>
    </w:p>
    <w:p>
      <w:r>
        <w:rPr>
          <w:b/>
        </w:rPr>
        <w:t xml:space="preserve">Ergebnis: </w:t>
      </w:r>
      <w:r>
        <w:t>Vial-Sharing-Strategie führte zu jährlicher Einsparung von 2.906.398,8 mL Kontrastmittel und Kostenreduktion von 9.181.958,83 CNY; durchschnittlich 66,93 CNY Kostenreduktion pro Patient. Multidisziplinäre Prozessoptimierung verbesserte Drug Utilization Efficiency und Ressourcenschonung.</w:t>
      </w:r>
    </w:p>
    <w:p>
      <w:r>
        <w:rPr>
          <w:b/>
          <w:sz w:val="19"/>
        </w:rPr>
        <w:t xml:space="preserve">Übertragbarkeit: </w:t>
      </w:r>
      <w:r>
        <w:rPr>
          <w:sz w:val="19"/>
        </w:rPr>
        <w:t>China, aber Versorgungseffizienz-Ansatz für deutsche Krankenhäuser adaptierbar</w:t>
      </w:r>
    </w:p>
    <w:p>
      <w:r>
        <w:rPr>
          <w:color w:val="5A7D3A"/>
          <w:sz w:val="18"/>
        </w:rPr>
        <w:t>https://pubmed.ncbi.nlm.nih.gov/42723046/</w:t>
      </w:r>
    </w:p>
    <w:p>
      <w:pPr>
        <w:pStyle w:val="Heading1"/>
      </w:pPr>
      <w:r>
        <w:t>Aufgenommen am 12.09.2026</w:t>
      </w:r>
    </w:p>
    <w:p>
      <w:pPr>
        <w:pStyle w:val="Heading2"/>
      </w:pPr>
      <w:r>
        <w:t>Geografische Erreichbarkeit Primärversorgung Schweden</w:t>
      </w:r>
    </w:p>
    <w:p>
      <w:r>
        <w:rPr>
          <w:i/>
          <w:color w:val="666666"/>
          <w:sz w:val="18"/>
        </w:rPr>
        <w:t>Isaksson D et al.  ·  BMJ Open  ·  11.09.2026  ·  PMID 42727971</w:t>
      </w:r>
    </w:p>
    <w:p>
      <w:r>
        <w:t>Landesweite Querschnittsstudie zur Fahrtzeit-Erreichbarkeit von Hausarztpraxen in Schweden anhand von Routinedaten.</w:t>
      </w:r>
    </w:p>
    <w:p>
      <w:r>
        <w:rPr>
          <w:b/>
        </w:rPr>
        <w:t xml:space="preserve">Ergebnis: </w:t>
      </w:r>
      <w:r>
        <w:t>Mittlere Fahrtzeit zur nächsten Praxis: 5,6 Min (SD 6,3), Median 3,3 Min; 15,8% erreichen Praxis nicht in ≤10 Min; deutliche Urban-Rural-Disparität (15,1 Min vs 3,0 Min in Großstädten). Geographischer Zugang hoch im Mittel, aber substantielle Unterschiede bleiben.</w:t>
      </w:r>
    </w:p>
    <w:p>
      <w:r>
        <w:rPr>
          <w:b/>
          <w:sz w:val="19"/>
        </w:rPr>
        <w:t xml:space="preserve">Übertragbarkeit: </w:t>
      </w:r>
      <w:r>
        <w:rPr>
          <w:sz w:val="19"/>
        </w:rPr>
        <w:t>Schweden, steuerfinanziert; Prozessmessungen zur Zugänglichkeit auf deutsche Strukturen gut übertragbar.</w:t>
      </w:r>
    </w:p>
    <w:p>
      <w:r>
        <w:rPr>
          <w:color w:val="5A7D3A"/>
          <w:sz w:val="18"/>
        </w:rPr>
        <w:t>https://pubmed.ncbi.nlm.nih.gov/42727971/</w:t>
      </w:r>
    </w:p>
    <w:p>
      <w:pPr>
        <w:pStyle w:val="Heading2"/>
      </w:pPr>
      <w:r>
        <w:t>Psychische Belastung von Gesundheitsfachkräften durch COVID-19</w:t>
      </w:r>
    </w:p>
    <w:p>
      <w:r>
        <w:rPr>
          <w:i/>
          <w:color w:val="666666"/>
          <w:sz w:val="18"/>
        </w:rPr>
        <w:t>Alonso J et al.  ·  Span J Psychiatry Ment Health  ·  11.09.2026  ·  PMID 42727923</w:t>
      </w:r>
    </w:p>
    <w:p>
      <w:r>
        <w:t>Dreieinhalb-Jahres-Längsschnittstudie zu psychischen Auswirkungen von COVID-19 auf spanische Gesundheitsfachkräfte.</w:t>
      </w:r>
    </w:p>
    <w:p>
      <w:r>
        <w:rPr>
          <w:b/>
        </w:rPr>
        <w:t xml:space="preserve">Ergebnis: </w:t>
      </w:r>
      <w:r>
        <w:t>38,1% der negativ gescreenten und 45,8% der positiv gescreenten Veteranen berichteten unauffällige Disclosure bei Suizidales-Screening. Weniger genaue Angaben assoziiert mit niedrigerem Glauben, Suizid sei Ausweg (OR 0,46 bzw 0,40), und höherer Sorge vor Überreaktion (OR 2,36 bzw 3,73). Screening-Genauigkeit limitiert durch Offenbarungshemmungen.</w:t>
      </w:r>
    </w:p>
    <w:p>
      <w:r>
        <w:rPr>
          <w:b/>
          <w:sz w:val="19"/>
        </w:rPr>
        <w:t xml:space="preserve">Übertragbarkeit: </w:t>
      </w:r>
      <w:r>
        <w:rPr>
          <w:sz w:val="19"/>
        </w:rPr>
        <w:t>Spanische Gesundheitsfachkräfte; Health Services Research-Perspektive auf Implementierungsbarrieren auf deutsche Verhältnisse übertragbar.</w:t>
      </w:r>
    </w:p>
    <w:p>
      <w:r>
        <w:rPr>
          <w:color w:val="5A7D3A"/>
          <w:sz w:val="18"/>
        </w:rPr>
        <w:t>https://pubmed.ncbi.nlm.nih.gov/42727923/</w:t>
      </w:r>
    </w:p>
    <w:p>
      <w:pPr>
        <w:pStyle w:val="Heading2"/>
      </w:pPr>
      <w:r>
        <w:t>Technische Unterstützung für Leitlinien-Implementation in LMICs</w:t>
      </w:r>
    </w:p>
    <w:p>
      <w:r>
        <w:rPr>
          <w:i/>
          <w:color w:val="666666"/>
          <w:sz w:val="18"/>
        </w:rPr>
        <w:t>Fahim C et al.  ·  Health Res Policy Syst  ·  10.09.2026  ·  PMID 42723069</w:t>
      </w:r>
    </w:p>
    <w:p>
      <w:r>
        <w:t>Mixed-Methods-Evaluation eines Unterstützungszentrums zur Stärkung der Forschungskapazität für Health Systems Research und Implementierung in Ländern mit niedrigem und mittlerem Einkommen.</w:t>
      </w:r>
    </w:p>
    <w:p>
      <w:r>
        <w:rPr>
          <w:b/>
        </w:rPr>
        <w:t xml:space="preserve">Ergebnis: </w:t>
      </w:r>
      <w:r>
        <w:t>22 Teilnehmer aus 6 Ländern; 8 von 9 Forschungskapazitäts-Outcomes verbesserten sich signifikant; signifikante Unterschiede in der Fähigkeit zur Entwicklung evidenzgestützter Knowledge-Translation-Interventionen (Z=-2,93, p&lt;0,05). Hauptbarrieren: fragmentierte Dienstleistungen, mangelnde Daten/Ausrüstung; Enabler: Stakeholder-Partnerschaften, multi-sektorale Ansätze.</w:t>
      </w:r>
    </w:p>
    <w:p>
      <w:r>
        <w:rPr>
          <w:b/>
          <w:sz w:val="19"/>
        </w:rPr>
        <w:t xml:space="preserve">Übertragbarkeit: </w:t>
      </w:r>
      <w:r>
        <w:rPr>
          <w:sz w:val="19"/>
        </w:rPr>
        <w:t>Low- and Middle-Income Countries; Implementierungswissenschaft auf deutsche Kapazitätsentwicklung nicht direkt übertragbar.</w:t>
      </w:r>
    </w:p>
    <w:p>
      <w:r>
        <w:rPr>
          <w:color w:val="5A7D3A"/>
          <w:sz w:val="18"/>
        </w:rPr>
        <w:t>https://pubmed.ncbi.nlm.nih.gov/42723069/</w:t>
      </w:r>
    </w:p>
    <w:p>
      <w:pPr>
        <w:pStyle w:val="Heading2"/>
      </w:pPr>
      <w:r>
        <w:t>Conversational Agent für Magenkrebspatienten</w:t>
      </w:r>
    </w:p>
    <w:p>
      <w:r>
        <w:rPr>
          <w:i/>
          <w:color w:val="666666"/>
          <w:sz w:val="18"/>
        </w:rPr>
        <w:t>Kang Y et al.  ·  J Med Internet Res  ·  10.09.2026  ·  PMID 42721321</w:t>
      </w:r>
    </w:p>
    <w:p>
      <w:r>
        <w:t>Action-Research-Studie zur Entwicklung und Usability-Bewertung eines KI-gestützten Conversational Agents für Patientenschulung bei Magenkrebs.</w:t>
      </w:r>
    </w:p>
    <w:p>
      <w:r>
        <w:rPr>
          <w:b/>
        </w:rPr>
        <w:t xml:space="preserve">Ergebnis: </w:t>
      </w:r>
      <w:r>
        <w:t>44 Patienten, 13 Pflegekräfte, 3 Manager, 2 Chirurgen getestet; Accuracy über 3 Testzyklen: 67%, 71%, 82%; RAG-Knowledge-Hit-Rate: 86%, 98%, 100% (signifikante Verbesserung p&lt;0,01). Chatbot-Usability-Score: 91,9 (SD 3,6); Content-Relevanz: 3,75 (SD 0,9). Drei Themen nutzer-zentriert: Wahrgenommene Nützlichkeit, Ease of Use, Nutzungsabsicht.</w:t>
      </w:r>
    </w:p>
    <w:p>
      <w:r>
        <w:rPr>
          <w:b/>
          <w:sz w:val="19"/>
        </w:rPr>
        <w:t xml:space="preserve">Übertragbarkeit: </w:t>
      </w:r>
      <w:r>
        <w:rPr>
          <w:sz w:val="19"/>
        </w:rPr>
        <w:t>China, Krankenhaus-Setting; Technologie-Anwendung für Patientenbildung auf deutsche Systeme prinzipiell übertragbar, Validierung erforderlich.</w:t>
      </w:r>
    </w:p>
    <w:p>
      <w:r>
        <w:rPr>
          <w:color w:val="5A7D3A"/>
          <w:sz w:val="18"/>
        </w:rPr>
        <w:t>https://pubmed.ncbi.nlm.nih.gov/42721321/</w:t>
      </w:r>
    </w:p>
    <w:p>
      <w:pPr>
        <w:pStyle w:val="Heading2"/>
      </w:pPr>
      <w:r>
        <w:t>Lebensqualität bei Krebspatienten in der DR Kongo</w:t>
      </w:r>
    </w:p>
    <w:p>
      <w:r>
        <w:rPr>
          <w:i/>
          <w:color w:val="666666"/>
          <w:sz w:val="18"/>
        </w:rPr>
        <w:t>Pilz MJ et al.  ·  BMJ Open  ·  09.09.2026  ·  PMID 42716684</w:t>
      </w:r>
    </w:p>
    <w:p>
      <w:r>
        <w:t>Querschnitts-Mixed-Methods-Studie zur gesundheitsbezogenen Lebensqualität von Krebspatienten in Lubumbashi, Demokratische Republik Kongo.</w:t>
      </w:r>
    </w:p>
    <w:p>
      <w:r>
        <w:rPr>
          <w:b/>
        </w:rPr>
        <w:t xml:space="preserve">Ergebnis: </w:t>
      </w:r>
      <w:r>
        <w:t>103 Patienten untersucht; 94,1% berichten finanzielle Probleme, 80,4% soziale Isolation, 71,8% Besorgnis. Symptombelastung deutlich höher als in Spanien-Kontrollgruppe (OR 1,18–28,0 für Symptome); nach Adjustierung für Alter, Geschlecht, Komorbiditäten blieben signifikante Unterschiede für 10 von 16 Skalen (p&lt;0,05). Hohe Symptombelastung erfordert Unterstützungsmaßnahmen.</w:t>
      </w:r>
    </w:p>
    <w:p>
      <w:r>
        <w:rPr>
          <w:b/>
          <w:sz w:val="19"/>
        </w:rPr>
        <w:t xml:space="preserve">Übertragbarkeit: </w:t>
      </w:r>
      <w:r>
        <w:rPr>
          <w:sz w:val="19"/>
        </w:rPr>
        <w:t>DR Kongo, Low-Income Setting; Bedeutung für ressourcenlimitierte Systeme, eingeschränkte Übertragbarkeit auf deutsche Verhältnisse.</w:t>
      </w:r>
    </w:p>
    <w:p>
      <w:r>
        <w:rPr>
          <w:color w:val="5A7D3A"/>
          <w:sz w:val="18"/>
        </w:rPr>
        <w:t>https://pubmed.ncbi.nlm.nih.gov/42716684/</w:t>
      </w:r>
    </w:p>
    <w:p>
      <w:pPr>
        <w:pStyle w:val="Heading2"/>
      </w:pPr>
      <w:r>
        <w:t>Verbrauchergesteuerte Forschungspriorität in Australien</w:t>
      </w:r>
    </w:p>
    <w:p>
      <w:r>
        <w:rPr>
          <w:i/>
          <w:color w:val="666666"/>
          <w:sz w:val="18"/>
        </w:rPr>
        <w:t>Catapan SC et al.  ·  Rural Remote Health  ·  01.09.2026  ·  PMID 42716571</w:t>
      </w:r>
    </w:p>
    <w:p>
      <w:r>
        <w:t>Qualitative Studie mit World Café-Methode zur Bestimmung von Forschungsprioritäten für Gesundheit in ruralen australischen Gemeinden.</w:t>
      </w:r>
    </w:p>
    <w:p>
      <w:r>
        <w:rPr>
          <w:b/>
        </w:rPr>
        <w:t xml:space="preserve">Ergebnis: </w:t>
      </w:r>
      <w:r>
        <w:t>Fünf identifizierte Prioritäten: (1) Rekrutierung/Bindung von Hausärzten, (2) multidisziplinäre Versorgung, (3) Bewusstsein für lokale Dienste, (4) erweiterte Chroniker-Betreuung mit Remote-Monitoring, (5) Verbindung zu sozialen Determinanten (Wohnung, Finanzen). Konsens zwischen Verbrauchern und Forschern auf Bedarf für maßgeschneiderte, gemeindegesteuerte Interventionen.</w:t>
      </w:r>
    </w:p>
    <w:p>
      <w:r>
        <w:rPr>
          <w:b/>
          <w:sz w:val="19"/>
        </w:rPr>
        <w:t xml:space="preserve">Übertragbarkeit: </w:t>
      </w:r>
      <w:r>
        <w:rPr>
          <w:sz w:val="19"/>
        </w:rPr>
        <w:t>Australien, steuerfinanziert; Partizipativmethode zur Prioritätensetzung auf deutsche Versorgungsforschung teilweise übertragbar.</w:t>
      </w:r>
    </w:p>
    <w:p>
      <w:r>
        <w:rPr>
          <w:color w:val="5A7D3A"/>
          <w:sz w:val="18"/>
        </w:rPr>
        <w:t>https://pubmed.ncbi.nlm.nih.gov/42716571/</w:t>
      </w:r>
    </w:p>
    <w:p>
      <w:pPr>
        <w:pStyle w:val="Heading1"/>
      </w:pPr>
      <w:r>
        <w:t>Aufgenommen am 11.09.2026</w:t>
      </w:r>
    </w:p>
    <w:p>
      <w:pPr>
        <w:pStyle w:val="Heading2"/>
      </w:pPr>
      <w:r>
        <w:t>Mobile Single-Lead ECG-Screening für Vorhofflimmern in Routine-Settings</w:t>
      </w:r>
    </w:p>
    <w:p>
      <w:r>
        <w:rPr>
          <w:i/>
          <w:color w:val="666666"/>
          <w:sz w:val="18"/>
        </w:rPr>
        <w:t>Fenske R et al.  ·  JMIR Cardio  ·  10.09.2026  ·  PMID 42721301</w:t>
      </w:r>
    </w:p>
    <w:p>
      <w:r>
        <w:t>Deutsche Multizenterstudie zur Machbarkeit von mobiler Single-Lead-EKG-Detektion für Vorhofflimmern in Krankenhaus und Praxis.</w:t>
      </w:r>
    </w:p>
    <w:p>
      <w:r>
        <w:rPr>
          <w:b/>
        </w:rPr>
        <w:t xml:space="preserve">Ergebnis: </w:t>
      </w:r>
      <w:r>
        <w:t>Von 237 Patienten lieferte das Gerät Interpretation bei 95,3% (41/43) der Ambulanten und 85,6% (166/194) der Stationären. Neu vermutetes Vorhofflimmern fand sich bei 1,7% (4/237); technische Probleme bei 16,0% (38/237). Nur 6,3% (15/237) nutzten regelmäßig Telemedizin. Die Machbarkeit ist gegeben, aber systematische Bestätigungstests und höhere Telemedizin-Akzeptanz fehlen.</w:t>
      </w:r>
    </w:p>
    <w:p>
      <w:r>
        <w:rPr>
          <w:b/>
          <w:sz w:val="19"/>
        </w:rPr>
        <w:t xml:space="preserve">Übertragbarkeit: </w:t>
      </w:r>
      <w:r>
        <w:rPr>
          <w:sz w:val="19"/>
        </w:rPr>
        <w:t>Deutsche Multizenterstudie mit lokalem Versorgungskontext</w:t>
      </w:r>
    </w:p>
    <w:p>
      <w:r>
        <w:rPr>
          <w:color w:val="5A7D3A"/>
          <w:sz w:val="18"/>
        </w:rPr>
        <w:t>https://pubmed.ncbi.nlm.nih.gov/42721301/</w:t>
      </w:r>
    </w:p>
    <w:p>
      <w:pPr>
        <w:pStyle w:val="Heading2"/>
      </w:pPr>
      <w:r>
        <w:t>Trends bei Milchpumpen-Verschreibungen in Deutschland 2011-2024</w:t>
      </w:r>
    </w:p>
    <w:p>
      <w:r>
        <w:rPr>
          <w:i/>
          <w:color w:val="666666"/>
          <w:sz w:val="18"/>
        </w:rPr>
        <w:t>Fischer L et al.  ·  Breastfeed Med  ·  10.09.2026  ·  PMID 42720285</w:t>
      </w:r>
    </w:p>
    <w:p>
      <w:r>
        <w:t>Sekundäranalyse von Routinedaten der gesetzlichen Krankenversicherung zu Trends bei Verordnungen von Milchpumpen im ambulanten Sektor.</w:t>
      </w:r>
    </w:p>
    <w:p>
      <w:r>
        <w:rPr>
          <w:b/>
        </w:rPr>
        <w:t xml:space="preserve">Ergebnis: </w:t>
      </w:r>
      <w:r>
        <w:t>Elektrische Milchpumpen-Ansprüche stiegen von 235 auf 605 Ansprüche pro 1.000 Neugeborene (durchschnittliches jährliches Wachstum 8,2%). 2024 betrugen die Krankenkassen-Kosten für Leih-Pumpen €15,3 Millionen. Erhebliche regionale Schwankungen zwischen Bundesländern, aber überall Anstieg.</w:t>
      </w:r>
    </w:p>
    <w:p>
      <w:r>
        <w:rPr>
          <w:b/>
          <w:sz w:val="19"/>
        </w:rPr>
        <w:t xml:space="preserve">Übertragbarkeit: </w:t>
      </w:r>
      <w:r>
        <w:rPr>
          <w:sz w:val="19"/>
        </w:rPr>
        <w:t>Deutsche Routinedaten der gesetzlichen Krankenversicherung, vollständig übertragbar</w:t>
      </w:r>
    </w:p>
    <w:p>
      <w:r>
        <w:rPr>
          <w:color w:val="5A7D3A"/>
          <w:sz w:val="18"/>
        </w:rPr>
        <w:t>https://pubmed.ncbi.nlm.nih.gov/42720285/</w:t>
      </w:r>
    </w:p>
    <w:p>
      <w:pPr>
        <w:pStyle w:val="Heading2"/>
      </w:pPr>
      <w:r>
        <w:t>Medical Invalidation: Systematische Konzeptualisierung eines Versorgungsproblems</w:t>
      </w:r>
    </w:p>
    <w:p>
      <w:r>
        <w:rPr>
          <w:i/>
          <w:color w:val="666666"/>
          <w:sz w:val="18"/>
        </w:rPr>
        <w:t>Lerch SP et al.  ·  BMC Health Serv Res  ·  08.09.2026  ·  PMID 42717341</w:t>
      </w:r>
    </w:p>
    <w:p>
      <w:r>
        <w:t>Scoping Review zur konzeptuellen Klärung von Medical Invalidation, Ursachen, Konsequenzen und Lösungsansätze in der Gesundheitsversorgung.</w:t>
      </w:r>
    </w:p>
    <w:p>
      <w:r>
        <w:rPr>
          <w:b/>
        </w:rPr>
        <w:t xml:space="preserve">Ergebnis: </w:t>
      </w:r>
      <w:r>
        <w:t>158 Studien zeigen inkonsistente Definitionen von Invalidation und Gaslighting. Multifaktorielle Ursachen identifiziert: diagnostische Herausforderungen, strukturelle Faktoren, Stigma, Diagnostikskills-Defizite. Validierung hatte konsistent positive Effekte; Invalidation führte zu Verhaltens-, emotionalen, kognitiven und physischen Schäden. Lösungen: Kommunikationstraining, klinische Schulung, Patientenunterstützung, Forschung, systemische Änderungen.</w:t>
      </w:r>
    </w:p>
    <w:p>
      <w:r>
        <w:rPr>
          <w:b/>
          <w:sz w:val="19"/>
        </w:rPr>
        <w:t xml:space="preserve">Übertragbarkeit: </w:t>
      </w:r>
      <w:r>
        <w:rPr>
          <w:sz w:val="19"/>
        </w:rPr>
        <w:t>Universeller Problembereich, besonders relevant für deutsches Versorgungssystem</w:t>
      </w:r>
    </w:p>
    <w:p>
      <w:r>
        <w:rPr>
          <w:color w:val="5A7D3A"/>
          <w:sz w:val="18"/>
        </w:rPr>
        <w:t>https://pubmed.ncbi.nlm.nih.gov/42717341/</w:t>
      </w:r>
    </w:p>
    <w:p>
      <w:pPr>
        <w:pStyle w:val="Heading2"/>
      </w:pPr>
      <w:r>
        <w:t>Cardiolotse: Transitionales Care-Modell für kardiovaskuläre Patienten</w:t>
      </w:r>
    </w:p>
    <w:p>
      <w:r>
        <w:rPr>
          <w:i/>
          <w:color w:val="666666"/>
          <w:sz w:val="18"/>
        </w:rPr>
        <w:t>Kropp S et al.  ·  BMC Health Serv Res  ·  09.09.2026  ·  PMID 42717334</w:t>
      </w:r>
    </w:p>
    <w:p>
      <w:r>
        <w:t>Prozessevaluation eines Pflegefachpersonen-geführten Transitionscare-Modells in Deutschland zur Verbesserung der Versorgungskoordination nach Krankenhausentlassung.</w:t>
      </w:r>
    </w:p>
    <w:p>
      <w:r>
        <w:rPr>
          <w:b/>
        </w:rPr>
        <w:t xml:space="preserve">Ergebnis: </w:t>
      </w:r>
      <w:r>
        <w:t>Etwa 12.500 Kontakte wurden durchgeführt. Patienten berichteten hohe Zufriedenheit und vertrauten den Cardiolotsen. Jedoch konnten zufriedenheitsscore zwischen Interventions- und Kontrollgruppe hinsichtlich Behandlung nicht unterschieden werden. Nur 10% der niedergelassenen Ärzte erreichten regelmäßigen Kontakt – sektorübergreifende Kommunikation war die Haupthürde.</w:t>
      </w:r>
    </w:p>
    <w:p>
      <w:r>
        <w:rPr>
          <w:b/>
          <w:sz w:val="19"/>
        </w:rPr>
        <w:t xml:space="preserve">Übertragbarkeit: </w:t>
      </w:r>
      <w:r>
        <w:rPr>
          <w:sz w:val="19"/>
        </w:rPr>
        <w:t>Realistische deutsche Versorgungsforschung zu Care Coordination</w:t>
      </w:r>
    </w:p>
    <w:p>
      <w:r>
        <w:rPr>
          <w:color w:val="5A7D3A"/>
          <w:sz w:val="18"/>
        </w:rPr>
        <w:t>https://pubmed.ncbi.nlm.nih.gov/42717334/</w:t>
      </w:r>
    </w:p>
    <w:p>
      <w:pPr>
        <w:pStyle w:val="Heading2"/>
      </w:pPr>
      <w:r>
        <w:t>Patient-Reported Outcomes nach Revaskularisation bei Claudicatio intermittens</w:t>
      </w:r>
    </w:p>
    <w:p>
      <w:r>
        <w:rPr>
          <w:i/>
          <w:color w:val="666666"/>
          <w:sz w:val="18"/>
        </w:rPr>
        <w:t>Peters F et al.  ·  J Vasc Surg  ·  08.09.2026  ·  PMID 42710606</w:t>
      </w:r>
    </w:p>
    <w:p>
      <w:r>
        <w:t>Deutsche prospektive Multizenterstudie zu Patient-Reported Outcomes (PROMs) nach invasiver Revaskularisierung bei Claudicatio intermittens.</w:t>
      </w:r>
    </w:p>
    <w:p>
      <w:r>
        <w:rPr>
          <w:b/>
        </w:rPr>
        <w:t xml:space="preserve">Ergebnis: </w:t>
      </w:r>
      <w:r>
        <w:t>Von 963 Patienten (64% Männer, Median 68 Jahre) verbesserte sich der Physical Component Summary score (SF-12) von median 35 auf 45 (Bereich Q1-Q3: 28-43 auf 39-52). Maximale schmerzfreie Gehstrecke stieg um 20 Minuten, Beinschmerzen im Ruhezustand sank um 10 Punkte. Adipositas, Rentner-Status und Nicht-Erwerbstätigkeit waren mit kleineren Verbesserungen assoziiert.</w:t>
      </w:r>
    </w:p>
    <w:p>
      <w:r>
        <w:rPr>
          <w:b/>
          <w:sz w:val="19"/>
        </w:rPr>
        <w:t xml:space="preserve">Übertragbarkeit: </w:t>
      </w:r>
      <w:r>
        <w:rPr>
          <w:sz w:val="19"/>
        </w:rPr>
        <w:t>Deutsche Multizenterstudie, direkt auf deutsches Gesundheitssystem übertragbar</w:t>
      </w:r>
    </w:p>
    <w:p>
      <w:r>
        <w:rPr>
          <w:color w:val="5A7D3A"/>
          <w:sz w:val="18"/>
        </w:rPr>
        <w:t>https://pubmed.ncbi.nlm.nih.gov/42710606/</w:t>
      </w:r>
    </w:p>
    <w:p>
      <w:pPr>
        <w:pStyle w:val="Heading2"/>
      </w:pPr>
      <w:r>
        <w:t>Gute Praxis Sekundärdatenanalyse Version 4: Leitlinien und Empfehlungen</w:t>
      </w:r>
    </w:p>
    <w:p>
      <w:r>
        <w:rPr>
          <w:i/>
          <w:color w:val="666666"/>
          <w:sz w:val="18"/>
        </w:rPr>
        <w:t>Swart E et al.  ·  Gesundheitswesen  ·  07.09.2026  ·  PMID 42705329</w:t>
      </w:r>
    </w:p>
    <w:p>
      <w:r>
        <w:t>Aktualisierte Richtlinie für methodische Standards bei der Durchführung von Sekundärdatenanalysen in Deutschland mit neuen Empfehlungen.</w:t>
      </w:r>
    </w:p>
    <w:p>
      <w:r>
        <w:rPr>
          <w:b/>
        </w:rPr>
        <w:t xml:space="preserve">Ergebnis: </w:t>
      </w:r>
      <w:r>
        <w:t>Version 4 ergänzt frühere Versionen um Empfehlungen zu Studienpopulation, Auswertestrategie, Registrierung, Zusammenspiel von Datenanalyse und Patient:innenperspektive, Data Dictionaries, Zwischenauswertungen, verteiltem Rechnen, Dokumentation, gepoolten Daten, Rechtrahmen und Wissenschaftskommunikation. Standard für Sekundärdatenanalysen nach wissenschaftlichen Grundsätzen in Deutschland etabliert.</w:t>
      </w:r>
    </w:p>
    <w:p>
      <w:r>
        <w:rPr>
          <w:b/>
          <w:sz w:val="19"/>
        </w:rPr>
        <w:t xml:space="preserve">Übertragbarkeit: </w:t>
      </w:r>
      <w:r>
        <w:rPr>
          <w:sz w:val="19"/>
        </w:rPr>
        <w:t>Deutsche Fachmethodologie, grundlegend für deutsches Versorgungsforschungs-System</w:t>
      </w:r>
    </w:p>
    <w:p>
      <w:r>
        <w:rPr>
          <w:color w:val="5A7D3A"/>
          <w:sz w:val="18"/>
        </w:rPr>
        <w:t>https://pubmed.ncbi.nlm.nih.gov/42705329/</w:t>
      </w:r>
    </w:p>
    <w:p>
      <w:pPr>
        <w:pStyle w:val="Heading1"/>
      </w:pPr>
      <w:r>
        <w:t>Aufgenommen am 10.09.2026</w:t>
      </w:r>
    </w:p>
    <w:p>
      <w:pPr>
        <w:pStyle w:val="Heading2"/>
      </w:pPr>
      <w:r>
        <w:t>Sentiment analysis mit BERT-Modell für Patientenerfahrungen in der Primärversorgung</w:t>
      </w:r>
    </w:p>
    <w:p>
      <w:r>
        <w:rPr>
          <w:i/>
          <w:color w:val="666666"/>
          <w:sz w:val="18"/>
        </w:rPr>
        <w:t>Norman RM et al.  ·  Fam Pract  ·  31.07.2026  ·  PMID 42713859</w:t>
      </w:r>
    </w:p>
    <w:p>
      <w:r>
        <w:t>Fine-tuning eines Sprachmodells (NorBERT3) zur automatisierten Sentimentanalyse von Patientenerfahrungen in norwegischen Hausarztpraxen.</w:t>
      </w:r>
    </w:p>
    <w:p>
      <w:r>
        <w:rPr>
          <w:b/>
        </w:rPr>
        <w:t xml:space="preserve">Ergebnis: </w:t>
      </w:r>
      <w:r>
        <w:t>Das optimierte Modell erzielte hohe F1-Scores auf Testdaten (0,80 AUC für Online-Bewertungen), übertraf traditionelle Methoden und ein großes Sprachmodell. Konstruktvalidität wurde durch erwartete Korrelationen mit Patientenerfahrungsscores und bekannte Subgruppenunterschiede unterstützt.</w:t>
      </w:r>
    </w:p>
    <w:p>
      <w:r>
        <w:rPr>
          <w:b/>
          <w:sz w:val="19"/>
        </w:rPr>
        <w:t xml:space="preserve">Übertragbarkeit: </w:t>
      </w:r>
      <w:r>
        <w:rPr>
          <w:sz w:val="19"/>
        </w:rPr>
        <w:t>Norwegen, ähnliche Primärversorgungsstruktur wie Deutschland</w:t>
      </w:r>
    </w:p>
    <w:p>
      <w:r>
        <w:rPr>
          <w:color w:val="5A7D3A"/>
          <w:sz w:val="18"/>
        </w:rPr>
        <w:t>https://pubmed.ncbi.nlm.nih.gov/42713859/</w:t>
      </w:r>
    </w:p>
    <w:p>
      <w:pPr>
        <w:pStyle w:val="Heading2"/>
      </w:pPr>
      <w:r>
        <w:t>Unterstützungsmodell für sichere Medikamentennutzung bei Migranten mit Sprachbarrieren</w:t>
      </w:r>
    </w:p>
    <w:p>
      <w:r>
        <w:rPr>
          <w:i/>
          <w:color w:val="666666"/>
          <w:sz w:val="18"/>
        </w:rPr>
        <w:t>Hjelm K et al.  ·  BMC Health Serv Res  ·  07.09.2026  ·  PMID 42711692</w:t>
      </w:r>
    </w:p>
    <w:p>
      <w:r>
        <w:t>Co-creation Partizipative Aktionsforschung identifizierte Unterstützungsbedarfe für sichere Medikamentennutzung bei fremdgeborenen Personen mit Sprachschwierigkeiten in Schweden.</w:t>
      </w:r>
    </w:p>
    <w:p>
      <w:r>
        <w:rPr>
          <w:b/>
        </w:rPr>
        <w:t xml:space="preserve">Ergebnis: </w:t>
      </w:r>
      <w:r>
        <w:t>Sieben Handlungsfelder identifiziert: Routinen für sichere Medikamentennutzung, Kontinuität, Sprachenunterstützung, Ressourcen, Patienteneducation, Mitarbeiterschulung und nationale Maßnahmen. Kern: Koordiniertes interdisziplinäres Team in der Primärversorgung mit erreichbarer Kontaktperson.</w:t>
      </w:r>
    </w:p>
    <w:p>
      <w:r>
        <w:rPr>
          <w:b/>
          <w:sz w:val="19"/>
        </w:rPr>
        <w:t xml:space="preserve">Übertragbarkeit: </w:t>
      </w:r>
      <w:r>
        <w:rPr>
          <w:sz w:val="19"/>
        </w:rPr>
        <w:t>Schweden, vergleichbares Sozialversicherungssystem, Migrationskontexte zentral</w:t>
      </w:r>
    </w:p>
    <w:p>
      <w:r>
        <w:rPr>
          <w:color w:val="5A7D3A"/>
          <w:sz w:val="18"/>
        </w:rPr>
        <w:t>https://pubmed.ncbi.nlm.nih.gov/42711692/</w:t>
      </w:r>
    </w:p>
    <w:p>
      <w:pPr>
        <w:pStyle w:val="Heading2"/>
      </w:pPr>
      <w:r>
        <w:t>Dementenangebot und Ergebnisse in japanischen Akutkrankenhäusern nach Finanzierungsanreiz</w:t>
      </w:r>
    </w:p>
    <w:p>
      <w:r>
        <w:rPr>
          <w:i/>
          <w:color w:val="666666"/>
          <w:sz w:val="18"/>
        </w:rPr>
        <w:t>Wu J et al.  ·  Geriatr Gerontol Int  ·  Sept. 2026  ·  PMID 42711657</w:t>
      </w:r>
    </w:p>
    <w:p>
      <w:r>
        <w:t>Nationale Analyse der Patienten, die für Japans Dementatax-Anreiz (DCA) berechtigt sind, und deren klinische Versorgungsergebnisse 2016–2019.</w:t>
      </w:r>
    </w:p>
    <w:p>
      <w:r>
        <w:rPr>
          <w:b/>
        </w:rPr>
        <w:t xml:space="preserve">Ergebnis: </w:t>
      </w:r>
      <w:r>
        <w:t>1.046.652 Hospitalisierungen von Personen über 65 Jahren mit Dementia. DCA-Abrechnungen stiegen von 6,4% (DCA1) und 13,2% (DCA2) 2016 auf 20,8% und 32,8% 2019. Verweildauer sank von 33,7 auf 27,8 Tage, Krankenhaussterblichkeit von 13,9% auf 12,9%, unangemessene Medikation von 16,2% auf 14,0%.</w:t>
      </w:r>
    </w:p>
    <w:p>
      <w:r>
        <w:rPr>
          <w:b/>
          <w:sz w:val="19"/>
        </w:rPr>
        <w:t xml:space="preserve">Übertragbarkeit: </w:t>
      </w:r>
      <w:r>
        <w:rPr>
          <w:sz w:val="19"/>
        </w:rPr>
        <w:t>Japan, begrenzt übertragbar; Fragestellung zu Finanzierungseffekten in Gesundheitssystemen mit anderen Anreizstrukturen</w:t>
      </w:r>
    </w:p>
    <w:p>
      <w:r>
        <w:rPr>
          <w:color w:val="5A7D3A"/>
          <w:sz w:val="18"/>
        </w:rPr>
        <w:t>https://pubmed.ncbi.nlm.nih.gov/42711657/</w:t>
      </w:r>
    </w:p>
    <w:p>
      <w:pPr>
        <w:pStyle w:val="Heading2"/>
      </w:pPr>
      <w:r>
        <w:t>Auswirkungen von Fortbildung auf Personalfluktuation in US-Veteranenkliniken</w:t>
      </w:r>
    </w:p>
    <w:p>
      <w:r>
        <w:rPr>
          <w:i/>
          <w:color w:val="666666"/>
          <w:sz w:val="18"/>
        </w:rPr>
        <w:t>Sterling R et al.  ·  J Rural Health  ·  Juni 2026  ·  PMID 42708822</w:t>
      </w:r>
    </w:p>
    <w:p>
      <w:r>
        <w:t>Quasi-experimentelle Studie der Rural Interprofessional Faculty Development Initiative (RIFDI) auf Mitarbeiterkontinuität in VHA-Kliniken landesweit 2019–2024.</w:t>
      </w:r>
    </w:p>
    <w:p>
      <w:r>
        <w:rPr>
          <w:b/>
        </w:rPr>
        <w:t xml:space="preserve">Ergebnis: </w:t>
      </w:r>
      <w:r>
        <w:t>Fluktuationsrate &lt;1 Jahr nach RIFDI-Abschluss: 12,8% (geringe Engagements), &lt;1,0% (hohe Engagements), 11,3% (keine RIFDI). Hochengagierte Teilnehmer hatten 11-fach niedrigere Fluktuationsquoten (p&lt;0,001).</w:t>
      </w:r>
    </w:p>
    <w:p>
      <w:r>
        <w:rPr>
          <w:b/>
          <w:sz w:val="19"/>
        </w:rPr>
        <w:t xml:space="preserve">Übertragbarkeit: </w:t>
      </w:r>
      <w:r>
        <w:rPr>
          <w:sz w:val="19"/>
        </w:rPr>
        <w:t>USA-Veteranensystem; Fragestellung zu Personalentwicklung systemunabhängig</w:t>
      </w:r>
    </w:p>
    <w:p>
      <w:r>
        <w:rPr>
          <w:color w:val="5A7D3A"/>
          <w:sz w:val="18"/>
        </w:rPr>
        <w:t>https://pubmed.ncbi.nlm.nih.gov/42708822/</w:t>
      </w:r>
    </w:p>
    <w:p>
      <w:pPr>
        <w:pStyle w:val="Heading2"/>
      </w:pPr>
      <w:r>
        <w:t>Exposition gegenüber Passivrauchen und durch GBD 2023 verursachte Krankheitslast</w:t>
      </w:r>
    </w:p>
    <w:p>
      <w:r>
        <w:rPr>
          <w:i/>
          <w:color w:val="666666"/>
          <w:sz w:val="18"/>
        </w:rPr>
        <w:t>GBD 2023 Second-hand smoke Collaborators  ·  Lancet Public Health  ·  07.09.2026  ·  PMID 42705247</w:t>
      </w:r>
    </w:p>
    <w:p>
      <w:r>
        <w:t>Globale, regionale und nationale Prävalenz der Passivrauchwirkung und der zurechenbaren Krankheitslast in 204 Ländern 1990–2023, GBD 2023 Studie.</w:t>
      </w:r>
    </w:p>
    <w:p>
      <w:r>
        <w:rPr>
          <w:b/>
        </w:rPr>
        <w:t xml:space="preserve">Ergebnis: </w:t>
      </w:r>
      <w:r>
        <w:t>2,71 Mrd. Menschen 2023 exponiert (767 Mio. Kinder 0–14 Jahre); 22,2% Rückgang der altersstandartisierten Prävalenz seit 1990. Absolute Fallzahlen stabil global, aber +98,5% in Sub-Sahara-Afrika, +72,1% Nordafrika/Naher Osten. 1,66 Mio. Todesfälle, 44,8 Mio. DALYs; ischämische Herzerkrankung und pädiatrische Infektionen der Atemwege führend.</w:t>
      </w:r>
    </w:p>
    <w:p>
      <w:r>
        <w:rPr>
          <w:b/>
          <w:sz w:val="19"/>
        </w:rPr>
        <w:t xml:space="preserve">Übertragbarkeit: </w:t>
      </w:r>
      <w:r>
        <w:rPr>
          <w:sz w:val="19"/>
        </w:rPr>
        <w:t>Globale Daten; Public-Health-Fragestellung systemunabhängig relevant</w:t>
      </w:r>
    </w:p>
    <w:p>
      <w:r>
        <w:rPr>
          <w:color w:val="5A7D3A"/>
          <w:sz w:val="18"/>
        </w:rPr>
        <w:t>https://pubmed.ncbi.nlm.nih.gov/42705247/</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2026-10-09T06:00:00Z</dcterms:created>
  <dcterms:modified xsi:type="dcterms:W3CDTF">2026-10-09T06:00:00Z</dcterms:modified>
  <cp:category/>
</cp:coreProperties>
</file>