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21.10.2026  |  6 Studien  |  wissen.m-vf.de</w:t>
      </w:r>
    </w:p>
    <w:p>
      <w:pPr>
        <w:pStyle w:val="Heading1"/>
      </w:pPr>
      <w:r>
        <w:t>Aufgenommen am 21.10.2026</w:t>
      </w:r>
    </w:p>
    <w:p>
      <w:pPr>
        <w:pStyle w:val="Heading2"/>
      </w:pPr>
      <w:r>
        <w:t>Pestizidexposition und Gesundheitsfolgen: Kohortenstudie mit niederländischen Primärversorgungsdaten</w:t>
      </w:r>
    </w:p>
    <w:p>
      <w:r>
        <w:rPr>
          <w:i/>
          <w:color w:val="666666"/>
          <w:sz w:val="18"/>
        </w:rPr>
        <w:t>Steenhof T et al.  ·  BMJ Open  ·  20.10.2026  ·  PMID 42901572</w:t>
      </w:r>
    </w:p>
    <w:p>
      <w:r>
        <w:t>Niederländische Kohortenstudie untersucht Zusammenhang zwischen Wohnungsexposition gegenüber Pflanzenschutzmitteln und akuten sowie chronischen Gesundheitsergebnissen.</w:t>
      </w:r>
    </w:p>
    <w:p>
      <w:r>
        <w:rPr>
          <w:b/>
        </w:rPr>
        <w:t xml:space="preserve">Ergebnis: </w:t>
      </w:r>
      <w:r>
        <w:t>Studienprotokoll beschreibt geplante Nutzung von 3,7 Millionen Primärversorgungsdatensätzen aus NIVEL-Datenbank; keine Ergebnisse, aber systematische Methodik für Versorgungsforschung etabliert.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Primärversorgungsdaten, hohes Übertragungspotenzial auf deutsches System</w:t>
      </w:r>
    </w:p>
    <w:p>
      <w:r>
        <w:rPr>
          <w:color w:val="5A7D3A"/>
          <w:sz w:val="18"/>
        </w:rPr>
        <w:t>https://pubmed.ncbi.nlm.nih.gov/42901572/</w:t>
      </w:r>
    </w:p>
    <w:p>
      <w:pPr>
        <w:pStyle w:val="Heading2"/>
      </w:pPr>
      <w:r>
        <w:t>Patientenbeteiligung an klinischer Dokumentation durch Kommentarfunktion in EHR</w:t>
      </w:r>
    </w:p>
    <w:p>
      <w:r>
        <w:rPr>
          <w:i/>
          <w:color w:val="666666"/>
          <w:sz w:val="18"/>
        </w:rPr>
        <w:t>Hagström J et al.  ·  J Med Internet Res  ·  20.10.2026  ·  PMID 42901489</w:t>
      </w:r>
    </w:p>
    <w:p>
      <w:r>
        <w:t>Schwedische Studie analysierte 1.655 Patientenkommentare in elektronischen Gesundheitsakten auf Nutzung, Inhalt und Sentiment.</w:t>
      </w:r>
    </w:p>
    <w:p>
      <w:r>
        <w:rPr>
          <w:b/>
        </w:rPr>
        <w:t xml:space="preserve">Ergebnis: </w:t>
      </w:r>
      <w:r>
        <w:t>57,3% der Kommentare bezogen sich nicht auf Noten selbst; 55,6% waren neutral, 42,4% negativ. Patienten mit psychischen Erkrankungen hinterließen mehr Kommentare (Median 7 vs. 2) mit höherem Negativanteil (63,2% vs. 33,5%,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Sozialversicherungssystem; Fragestellung zu Patientenengagement systemunabhängig</w:t>
      </w:r>
    </w:p>
    <w:p>
      <w:r>
        <w:rPr>
          <w:color w:val="5A7D3A"/>
          <w:sz w:val="18"/>
        </w:rPr>
        <w:t>https://pubmed.ncbi.nlm.nih.gov/42901489/</w:t>
      </w:r>
    </w:p>
    <w:p>
      <w:pPr>
        <w:pStyle w:val="Heading2"/>
      </w:pPr>
      <w:r>
        <w:t>Kosten und Outcomes von Status epilepticus in Deutschland</w:t>
      </w:r>
    </w:p>
    <w:p>
      <w:r>
        <w:rPr>
          <w:i/>
          <w:color w:val="666666"/>
          <w:sz w:val="18"/>
        </w:rPr>
        <w:t>Jünemann C et al.  ·  Eur J Neurol  ·  Okt. 2026  ·  PMID 42899468</w:t>
      </w:r>
    </w:p>
    <w:p>
      <w:r>
        <w:t>Deutsche prospektive Populationsstudie analysierte 181 Patienten mit neu definiertem Status epilepticus bezüglich Verweildauer, Kosten und Einflussfaktoren.</w:t>
      </w:r>
    </w:p>
    <w:p>
      <w:r>
        <w:rPr>
          <w:b/>
        </w:rPr>
        <w:t xml:space="preserve">Ergebnis: </w:t>
      </w:r>
      <w:r>
        <w:t>Mittlere stationäre Kosten €10.543 (Median €6.376), Verweildauer 11 Tage (Median 9). Super-refraktärer Status: signifikant höhere Kosten und längere Verweildauer (p&lt;0,001). Mechanische Beatmung stärkster unabhängiger Kostenprädiktor (Exp(B)=2,918,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Routinedaten, G-DRG-Kalkulation, direkt übertragbar auf hiesiges System</w:t>
      </w:r>
    </w:p>
    <w:p>
      <w:r>
        <w:rPr>
          <w:color w:val="5A7D3A"/>
          <w:sz w:val="18"/>
        </w:rPr>
        <w:t>https://pubmed.ncbi.nlm.nih.gov/42899468/</w:t>
      </w:r>
    </w:p>
    <w:p>
      <w:pPr>
        <w:pStyle w:val="Heading2"/>
      </w:pPr>
      <w:r>
        <w:t>Effekt von Langzeitpflegezugang auf Kurzeitpflege: Simulationsstudie</w:t>
      </w:r>
    </w:p>
    <w:p>
      <w:r>
        <w:rPr>
          <w:i/>
          <w:color w:val="666666"/>
          <w:sz w:val="18"/>
        </w:rPr>
        <w:t>Aydemir I et al.  ·  BMC Health Serv Res  ·  22.07.2026  ·  PMID 42897634</w:t>
      </w:r>
    </w:p>
    <w:p>
      <w:r>
        <w:t>Niederländische Diskrete-Ereignis-Simulationsstudie modelliert Effekte zentralisierter vs. dezentralisierter Aufnahmepolitik für Pflegebetten auf Wartezeiten und Inanspruchnahme.</w:t>
      </w:r>
    </w:p>
    <w:p>
      <w:r>
        <w:rPr>
          <w:b/>
        </w:rPr>
        <w:t xml:space="preserve">Ergebnis: </w:t>
      </w:r>
      <w:r>
        <w:t>Zentralisierte Aufnahmepolitik reduziert Wartezeiten von 336 auf 35 Tage und Kurzeitpflege-Aufnahmen von 45% auf 4,5%. Bei 90% regionaler Bettenauslastung maximal wirksam; Multiplier-Effekt bei erhöhtem Nicht-Langzeitpflege-Zustrom.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Pflegesystem strukturell vergleichbar; Fragestellung zu Ressourcenallokation relevant</w:t>
      </w:r>
    </w:p>
    <w:p>
      <w:r>
        <w:rPr>
          <w:color w:val="5A7D3A"/>
          <w:sz w:val="18"/>
        </w:rPr>
        <w:t>https://pubmed.ncbi.nlm.nih.gov/42897634/</w:t>
      </w:r>
    </w:p>
    <w:p>
      <w:pPr>
        <w:pStyle w:val="Heading2"/>
      </w:pPr>
      <w:r>
        <w:t>Index für Integration von Palliativversorgung in Primärversorgung</w:t>
      </w:r>
    </w:p>
    <w:p>
      <w:r>
        <w:rPr>
          <w:i/>
          <w:color w:val="666666"/>
          <w:sz w:val="18"/>
        </w:rPr>
        <w:t>Muñoz Olivar C et al.  ·  BMC Health Serv Res  ·  23.07.2026  ·  PMID 42897626</w:t>
      </w:r>
    </w:p>
    <w:p>
      <w:r>
        <w:t>Kolumbianische Studie entwickelt und validiert Synthetic Index of Palliative Care Integration (SIPCI) zur Messung territorialer Integrationsmuster in 33 Departments.</w:t>
      </w:r>
    </w:p>
    <w:p>
      <w:r>
        <w:rPr>
          <w:b/>
        </w:rPr>
        <w:t xml:space="preserve">Ergebnis: </w:t>
      </w:r>
      <w:r>
        <w:t>SIPCI-Werte 0,04–0,71 (Mittelwert 0,38). 52% der Departments niedriges/mittleres, 48% mittleres-hohes/hohes Integrationsniveau. Starker geografischer Gradient; KMO=0,742, geringe Informationsverluste (NMSE=0,13).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Kolumbien, aber SIPCI-Methodik auf europäische Systeme übertragbar; Fragestellung systemunabhängig</w:t>
      </w:r>
    </w:p>
    <w:p>
      <w:r>
        <w:rPr>
          <w:color w:val="5A7D3A"/>
          <w:sz w:val="18"/>
        </w:rPr>
        <w:t>https://pubmed.ncbi.nlm.nih.gov/42897626/</w:t>
      </w:r>
    </w:p>
    <w:p>
      <w:pPr>
        <w:pStyle w:val="Heading2"/>
      </w:pPr>
      <w:r>
        <w:t>Bedürfnisse von Patienten mit fortgeschrittener COPD und Angehörigen</w:t>
      </w:r>
    </w:p>
    <w:p>
      <w:r>
        <w:rPr>
          <w:i/>
          <w:color w:val="666666"/>
          <w:sz w:val="18"/>
        </w:rPr>
        <w:t>Schmidt-Stiedenroth K et al.  ·  BMC Pulm Med  ·  19.10.2026  ·  PMID 42897575</w:t>
      </w:r>
    </w:p>
    <w:p>
      <w:r>
        <w:t>Deutsche qualitative Multisicht-Studie mit 53 Interviews (Patienten, informelle und formale Pflegepersonen) zu Versorgungsbedürfnissen und Rolle von Palliativversorgung.</w:t>
      </w:r>
    </w:p>
    <w:p>
      <w:r>
        <w:rPr>
          <w:b/>
        </w:rPr>
        <w:t xml:space="preserve">Ergebnis: </w:t>
      </w:r>
      <w:r>
        <w:t>Sechs Bedarfsbereiche identifiziert: Dyspnoe-/Angstmanagement, Heimversorgung, Notfallplanung, psychosoziale Versorgung, organisatorische Unterstützung, Gesundheitsinformation. Patienten mit Palliativversorgung berichteten Linderung in den ersten fünf Bereichen.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deutsche Primärdaten; direkt für hiesiges System relevant</w:t>
      </w:r>
    </w:p>
    <w:p>
      <w:r>
        <w:rPr>
          <w:color w:val="5A7D3A"/>
          <w:sz w:val="18"/>
        </w:rPr>
        <w:t>https://pubmed.ncbi.nlm.nih.gov/42897575/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2026-10-21T06:00:00Z</dcterms:created>
  <dcterms:modified xsi:type="dcterms:W3CDTF">2026-10-21T06:00:00Z</dcterms:modified>
  <cp:category/>
</cp:coreProperties>
</file>