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drawing>
          <wp:inline xmlns:a="http://schemas.openxmlformats.org/drawingml/2006/main" xmlns:pic="http://schemas.openxmlformats.org/drawingml/2006/picture">
            <wp:extent cx="1737360" cy="459641"/>
            <wp:docPr id="1" name="Picture 1"/>
            <wp:cNvGraphicFramePr>
              <a:graphicFrameLocks noChangeAspect="1"/>
            </wp:cNvGraphicFramePr>
            <a:graphic>
              <a:graphicData uri="http://schemas.openxmlformats.org/drawingml/2006/picture">
                <pic:pic>
                  <pic:nvPicPr>
                    <pic:cNvPr id="0" name="mvf-logo.png"/>
                    <pic:cNvPicPr/>
                  </pic:nvPicPr>
                  <pic:blipFill>
                    <a:blip r:embed="rId9"/>
                    <a:stretch>
                      <a:fillRect/>
                    </a:stretch>
                  </pic:blipFill>
                  <pic:spPr>
                    <a:xfrm>
                      <a:off x="0" y="0"/>
                      <a:ext cx="1737360" cy="459641"/>
                    </a:xfrm>
                    <a:prstGeom prst="rect"/>
                  </pic:spPr>
                </pic:pic>
              </a:graphicData>
            </a:graphic>
          </wp:inline>
        </w:drawing>
      </w:r>
    </w:p>
    <w:p>
      <w:r>
        <w:rPr>
          <w:color w:val="0051A1"/>
          <w:sz w:val="19"/>
        </w:rPr>
        <w:t>Ein Service des Knowledge-Hubs von Monitor Versorgungsforschung. Täglich automatisiert KI-kuratiert aus PubMed und auf Deutsch übersetzt.</w:t>
      </w:r>
    </w:p>
    <w:p>
      <w:pPr>
        <w:pStyle w:val="Title"/>
      </w:pPr>
      <w:r>
        <w:t>Studienarchiv - Versorgungsforschung</w:t>
      </w:r>
    </w:p>
    <w:p>
      <w:r>
        <w:rPr>
          <w:i/>
          <w:color w:val="666666"/>
          <w:sz w:val="18"/>
        </w:rPr>
        <w:t>Stand: 21.10.2026  |  406 Studien  |  wissen.m-vf.de</w:t>
      </w:r>
    </w:p>
    <w:p>
      <w:pPr>
        <w:pStyle w:val="Heading1"/>
      </w:pPr>
      <w:r>
        <w:t>Aufgenommen am 21.10.2026</w:t>
      </w:r>
    </w:p>
    <w:p>
      <w:pPr>
        <w:pStyle w:val="Heading2"/>
      </w:pPr>
      <w:r>
        <w:t>Pestizidexposition und Gesundheitsfolgen: Kohortenstudie mit niederländischen Primärversorgungsdaten</w:t>
      </w:r>
    </w:p>
    <w:p>
      <w:r>
        <w:rPr>
          <w:i/>
          <w:color w:val="666666"/>
          <w:sz w:val="18"/>
        </w:rPr>
        <w:t>Steenhof T et al.  ·  BMJ Open  ·  20.10.2026  ·  PMID 42901572</w:t>
      </w:r>
    </w:p>
    <w:p>
      <w:r>
        <w:t>Niederländische Kohortenstudie untersucht Zusammenhang zwischen Wohnungsexposition gegenüber Pflanzenschutzmitteln und akuten sowie chronischen Gesundheitsergebnissen.</w:t>
      </w:r>
    </w:p>
    <w:p>
      <w:r>
        <w:rPr>
          <w:b/>
        </w:rPr>
        <w:t xml:space="preserve">Ergebnis: </w:t>
      </w:r>
      <w:r>
        <w:t>Studienprotokoll beschreibt geplante Nutzung von 3,7 Millionen Primärversorgungsdatensätzen aus NIVEL-Datenbank; keine Ergebnisse, aber systematische Methodik für Versorgungsforschung etabliert.</w:t>
      </w:r>
    </w:p>
    <w:p>
      <w:r>
        <w:rPr>
          <w:b/>
          <w:sz w:val="19"/>
        </w:rPr>
        <w:t xml:space="preserve">Übertragbarkeit: </w:t>
      </w:r>
      <w:r>
        <w:rPr>
          <w:sz w:val="19"/>
        </w:rPr>
        <w:t>Niederlande, Primärversorgungsdaten, hohes Übertragungspotenzial auf deutsches System</w:t>
      </w:r>
    </w:p>
    <w:p>
      <w:r>
        <w:rPr>
          <w:color w:val="5A7D3A"/>
          <w:sz w:val="18"/>
        </w:rPr>
        <w:t>https://pubmed.ncbi.nlm.nih.gov/42901572/</w:t>
      </w:r>
    </w:p>
    <w:p>
      <w:pPr>
        <w:pStyle w:val="Heading2"/>
      </w:pPr>
      <w:r>
        <w:t>Patientenbeteiligung an klinischer Dokumentation durch Kommentarfunktion in EHR</w:t>
      </w:r>
    </w:p>
    <w:p>
      <w:r>
        <w:rPr>
          <w:i/>
          <w:color w:val="666666"/>
          <w:sz w:val="18"/>
        </w:rPr>
        <w:t>Hagström J et al.  ·  J Med Internet Res  ·  20.10.2026  ·  PMID 42901489</w:t>
      </w:r>
    </w:p>
    <w:p>
      <w:r>
        <w:t>Schwedische Studie analysierte 1.655 Patientenkommentare in elektronischen Gesundheitsakten auf Nutzung, Inhalt und Sentiment.</w:t>
      </w:r>
    </w:p>
    <w:p>
      <w:r>
        <w:rPr>
          <w:b/>
        </w:rPr>
        <w:t xml:space="preserve">Ergebnis: </w:t>
      </w:r>
      <w:r>
        <w:t>57,3% der Kommentare bezogen sich nicht auf Noten selbst; 55,6% waren neutral, 42,4% negativ. Patienten mit psychischen Erkrankungen hinterließen mehr Kommentare (Median 7 vs. 2) mit höherem Negativanteil (63,2% vs. 33,5%, p&lt;0,001).</w:t>
      </w:r>
    </w:p>
    <w:p>
      <w:r>
        <w:rPr>
          <w:b/>
          <w:sz w:val="19"/>
        </w:rPr>
        <w:t xml:space="preserve">Übertragbarkeit: </w:t>
      </w:r>
      <w:r>
        <w:rPr>
          <w:sz w:val="19"/>
        </w:rPr>
        <w:t>Schweden, Sozialversicherungssystem; Fragestellung zu Patientenengagement systemunabhängig</w:t>
      </w:r>
    </w:p>
    <w:p>
      <w:r>
        <w:rPr>
          <w:color w:val="5A7D3A"/>
          <w:sz w:val="18"/>
        </w:rPr>
        <w:t>https://pubmed.ncbi.nlm.nih.gov/42901489/</w:t>
      </w:r>
    </w:p>
    <w:p>
      <w:pPr>
        <w:pStyle w:val="Heading2"/>
      </w:pPr>
      <w:r>
        <w:t>Kosten und Outcomes von Status epilepticus in Deutschland</w:t>
      </w:r>
    </w:p>
    <w:p>
      <w:r>
        <w:rPr>
          <w:i/>
          <w:color w:val="666666"/>
          <w:sz w:val="18"/>
        </w:rPr>
        <w:t>Jünemann C et al.  ·  Eur J Neurol  ·  Okt. 2026  ·  PMID 42899468</w:t>
      </w:r>
    </w:p>
    <w:p>
      <w:r>
        <w:t>Deutsche prospektive Populationsstudie analysierte 181 Patienten mit neu definiertem Status epilepticus bezüglich Verweildauer, Kosten und Einflussfaktoren.</w:t>
      </w:r>
    </w:p>
    <w:p>
      <w:r>
        <w:rPr>
          <w:b/>
        </w:rPr>
        <w:t xml:space="preserve">Ergebnis: </w:t>
      </w:r>
      <w:r>
        <w:t>Mittlere stationäre Kosten €10.543 (Median €6.376), Verweildauer 11 Tage (Median 9). Super-refraktärer Status: signifikant höhere Kosten und längere Verweildauer (p&lt;0,001). Mechanische Beatmung stärkster unabhängiger Kostenprädiktor (Exp(B)=2,918, p&lt;0,001).</w:t>
      </w:r>
    </w:p>
    <w:p>
      <w:r>
        <w:rPr>
          <w:b/>
          <w:sz w:val="19"/>
        </w:rPr>
        <w:t xml:space="preserve">Übertragbarkeit: </w:t>
      </w:r>
      <w:r>
        <w:rPr>
          <w:sz w:val="19"/>
        </w:rPr>
        <w:t>Deutsche Routinedaten, G-DRG-Kalkulation, direkt übertragbar auf hiesiges System</w:t>
      </w:r>
    </w:p>
    <w:p>
      <w:r>
        <w:rPr>
          <w:color w:val="5A7D3A"/>
          <w:sz w:val="18"/>
        </w:rPr>
        <w:t>https://pubmed.ncbi.nlm.nih.gov/42899468/</w:t>
      </w:r>
    </w:p>
    <w:p>
      <w:pPr>
        <w:pStyle w:val="Heading2"/>
      </w:pPr>
      <w:r>
        <w:t>Effekt von Langzeitpflegezugang auf Kurzeitpflege: Simulationsstudie</w:t>
      </w:r>
    </w:p>
    <w:p>
      <w:r>
        <w:rPr>
          <w:i/>
          <w:color w:val="666666"/>
          <w:sz w:val="18"/>
        </w:rPr>
        <w:t>Aydemir I et al.  ·  BMC Health Serv Res  ·  22.07.2026  ·  PMID 42897634</w:t>
      </w:r>
    </w:p>
    <w:p>
      <w:r>
        <w:t>Niederländische Diskrete-Ereignis-Simulationsstudie modelliert Effekte zentralisierter vs. dezentralisierter Aufnahmepolitik für Pflegebetten auf Wartezeiten und Inanspruchnahme.</w:t>
      </w:r>
    </w:p>
    <w:p>
      <w:r>
        <w:rPr>
          <w:b/>
        </w:rPr>
        <w:t xml:space="preserve">Ergebnis: </w:t>
      </w:r>
      <w:r>
        <w:t>Zentralisierte Aufnahmepolitik reduziert Wartezeiten von 336 auf 35 Tage und Kurzeitpflege-Aufnahmen von 45% auf 4,5%. Bei 90% regionaler Bettenauslastung maximal wirksam; Multiplier-Effekt bei erhöhtem Nicht-Langzeitpflege-Zustrom.</w:t>
      </w:r>
    </w:p>
    <w:p>
      <w:r>
        <w:rPr>
          <w:b/>
          <w:sz w:val="19"/>
        </w:rPr>
        <w:t xml:space="preserve">Übertragbarkeit: </w:t>
      </w:r>
      <w:r>
        <w:rPr>
          <w:sz w:val="19"/>
        </w:rPr>
        <w:t>Niederlande, Pflegesystem strukturell vergleichbar; Fragestellung zu Ressourcenallokation relevant</w:t>
      </w:r>
    </w:p>
    <w:p>
      <w:r>
        <w:rPr>
          <w:color w:val="5A7D3A"/>
          <w:sz w:val="18"/>
        </w:rPr>
        <w:t>https://pubmed.ncbi.nlm.nih.gov/42897634/</w:t>
      </w:r>
    </w:p>
    <w:p>
      <w:pPr>
        <w:pStyle w:val="Heading2"/>
      </w:pPr>
      <w:r>
        <w:t>Index für Integration von Palliativversorgung in Primärversorgung</w:t>
      </w:r>
    </w:p>
    <w:p>
      <w:r>
        <w:rPr>
          <w:i/>
          <w:color w:val="666666"/>
          <w:sz w:val="18"/>
        </w:rPr>
        <w:t>Muñoz Olivar C et al.  ·  BMC Health Serv Res  ·  23.07.2026  ·  PMID 42897626</w:t>
      </w:r>
    </w:p>
    <w:p>
      <w:r>
        <w:t>Kolumbianische Studie entwickelt und validiert Synthetic Index of Palliative Care Integration (SIPCI) zur Messung territorialer Integrationsmuster in 33 Departments.</w:t>
      </w:r>
    </w:p>
    <w:p>
      <w:r>
        <w:rPr>
          <w:b/>
        </w:rPr>
        <w:t xml:space="preserve">Ergebnis: </w:t>
      </w:r>
      <w:r>
        <w:t>SIPCI-Werte 0,04–0,71 (Mittelwert 0,38). 52% der Departments niedriges/mittleres, 48% mittleres-hohes/hohes Integrationsniveau. Starker geografischer Gradient; KMO=0,742, geringe Informationsverluste (NMSE=0,13).</w:t>
      </w:r>
    </w:p>
    <w:p>
      <w:r>
        <w:rPr>
          <w:b/>
          <w:sz w:val="19"/>
        </w:rPr>
        <w:t xml:space="preserve">Übertragbarkeit: </w:t>
      </w:r>
      <w:r>
        <w:rPr>
          <w:sz w:val="19"/>
        </w:rPr>
        <w:t>Kolumbien, aber SIPCI-Methodik auf europäische Systeme übertragbar; Fragestellung systemunabhängig</w:t>
      </w:r>
    </w:p>
    <w:p>
      <w:r>
        <w:rPr>
          <w:color w:val="5A7D3A"/>
          <w:sz w:val="18"/>
        </w:rPr>
        <w:t>https://pubmed.ncbi.nlm.nih.gov/42897626/</w:t>
      </w:r>
    </w:p>
    <w:p>
      <w:pPr>
        <w:pStyle w:val="Heading2"/>
      </w:pPr>
      <w:r>
        <w:t>Bedürfnisse von Patienten mit fortgeschrittener COPD und Angehörigen</w:t>
      </w:r>
    </w:p>
    <w:p>
      <w:r>
        <w:rPr>
          <w:i/>
          <w:color w:val="666666"/>
          <w:sz w:val="18"/>
        </w:rPr>
        <w:t>Schmidt-Stiedenroth K et al.  ·  BMC Pulm Med  ·  19.10.2026  ·  PMID 42897575</w:t>
      </w:r>
    </w:p>
    <w:p>
      <w:r>
        <w:t>Deutsche qualitative Multisicht-Studie mit 53 Interviews (Patienten, informelle und formale Pflegepersonen) zu Versorgungsbedürfnissen und Rolle von Palliativversorgung.</w:t>
      </w:r>
    </w:p>
    <w:p>
      <w:r>
        <w:rPr>
          <w:b/>
        </w:rPr>
        <w:t xml:space="preserve">Ergebnis: </w:t>
      </w:r>
      <w:r>
        <w:t>Sechs Bedarfsbereiche identifiziert: Dyspnoe-/Angstmanagement, Heimversorgung, Notfallplanung, psychosoziale Versorgung, organisatorische Unterstützung, Gesundheitsinformation. Patienten mit Palliativversorgung berichteten Linderung in den ersten fünf Bereichen.</w:t>
      </w:r>
    </w:p>
    <w:p>
      <w:r>
        <w:rPr>
          <w:b/>
          <w:sz w:val="19"/>
        </w:rPr>
        <w:t xml:space="preserve">Übertragbarkeit: </w:t>
      </w:r>
      <w:r>
        <w:rPr>
          <w:sz w:val="19"/>
        </w:rPr>
        <w:t>Deutschland, deutsche Primärdaten; direkt für hiesiges System relevant</w:t>
      </w:r>
    </w:p>
    <w:p>
      <w:r>
        <w:rPr>
          <w:color w:val="5A7D3A"/>
          <w:sz w:val="18"/>
        </w:rPr>
        <w:t>https://pubmed.ncbi.nlm.nih.gov/42897575/</w:t>
      </w:r>
    </w:p>
    <w:p>
      <w:pPr>
        <w:pStyle w:val="Heading1"/>
      </w:pPr>
      <w:r>
        <w:t>Aufgenommen am 20.10.2026</w:t>
      </w:r>
    </w:p>
    <w:p>
      <w:pPr>
        <w:pStyle w:val="Heading2"/>
      </w:pPr>
      <w:r>
        <w:t>Aussagekraft von Diabetes-Indikatoren: Verschreibungs- vs. Screeningdaten in Japan</w:t>
      </w:r>
    </w:p>
    <w:p>
      <w:r>
        <w:rPr>
          <w:i/>
          <w:color w:val="666666"/>
          <w:sz w:val="18"/>
        </w:rPr>
        <w:t>Saito H et al.  ·  Diabet Med  ·  19.10.2026  ·  PMID 42895806</w:t>
      </w:r>
    </w:p>
    <w:p>
      <w:r>
        <w:t>Querschnittsökologische Analyse japanischer Verwaltungsdaten zur Untersuchung, was zwei komplementäre Indikatorfamilien – Antidiabetika-Verordnungsmengen und HbA1c-Kontrollenindikatoren – über Diabeteslast tatsächlich abbilden.</w:t>
      </w:r>
    </w:p>
    <w:p>
      <w:r>
        <w:rPr>
          <w:b/>
        </w:rPr>
        <w:t xml:space="preserve">Ergebnis: </w:t>
      </w:r>
      <w:r>
        <w:t>Verordnungsmengen (Indikator A) korrelierte hauptsächlich mit Alter und Einkommen (finales Modell R² = 0,394); HbA1c-Hochwertraten (Indikator B) zeigten selektive ökologische Assoziation mit chronischer Dialysetherapie (β = 195,1 pro Prozentpunkt, p = 0,006, R² = 0,271). Beide Indikatorfamilien spiegeln nicht die tatsächliche Krankheitslast, sondern demografische Strukturen bzw. nachgelagerte Versorgungsnutzung wider.</w:t>
      </w:r>
    </w:p>
    <w:p>
      <w:r>
        <w:rPr>
          <w:b/>
          <w:sz w:val="19"/>
        </w:rPr>
        <w:t xml:space="preserve">Übertragbarkeit: </w:t>
      </w:r>
      <w:r>
        <w:rPr>
          <w:sz w:val="19"/>
        </w:rPr>
        <w:t>Japan, vergleichbar mit verweildauerintensiven Gesundheitssystemen; versorgungsrelevante Analyse von Verwaltungsindikatoren</w:t>
      </w:r>
    </w:p>
    <w:p>
      <w:r>
        <w:rPr>
          <w:color w:val="5A7D3A"/>
          <w:sz w:val="18"/>
        </w:rPr>
        <w:t>https://pubmed.ncbi.nlm.nih.gov/42895806/</w:t>
      </w:r>
    </w:p>
    <w:p>
      <w:pPr>
        <w:pStyle w:val="Heading2"/>
      </w:pPr>
      <w:r>
        <w:t>Gynäkologische Facharztausbildung: Urbanisierung und Folgen für ländliche Regionen</w:t>
      </w:r>
    </w:p>
    <w:p>
      <w:r>
        <w:rPr>
          <w:i/>
          <w:color w:val="666666"/>
          <w:sz w:val="18"/>
        </w:rPr>
        <w:t>Spencer R et al.  ·  J Rural Health  ·  Sept. 2026  ·  PMID 42895080</w:t>
      </w:r>
    </w:p>
    <w:p>
      <w:r>
        <w:t>Analyse der geografischen Verteilung von Gynäkologie-Weiterbildungsprogrammen in den USA und Vergleich von Merkmalen ländlicher Landkreise mit und ohne Weiterbildungsstandorte.</w:t>
      </w:r>
    </w:p>
    <w:p>
      <w:r>
        <w:rPr>
          <w:b/>
        </w:rPr>
        <w:t xml:space="preserve">Ergebnis: </w:t>
      </w:r>
      <w:r>
        <w:t>Nur 6,5 % der 294 Weiterbildungsprogramme boten ländliche Trainingsplätze an (2,4 % aller Standorte); ländliche Landkreise ohne Weiterbildungsstätte zeigten höhere Anteile unversicherter Personen unter 65 Jahren (11,5 % vs. 8,0 %, p &lt; 0,001), niedrigere Hausarztdichte (40,6 vs. 55,1 pro 100.000, p = 0,005) und höhere Health Professional Shortage Area-Quoten (69,0 % vs. 35,3 %, p &lt; 0,001).</w:t>
      </w:r>
    </w:p>
    <w:p>
      <w:r>
        <w:rPr>
          <w:b/>
          <w:sz w:val="19"/>
        </w:rPr>
        <w:t xml:space="preserve">Übertragbarkeit: </w:t>
      </w:r>
      <w:r>
        <w:rPr>
          <w:sz w:val="19"/>
        </w:rPr>
        <w:t>USA-Daten; Fragestellung zur Verfügbarkeit spezialisierter Ausbildung in unterversorgten Regionen systemunabhängig bedeutsam</w:t>
      </w:r>
    </w:p>
    <w:p>
      <w:r>
        <w:rPr>
          <w:color w:val="5A7D3A"/>
          <w:sz w:val="18"/>
        </w:rPr>
        <w:t>https://pubmed.ncbi.nlm.nih.gov/42895080/</w:t>
      </w:r>
    </w:p>
    <w:p>
      <w:pPr>
        <w:pStyle w:val="Heading2"/>
      </w:pPr>
      <w:r>
        <w:t>Kerndomänen und Messinstrumente für axiale Spondylarthritis in der Klinik</w:t>
      </w:r>
    </w:p>
    <w:p>
      <w:r>
        <w:rPr>
          <w:i/>
          <w:color w:val="666666"/>
          <w:sz w:val="18"/>
        </w:rPr>
        <w:t>Smits ML et al.  ·  EULAR Rheumatol Open  ·  07.10.2026  ·  PMID 42894661</w:t>
      </w:r>
    </w:p>
    <w:p>
      <w:r>
        <w:t>Delphi-Befragung mit Fachleuten, Nicht-Fachleuten und Patienten zur Identifizierung der wichtigsten Bewertungsdomänen und Instrumente für die klinische Praxis bei axialer Spondylarthritis.</w:t>
      </w:r>
    </w:p>
    <w:p>
      <w:r>
        <w:rPr>
          <w:b/>
        </w:rPr>
        <w:t xml:space="preserve">Ergebnis: </w:t>
      </w:r>
      <w:r>
        <w:t>Nach vier Delphi-Runden wurden 5 Domänen für Routinevisiten (Krankheitsaktivität, Schmerz, periphere Manifestationen, extra-muskuloskelettale Manifestationen, Therapieaspekte) und 4 ergänzende Domänen für erweiterte Visiten identifiziert; für jede Domäne mindestens ein empfohlenes Instrument ausgewählt. Beteiligung: 156 ASAS-Mitglieder (78 % der 201 Eingeladenen), 173 nicht-ASAS-Rheumatologen und 167 Patienten in Runde 1.</w:t>
      </w:r>
    </w:p>
    <w:p>
      <w:r>
        <w:rPr>
          <w:b/>
          <w:sz w:val="19"/>
        </w:rPr>
        <w:t xml:space="preserve">Übertragbarkeit: </w:t>
      </w:r>
      <w:r>
        <w:rPr>
          <w:sz w:val="19"/>
        </w:rPr>
        <w:t>Europäisches Expertenkonsens-Verfahren; relevant für deutschsprachige Praxis</w:t>
      </w:r>
    </w:p>
    <w:p>
      <w:r>
        <w:rPr>
          <w:color w:val="5A7D3A"/>
          <w:sz w:val="18"/>
        </w:rPr>
        <w:t>https://pubmed.ncbi.nlm.nih.gov/42894661/</w:t>
      </w:r>
    </w:p>
    <w:p>
      <w:pPr>
        <w:pStyle w:val="Heading2"/>
      </w:pPr>
      <w:r>
        <w:t>Unterstützung von Vätern nach perinataler Traumatisierung – partizipativ entwickelte Handlungsprinzipien</w:t>
      </w:r>
    </w:p>
    <w:p>
      <w:r>
        <w:rPr>
          <w:i/>
          <w:color w:val="666666"/>
          <w:sz w:val="18"/>
        </w:rPr>
        <w:t>Kothari A et al.  ·  Med J Aust  ·  Okt. 2026  ·  PMID 42894362</w:t>
      </w:r>
    </w:p>
    <w:p>
      <w:r>
        <w:t>Partizipative Aktionsforschung zur Entwicklung von Best-Practice-Prinzipien für die Versorgung von Vätern und nicht-gebärenden Elternteilen, die perinatales Trauma erfahren haben.</w:t>
      </w:r>
    </w:p>
    <w:p>
      <w:r>
        <w:rPr>
          <w:b/>
        </w:rPr>
        <w:t xml:space="preserve">Ergebnis: </w:t>
      </w:r>
      <w:r>
        <w:t>Aus 24 initialen Themen wurden 4 Kernprinzipien konsensual erarbeitet: (1) mitfühlende und inklusive Engagement, (2) Politik- und Gesetzesreform, (3) Bildungs- und Lernchancen, (4) psychische Gesundheit-Screening und -Unterstützung. Beteiligung: 11 Konsumenten mit Erfahrung, 30 Fachpersonen, Validierung mit 74 Teilnehmern aus diversen Hintergründen.</w:t>
      </w:r>
    </w:p>
    <w:p>
      <w:r>
        <w:rPr>
          <w:b/>
          <w:sz w:val="19"/>
        </w:rPr>
        <w:t xml:space="preserve">Übertragbarkeit: </w:t>
      </w:r>
      <w:r>
        <w:rPr>
          <w:sz w:val="19"/>
        </w:rPr>
        <w:t>Australien; qualitative Partizipationsforschung zu Versorgungslücken systemunabhängig relevant</w:t>
      </w:r>
    </w:p>
    <w:p>
      <w:r>
        <w:rPr>
          <w:color w:val="5A7D3A"/>
          <w:sz w:val="18"/>
        </w:rPr>
        <w:t>https://pubmed.ncbi.nlm.nih.gov/42894362/</w:t>
      </w:r>
    </w:p>
    <w:p>
      <w:pPr>
        <w:pStyle w:val="Heading2"/>
      </w:pPr>
      <w:r>
        <w:t>Telemedizin in Intensivmedizin: Auswirkungen auf Interhospitaltransfers</w:t>
      </w:r>
    </w:p>
    <w:p>
      <w:r>
        <w:rPr>
          <w:i/>
          <w:color w:val="666666"/>
          <w:sz w:val="18"/>
        </w:rPr>
        <w:t>Rai K et al.  ·  Crit Care Med  ·  15.10.2026  ·  PMID 42878611</w:t>
      </w:r>
    </w:p>
    <w:p>
      <w:r>
        <w:t>Retrospektive Kohortenstudie mit Medicare-Daten (2021–2023) zur Untersuchung, ob Tele-ICU-Fähigkeit an Index-Kliniken mit Interhospitaltransfers und potenziell niedrigwertigen Transfers assoziiert ist.</w:t>
      </w:r>
    </w:p>
    <w:p>
      <w:r>
        <w:rPr>
          <w:b/>
        </w:rPr>
        <w:t xml:space="preserve">Ergebnis: </w:t>
      </w:r>
      <w:r>
        <w:t>Unter 2.140.919 ICU-Aufenthalten war die absolute Transferrate ähnlich (2,5 % vs. 3,0 %), jedoch war Tele-ICU-Fähigkeit mit erhöhten Transferquoten assoziiert (bereinigtes OR 1,08; 95%-KI 1,01–1,14). Transferpatienten von Tele-ICU-Krankenhäusern zeigten seltener Versterben oder Hospiz innerhalb 1 Tag nach Transfer (4,6 % vs. 6,6 %; aOR 0,86; 95%-KI 0,76–0,97) und häufiger Entlassung nach Hause (4,7 % vs. 3,7 %; aOR 1,17; 95%-KI 1,03–1,33).</w:t>
      </w:r>
    </w:p>
    <w:p>
      <w:r>
        <w:rPr>
          <w:b/>
          <w:sz w:val="19"/>
        </w:rPr>
        <w:t xml:space="preserve">Übertragbarkeit: </w:t>
      </w:r>
      <w:r>
        <w:rPr>
          <w:sz w:val="19"/>
        </w:rPr>
        <w:t>USA Medicare; Fragestellung zu Technologieeinsatz und Transfer-Steuerung nur bedingt übertragbar</w:t>
      </w:r>
    </w:p>
    <w:p>
      <w:r>
        <w:rPr>
          <w:color w:val="5A7D3A"/>
          <w:sz w:val="18"/>
        </w:rPr>
        <w:t>https://pubmed.ncbi.nlm.nih.gov/42878611/</w:t>
      </w:r>
    </w:p>
    <w:p>
      <w:pPr>
        <w:pStyle w:val="Heading2"/>
      </w:pPr>
      <w:r>
        <w:t>Umwelt-Sanitation und Gesundheitsversorgungskapazität: Umsetzungslücken in chinesischen Städten</w:t>
      </w:r>
    </w:p>
    <w:p>
      <w:r>
        <w:rPr>
          <w:i/>
          <w:color w:val="666666"/>
          <w:sz w:val="18"/>
        </w:rPr>
        <w:t>Peng Z et al.  ·  BMC Health Serv Res  ·  25.08.2026  ·  PMID 42875776</w:t>
      </w:r>
    </w:p>
    <w:p>
      <w:r>
        <w:t>Panel-Analyse chinesischer Präfektur- und übergeordneter Städte (2002–2024) zur Untersuchung, ob Verbesserungen in Öko-Sanitation in erhöhte Gesundheitsversorgungskapazität konvertiert werden.</w:t>
      </w:r>
    </w:p>
    <w:p>
      <w:r>
        <w:rPr>
          <w:b/>
        </w:rPr>
        <w:t xml:space="preserve">Ergebnis: </w:t>
      </w:r>
      <w:r>
        <w:t>Das Basis-Zwei-Wege-Modell zeigte keine stabile positive Assoziation zwischen Öko-Sanitation-Verbesserung und Versorgungskapazität. Dimensionsspezifische Analysen offenbarten unterschiedliche Rollen: Positive Assoziation mit Umweltbelastungsindex konsistent mit nachfrageinduzierten oder kompensatorischen Ressourcenallokationen. Weder 2–3 Jahre verzögerte Umwelteffekte noch 1–2 Jahre verzögerte Investitionseffekte zeigten stabile Transmissionsketten. Interpretable Machine Learning identifizierte nichtlineare Grenzen und Einfluss von Entwicklungsstadium, Bevölkerungsgröße und Fiskalkompetenz.</w:t>
      </w:r>
    </w:p>
    <w:p>
      <w:r>
        <w:rPr>
          <w:b/>
          <w:sz w:val="19"/>
        </w:rPr>
        <w:t xml:space="preserve">Übertragbarkeit: </w:t>
      </w:r>
      <w:r>
        <w:rPr>
          <w:sz w:val="19"/>
        </w:rPr>
        <w:t>China; Health Services Research zu Investitions-Wirkketten in Gesundheitssystemen mit begrenzt übertragbaren Kontexten</w:t>
      </w:r>
    </w:p>
    <w:p>
      <w:r>
        <w:rPr>
          <w:color w:val="5A7D3A"/>
          <w:sz w:val="18"/>
        </w:rPr>
        <w:t>https://pubmed.ncbi.nlm.nih.gov/42875776/</w:t>
      </w:r>
    </w:p>
    <w:p>
      <w:pPr>
        <w:pStyle w:val="Heading1"/>
      </w:pPr>
      <w:r>
        <w:t>Aufgenommen am 19.10.2026</w:t>
      </w:r>
    </w:p>
    <w:p>
      <w:pPr>
        <w:pStyle w:val="Heading2"/>
      </w:pPr>
      <w:r>
        <w:t>Inanspruchnahme von Gesundheitsleistungen bei Demenz: Medicare Advantage vs. Traditional Medicare</w:t>
      </w:r>
    </w:p>
    <w:p>
      <w:r>
        <w:rPr>
          <w:i/>
          <w:color w:val="666666"/>
          <w:sz w:val="18"/>
        </w:rPr>
        <w:t>Joseph JM et al.  ·  Health Serv Res  ·  Okt. 2026  ·  PMID 42885186</w:t>
      </w:r>
    </w:p>
    <w:p>
      <w:r>
        <w:t>Vergleichende Analyse der Gesundheitsleistungsnutzung zwischen Medicare-Advantage- und Traditional-Medicare-Versicherten, stratifiziert nach Demenzstatus (ADRD).</w:t>
      </w:r>
    </w:p>
    <w:p>
      <w:r>
        <w:rPr>
          <w:b/>
        </w:rPr>
        <w:t xml:space="preserve">Ergebnis: </w:t>
      </w:r>
      <w:r>
        <w:t>Bei Versicherten mit ADRD waren sieben von acht adjustierten Unterschiede nicht signifikant. Spezialistenbesuche waren bei MA mit ADRD häufiger (5,2 Prozentpunkte, 95%-KI -0,1 bis 10,2). Ohne ADRD war MA mit niedrigeren stationären ambulanten Besuchen (-2,6; -3,7 bis -1,6) und weniger Bedarf für häusliche Krankenpflege (-0,9; -1,5 bis -0,3) assoziiert.</w:t>
      </w:r>
    </w:p>
    <w:p>
      <w:r>
        <w:rPr>
          <w:b/>
          <w:sz w:val="19"/>
        </w:rPr>
        <w:t xml:space="preserve">Übertragbarkeit: </w:t>
      </w:r>
      <w:r>
        <w:rPr>
          <w:sz w:val="19"/>
        </w:rPr>
        <w:t>US-Daten; Fragestellung zu Leistungsunterschieden aber systemunabhängig relevant</w:t>
      </w:r>
    </w:p>
    <w:p>
      <w:r>
        <w:rPr>
          <w:color w:val="5A7D3A"/>
          <w:sz w:val="18"/>
        </w:rPr>
        <w:t>https://pubmed.ncbi.nlm.nih.gov/42885186/</w:t>
      </w:r>
    </w:p>
    <w:p>
      <w:pPr>
        <w:pStyle w:val="Heading2"/>
      </w:pPr>
      <w:r>
        <w:t>Patientenperspektiven zu Notaufnahme vs. Hausarzt: qualitative Analyse des GPFirst-Programms</w:t>
      </w:r>
    </w:p>
    <w:p>
      <w:r>
        <w:rPr>
          <w:i/>
          <w:color w:val="666666"/>
          <w:sz w:val="18"/>
        </w:rPr>
        <w:t>Lee CYR et al.  ·  Singapore Med J  ·  15.10.2026  ·  PMID 42879300</w:t>
      </w:r>
    </w:p>
    <w:p>
      <w:r>
        <w:t>Qualitative Studie mit 16 Tiefeninterviews zu Determinanten der Arztwahl bei nicht-dringlichen Erkrankungen und zur Akzeptanz eines Steuerungsprogramms (GPFirst).</w:t>
      </w:r>
    </w:p>
    <w:p>
      <w:r>
        <w:rPr>
          <w:b/>
        </w:rPr>
        <w:t xml:space="preserve">Ergebnis: </w:t>
      </w:r>
      <w:r>
        <w:t>Vier Hauptthemen identifiziert: (1) Bestimmungsfaktoren der Arztwahl (wahrgenommene Schwere, Vertrauen in Krankenhausressourcen, Öffnungszeiten); (2) ED-Präferenz vs. GP-Vorzüge (Wartezeiten, Zugänglichkeit, personalisierte Versorgung); (3) GPFirst-Teilnahmebereitschaft trotz Barrieren (schlechte Selbsteinschätzung, mangelndes Wissen); (4) Verbesserungsvorschläge (Bewusstseinsförderung, Prozessklarheit, Anreizverstärkung).</w:t>
      </w:r>
    </w:p>
    <w:p>
      <w:r>
        <w:rPr>
          <w:b/>
          <w:sz w:val="19"/>
        </w:rPr>
        <w:t xml:space="preserve">Übertragbarkeit: </w:t>
      </w:r>
      <w:r>
        <w:rPr>
          <w:sz w:val="19"/>
        </w:rPr>
        <w:t>Singapur-Studie; Steuerungsmechanismen bei hausarztlicher Gatekeeper-Funktion übertragbar</w:t>
      </w:r>
    </w:p>
    <w:p>
      <w:r>
        <w:rPr>
          <w:color w:val="5A7D3A"/>
          <w:sz w:val="18"/>
        </w:rPr>
        <w:t>https://pubmed.ncbi.nlm.nih.gov/42879300/</w:t>
      </w:r>
    </w:p>
    <w:p>
      <w:pPr>
        <w:pStyle w:val="Heading2"/>
      </w:pPr>
      <w:r>
        <w:t>Kardiovaskuläre Gesundheit und Nierenversagen: Life's Essential 8 als Risikofaktor</w:t>
      </w:r>
    </w:p>
    <w:p>
      <w:r>
        <w:rPr>
          <w:i/>
          <w:color w:val="666666"/>
          <w:sz w:val="18"/>
        </w:rPr>
        <w:t>Ma C et al.  ·  Clin J Am Soc Nephrol  ·  15.10.2026  ·  PMID 42879211</w:t>
      </w:r>
    </w:p>
    <w:p>
      <w:r>
        <w:t>Prospektive Kohortenstudie zur Assoziation zwischen Life's Essential 8 (CVH-Metrik) und Inzidenz von Nierenersatztherapie-Bedürftigkeit (ESKD) in 276.494 Biobank-Teilnehmern.</w:t>
      </w:r>
    </w:p>
    <w:p>
      <w:r>
        <w:rPr>
          <w:b/>
        </w:rPr>
        <w:t xml:space="preserve">Ergebnis: </w:t>
      </w:r>
      <w:r>
        <w:t>Jeder 10-Punkte-Rückgang im LE8-Score erhöhte ESKD-Risiko (HR 1,47; 95%-KI 1,34–1,60). Niedriger LE8 war mit über fünffach erhöhtem Risiko assoziiert (HR 5,57; 95%-KI 3,42–9,07) vs. hohem LE8. Blutdruck und Blutglukose hatten größte populationsattribuierbare Fraktionen.</w:t>
      </w:r>
    </w:p>
    <w:p>
      <w:r>
        <w:rPr>
          <w:b/>
          <w:sz w:val="19"/>
        </w:rPr>
        <w:t xml:space="preserve">Übertragbarkeit: </w:t>
      </w:r>
      <w:r>
        <w:rPr>
          <w:sz w:val="19"/>
        </w:rPr>
        <w:t>UK-Daten; Primärversorgung und präventive Ansätze übertragbar</w:t>
      </w:r>
    </w:p>
    <w:p>
      <w:r>
        <w:rPr>
          <w:color w:val="5A7D3A"/>
          <w:sz w:val="18"/>
        </w:rPr>
        <w:t>https://pubmed.ncbi.nlm.nih.gov/42879211/</w:t>
      </w:r>
    </w:p>
    <w:p>
      <w:pPr>
        <w:pStyle w:val="Heading2"/>
      </w:pPr>
      <w:r>
        <w:t>Validität von EQ-5D-5L und EQ-HWB-9 zur Messung von Carer-Outcomes in gesundheitsökonomischen Evaluationen</w:t>
      </w:r>
    </w:p>
    <w:p>
      <w:r>
        <w:rPr>
          <w:i/>
          <w:color w:val="666666"/>
          <w:sz w:val="18"/>
        </w:rPr>
        <w:t>Faller J et al.  ·  Qual Life Res  ·  15.10.2026  ·  PMID 42879005</w:t>
      </w:r>
    </w:p>
    <w:p>
      <w:r>
        <w:t>Psychometrische Bewertung zweier Nutzen-Messinstrumente (EQ-5D-5L, EQ-HWB-9) bei 6.743 pflegenden Angehörigen aus fünf englischsprachigen Ländern.</w:t>
      </w:r>
    </w:p>
    <w:p>
      <w:r>
        <w:rPr>
          <w:b/>
        </w:rPr>
        <w:t xml:space="preserve">Ergebnis: </w:t>
      </w:r>
      <w:r>
        <w:t>EQ-5D-5L zeigte Deckeneffekt (19%), EQ-HWB-9 nicht (5%). Beide Instrumente korrelieren moderat mit WHO-5, PROMIS-10 und anderen Validierungsinstrumenten und zeigten Known-Group-Validität. EQ-HWB-9 erfasst breiteres Spektrum der Carer-Belastung.</w:t>
      </w:r>
    </w:p>
    <w:p>
      <w:r>
        <w:rPr>
          <w:b/>
          <w:sz w:val="19"/>
        </w:rPr>
        <w:t xml:space="preserve">Übertragbarkeit: </w:t>
      </w:r>
      <w:r>
        <w:rPr>
          <w:sz w:val="19"/>
        </w:rPr>
        <w:t>Multi-nationale Studie mit deutschsprachigen Ländern; ökonomische Evaluationen übertragbar</w:t>
      </w:r>
    </w:p>
    <w:p>
      <w:r>
        <w:rPr>
          <w:color w:val="5A7D3A"/>
          <w:sz w:val="18"/>
        </w:rPr>
        <w:t>https://pubmed.ncbi.nlm.nih.gov/42879005/</w:t>
      </w:r>
    </w:p>
    <w:p>
      <w:pPr>
        <w:pStyle w:val="Heading2"/>
      </w:pPr>
      <w:r>
        <w:t>Psychische Gesundheit von Ärzten und Pflegepersonen in der Ukraine während des Krieges</w:t>
      </w:r>
    </w:p>
    <w:p>
      <w:r>
        <w:rPr>
          <w:i/>
          <w:color w:val="666666"/>
          <w:sz w:val="18"/>
        </w:rPr>
        <w:t>Arrona Gómez VA et al.  ·  Br J Psychiatry  ·  15.10.2026  ·  PMID 42876069</w:t>
      </w:r>
    </w:p>
    <w:p>
      <w:r>
        <w:t>Landesweite Cross-sectional-Befragung von 23.805 Ärzten und Pflegepersonen zur Prävalenz von Depression, Angststörungen und suizidalen Gedanken sowie Assoziation mit Arbeitsplatzrisiken (Gewalt, Mobbing).</w:t>
      </w:r>
    </w:p>
    <w:p>
      <w:r>
        <w:rPr>
          <w:b/>
        </w:rPr>
        <w:t xml:space="preserve">Ergebnis: </w:t>
      </w:r>
      <w:r>
        <w:t>1 von 3 Ärzten und 1 von 4 Pflegepersonen berichteten Depressionssymptome; 1 von 4 Ärzte und 1 von 6 Pfleger Angstsymptome; ~1 von 10 suizidale Gedanken. Mobbing am stärksten mit Depression/Angst assoziiert (alle P&lt;0,001), physische Gewalt mit suizidalen Gedanken. Sinnvolle Arbeit schützend.</w:t>
      </w:r>
    </w:p>
    <w:p>
      <w:r>
        <w:rPr>
          <w:b/>
          <w:sz w:val="19"/>
        </w:rPr>
        <w:t xml:space="preserve">Übertragbarkeit: </w:t>
      </w:r>
      <w:r>
        <w:rPr>
          <w:sz w:val="19"/>
        </w:rPr>
        <w:t>Ukraine-Daten, Fragenstellung aber zu Workforce-Wohlbefinden systemunabhängig relevant</w:t>
      </w:r>
    </w:p>
    <w:p>
      <w:r>
        <w:rPr>
          <w:color w:val="5A7D3A"/>
          <w:sz w:val="18"/>
        </w:rPr>
        <w:t>https://pubmed.ncbi.nlm.nih.gov/42876069/</w:t>
      </w:r>
    </w:p>
    <w:p>
      <w:pPr>
        <w:pStyle w:val="Heading2"/>
      </w:pPr>
      <w:r>
        <w:t>Generative-AI-Nutzung bei älteren Menschen mit Multimorbidität: qualitative Analyse von Barrieren und Chancen</w:t>
      </w:r>
    </w:p>
    <w:p>
      <w:r>
        <w:rPr>
          <w:i/>
          <w:color w:val="666666"/>
          <w:sz w:val="18"/>
        </w:rPr>
        <w:t>Lin Q et al.  ·  BMC Health Serv Res  ·  23.07.2026  ·  PMID 42875768</w:t>
      </w:r>
    </w:p>
    <w:p>
      <w:r>
        <w:t>Qualitative Studie mit 16 semistrukturierten Interviews zu Erfahrungen älterer Menschen mit Multimorbidität bei der Nutzung von Generative-AI-Tools für Gesundheitsentscheidungen in China.</w:t>
      </w:r>
    </w:p>
    <w:p>
      <w:r>
        <w:rPr>
          <w:b/>
        </w:rPr>
        <w:t xml:space="preserve">Ergebnis: </w:t>
      </w:r>
      <w:r>
        <w:t>Vier Themen: (1) Wahrgenommener Nutzen (Informationszugang, integrierte Unterstützung, Entscheidungssicherheit); (2) Ease-of-Use mit großen individuellen Unterschieden; (3) Notwendigkeit von Ressourcenmobilisierung (soziale Unterstützung, technische Hilfe); (4) Dynamische, nicht-lineare Nutzungsmuster (Versuche, Unterbrechnungen, Wiederaufnahme oder Abbruch) statt einfache Adoption.</w:t>
      </w:r>
    </w:p>
    <w:p>
      <w:r>
        <w:rPr>
          <w:b/>
          <w:sz w:val="19"/>
        </w:rPr>
        <w:t xml:space="preserve">Übertragbarkeit: </w:t>
      </w:r>
      <w:r>
        <w:rPr>
          <w:sz w:val="19"/>
        </w:rPr>
        <w:t>China-Studie; Fragen zur technologischen Inklusion und Digital-Divide bei älteren Menschen relevant</w:t>
      </w:r>
    </w:p>
    <w:p>
      <w:r>
        <w:rPr>
          <w:color w:val="5A7D3A"/>
          <w:sz w:val="18"/>
        </w:rPr>
        <w:t>https://pubmed.ncbi.nlm.nih.gov/42875768/</w:t>
      </w:r>
    </w:p>
    <w:p>
      <w:pPr>
        <w:pStyle w:val="Heading2"/>
      </w:pPr>
      <w:r>
        <w:t>Hausarztbeteiligung in der onkologischen Nachsorge: Studienprotokoll zur mixed-methods-Analyse</w:t>
      </w:r>
    </w:p>
    <w:p>
      <w:r>
        <w:rPr>
          <w:i/>
          <w:color w:val="666666"/>
          <w:sz w:val="18"/>
        </w:rPr>
        <w:t>van Baal K et al.  ·  BMC Prim Care  ·  13.10.2026  ·  PMID 42875748</w:t>
      </w:r>
    </w:p>
    <w:p>
      <w:r>
        <w:t>Studienprotokoll zur Untersuchung der Hausarzt-Beteiligung in der onkologischen Nachsorge in Deutschland mittels Routinedaten, Surveys und qualitativen Interviews.</w:t>
      </w:r>
    </w:p>
    <w:p>
      <w:r>
        <w:rPr>
          <w:b/>
        </w:rPr>
        <w:t xml:space="preserve">Ergebnis: </w:t>
      </w:r>
      <w:r>
        <w:t>Geplante Analyse von AOK-Routinedaten und Niedersächsischem Krebsregister, Befragung von 300+ Hausärzten und Onkologen, 30 Patienteninterviews sowie Expert-Workshop zur Konsensfindung für strukturierte Empfehlungen.</w:t>
      </w:r>
    </w:p>
    <w:p>
      <w:r>
        <w:rPr>
          <w:b/>
          <w:sz w:val="19"/>
        </w:rPr>
        <w:t xml:space="preserve">Übertragbarkeit: </w:t>
      </w:r>
      <w:r>
        <w:rPr>
          <w:sz w:val="19"/>
        </w:rPr>
        <w:t>Deutsche Studie mit deutschem Versorgungssystem; direkt auf deutsche Versorgung übertragbar</w:t>
      </w:r>
    </w:p>
    <w:p>
      <w:r>
        <w:rPr>
          <w:color w:val="5A7D3A"/>
          <w:sz w:val="18"/>
        </w:rPr>
        <w:t>https://pubmed.ncbi.nlm.nih.gov/42875748/</w:t>
      </w:r>
    </w:p>
    <w:p>
      <w:pPr>
        <w:pStyle w:val="Heading1"/>
      </w:pPr>
      <w:r>
        <w:t>Aufgenommen am 18.10.2026</w:t>
      </w:r>
    </w:p>
    <w:p>
      <w:pPr>
        <w:pStyle w:val="Heading2"/>
      </w:pPr>
      <w:r>
        <w:t>Enzalutamid bei metastatischem hormonsensitivem Prostatakarzinom: Kosteneffektivitätsanalyse</w:t>
      </w:r>
    </w:p>
    <w:p>
      <w:r>
        <w:rPr>
          <w:i/>
          <w:color w:val="666666"/>
          <w:sz w:val="18"/>
        </w:rPr>
        <w:t>Law CK et al.  ·  EClinicalMedicine  ·  05.10.2026  ·  PMID 42890411</w:t>
      </w:r>
    </w:p>
    <w:p>
      <w:r>
        <w:t>Australische within-trial-Kosteneffektivitätsanalyse der ENZAMET-Studie verglich Enzalutamid plus Testosteronsuppression mit Standard-Nicht-Steroiden für Patienten mit metastatischem hormonsensitivem Prostatakarzinom über 60 Monate.</w:t>
      </w:r>
    </w:p>
    <w:p>
      <w:r>
        <w:rPr>
          <w:b/>
        </w:rPr>
        <w:t xml:space="preserve">Ergebnis: </w:t>
      </w:r>
      <w:r>
        <w:t>Enzalutamid führte zu AUD 127.262 zusätzlichen Kosten pro Patient, 0,24 Lebensjahren und 0,15 QALYs-Gewinn; ICER AUD 835.580 pro QALY. Kosteneffizienz nur bei Kaufpreis von AUD 6,73 pro Tablette erreichbar (Schwellenwert AUD 50.000/QALY). Erhöhte Hospitalisierungen und Muskel-Skelett-Medikationen in Enzalutamid-Gruppe.</w:t>
      </w:r>
    </w:p>
    <w:p>
      <w:r>
        <w:rPr>
          <w:b/>
          <w:sz w:val="19"/>
        </w:rPr>
        <w:t xml:space="preserve">Übertragbarkeit: </w:t>
      </w:r>
      <w:r>
        <w:rPr>
          <w:sz w:val="19"/>
        </w:rPr>
        <w:t>Australisches Gesundheitssystem, aber Analyse-Methodik auf deutsches System übertragbar.</w:t>
      </w:r>
    </w:p>
    <w:p>
      <w:r>
        <w:rPr>
          <w:color w:val="5A7D3A"/>
          <w:sz w:val="18"/>
        </w:rPr>
        <w:t>https://pubmed.ncbi.nlm.nih.gov/42890411/</w:t>
      </w:r>
    </w:p>
    <w:p>
      <w:pPr>
        <w:pStyle w:val="Heading2"/>
      </w:pPr>
      <w:r>
        <w:t>Nutzen von klinischen Qualitätsregistern: Governance und Systemintegration</w:t>
      </w:r>
    </w:p>
    <w:p>
      <w:r>
        <w:rPr>
          <w:i/>
          <w:color w:val="666666"/>
          <w:sz w:val="18"/>
        </w:rPr>
        <w:t>Bessen T et al.  ·  Med J Aust  ·  Okt. 2026  ·  PMID 42888857</w:t>
      </w:r>
    </w:p>
    <w:p>
      <w:r>
        <w:t>Konferenzbeitrag diskutiert, wie klinische Qualitätsregister (CQRs) zur Qualitätsverbesserung in Gesundheitssystemen beitragen und beschreibt Organizational-Infrastructure-Elemente für Systemintegration.</w:t>
      </w:r>
    </w:p>
    <w:p>
      <w:r>
        <w:rPr>
          <w:b/>
        </w:rPr>
        <w:t xml:space="preserve">Ergebnis: </w:t>
      </w:r>
      <w:r>
        <w:t>CQRs erfassen systematisch Sicherheits- und Qualitätsdaten mit Risikoanpassung und Benchmarking; Daten treiben Qualitätsverbesserungen. Zentrale Erkenntnis: Daten bleiben oft in Facheinheiten statt Organisation/System-weit integriert. Erforderlich: Governance-Infrastruktur zur Systemintegration auf Gesundheits- und Behördenebene.</w:t>
      </w:r>
    </w:p>
    <w:p>
      <w:r>
        <w:rPr>
          <w:b/>
          <w:sz w:val="19"/>
        </w:rPr>
        <w:t xml:space="preserve">Übertragbarkeit: </w:t>
      </w:r>
      <w:r>
        <w:rPr>
          <w:sz w:val="19"/>
        </w:rPr>
        <w:t>Australien; Registries-Governance-Ansätze auf deutsches Qualitätsmanagement übertragbar.</w:t>
      </w:r>
    </w:p>
    <w:p>
      <w:r>
        <w:rPr>
          <w:color w:val="5A7D3A"/>
          <w:sz w:val="18"/>
        </w:rPr>
        <w:t>https://pubmed.ncbi.nlm.nih.gov/42888857/</w:t>
      </w:r>
    </w:p>
    <w:p>
      <w:pPr>
        <w:pStyle w:val="Heading2"/>
      </w:pPr>
      <w:r>
        <w:t>Wartezeiten und Verzögerungen bei Kopf-Hals-Krebs in England</w:t>
      </w:r>
    </w:p>
    <w:p>
      <w:r>
        <w:rPr>
          <w:i/>
          <w:color w:val="666666"/>
          <w:sz w:val="18"/>
        </w:rPr>
        <w:t>Jashek-Ahmed F et al.  ·  Br J Cancer  ·  16.10.2026  ·  PMID 42888204</w:t>
      </w:r>
    </w:p>
    <w:p>
      <w:r>
        <w:t>Britische Kohortenstudie mit verlinkten nationalen Datenregistern untersuchte Wartezeiten von Überweisung bis zur ersten Krebsbehandlung (Chirurgie oder Strahlenchemotherapie) bei 30.506 Kopf-Hals-Karzinom-Patienten.</w:t>
      </w:r>
    </w:p>
    <w:p>
      <w:r>
        <w:rPr>
          <w:b/>
        </w:rPr>
        <w:t xml:space="preserve">Ergebnis: </w:t>
      </w:r>
      <w:r>
        <w:t>43 % erlebten Behandlungsverzögerung (&gt;62 Tage), 11 % bei Chirurgie und 20 % bei (Chemo-)Strahlung &gt;90 Tage. Nicht-dringende Überweisung (30 % der Patienten) war stärkster Prädiktor für lange Verzögerung (aOR 4,07; 95 %-KI 3,54–4,68). Zusätzliche Risikofaktoren: initiale Bewertung in Nicht-Spezialist-Kliniken, Non-Oropharynx-Karzinome, höhere Deprivation.</w:t>
      </w:r>
    </w:p>
    <w:p>
      <w:r>
        <w:rPr>
          <w:b/>
          <w:sz w:val="19"/>
        </w:rPr>
        <w:t xml:space="preserve">Übertragbarkeit: </w:t>
      </w:r>
      <w:r>
        <w:rPr>
          <w:sz w:val="19"/>
        </w:rPr>
        <w:t>England, NHS-System; Methodik zu Zugangssteuerung begrenzt übertragbar auf Deutschland.</w:t>
      </w:r>
    </w:p>
    <w:p>
      <w:r>
        <w:rPr>
          <w:color w:val="5A7D3A"/>
          <w:sz w:val="18"/>
        </w:rPr>
        <w:t>https://pubmed.ncbi.nlm.nih.gov/42888204/</w:t>
      </w:r>
    </w:p>
    <w:p>
      <w:pPr>
        <w:pStyle w:val="Heading2"/>
      </w:pPr>
      <w:r>
        <w:t>Zugang zu Versorgung bei Niereninsuffizienz: Sicht von Medicare-Advantage-Organisationen</w:t>
      </w:r>
    </w:p>
    <w:p>
      <w:r>
        <w:rPr>
          <w:i/>
          <w:color w:val="666666"/>
          <w:sz w:val="18"/>
        </w:rPr>
        <w:t>Tyler DA et al.  ·  Health Serv Res  ·  Okt. 2026  ·  PMID 42888180</w:t>
      </w:r>
    </w:p>
    <w:p>
      <w:r>
        <w:t>Qualitative Studie mit 56 Teilnehmern aus 8 Medicare-Advantage-Plänen, 6 Dialyse- und 5 Nierenbetreu-Unternehmen in den USA untersuchte Perspektiven zum Versorgungszugang nach Medicare-Advantage-Einschreibung bei Dialysepatienten.</w:t>
      </w:r>
    </w:p>
    <w:p>
      <w:r>
        <w:rPr>
          <w:b/>
        </w:rPr>
        <w:t xml:space="preserve">Ergebnis: </w:t>
      </w:r>
      <w:r>
        <w:t>Perspektiven differieren nach Organisation und Mitarbeiter-Funktion. MA-Plankvertreter berichten keine Zugangsbarrieren zu Dialyse; kleine Dialyse-Anbieter berichten Patienten-Fahrtweite zu In-Network-Einrichtungen. Informationen über Netzwerkbeschränkungen für Spezialisten oft nicht Patienten-bewusst. MA wählt ‚Centers of Excellence', andere berichten Transplant-Zugangs-Behinderung. Zusatzleistungen von Exekutive betont, von Frontline-Personal als begrenzt berichtet.</w:t>
      </w:r>
    </w:p>
    <w:p>
      <w:r>
        <w:rPr>
          <w:b/>
          <w:sz w:val="19"/>
        </w:rPr>
        <w:t xml:space="preserve">Übertragbarkeit: </w:t>
      </w:r>
      <w:r>
        <w:rPr>
          <w:sz w:val="19"/>
        </w:rPr>
        <w:t>USA; stark systemabhängig von Medicare-Struktur, begrenzte Übertragbarkeit.</w:t>
      </w:r>
    </w:p>
    <w:p>
      <w:r>
        <w:rPr>
          <w:color w:val="5A7D3A"/>
          <w:sz w:val="18"/>
        </w:rPr>
        <w:t>https://pubmed.ncbi.nlm.nih.gov/42888180/</w:t>
      </w:r>
    </w:p>
    <w:p>
      <w:pPr>
        <w:pStyle w:val="Heading2"/>
      </w:pPr>
      <w:r>
        <w:t>Konsensusdefinition schwere COPD: internationale Delphi-Studie</w:t>
      </w:r>
    </w:p>
    <w:p>
      <w:r>
        <w:rPr>
          <w:i/>
          <w:color w:val="666666"/>
          <w:sz w:val="18"/>
        </w:rPr>
        <w:t>Melles MC et al.  ·  Ann Am Thorac Soc  ·  16.10.2026  ·  PMID 42885566</w:t>
      </w:r>
    </w:p>
    <w:p>
      <w:r>
        <w:t>Internationale modifizierte Delphi-Studie mit 55 COPD-Experten entwickelte Konsensusdefinition und minimales Diagnose-Set für schwere COPD sowie notwendige Arbeitsvorgänge.</w:t>
      </w:r>
    </w:p>
    <w:p>
      <w:r>
        <w:rPr>
          <w:b/>
        </w:rPr>
        <w:t xml:space="preserve">Ergebnis: </w:t>
      </w:r>
      <w:r>
        <w:t>Konsens in 46 von 67 Aussagen (Runde 1, 69 %) und 15 von 20 (Runde 2, 75 %). Schwere COPD definiert als persistierende Symptome/Funktionsbeeinträchtigung trotz optimaler Therapie mit mindestens einem Merkmal: schwere Atemwegsobstruktion, schwere Diffusionsstörung, schwere Überblähung, häufige Exazerbationen, chronische Ateminsuffizienz, pulmonale Hypertonie oder Kachexie. Standardisiertes Workup inkl. Patient-Reported Outcomes, Exazerbationen, Lungenfunktion, Blutgase, Imaging, kardiale Bewertung, Belastungstestung.</w:t>
      </w:r>
    </w:p>
    <w:p>
      <w:r>
        <w:rPr>
          <w:b/>
          <w:sz w:val="19"/>
        </w:rPr>
        <w:t xml:space="preserve">Übertragbarkeit: </w:t>
      </w:r>
      <w:r>
        <w:rPr>
          <w:sz w:val="19"/>
        </w:rPr>
        <w:t>Internationale Konsensus-Studie mit 55 Experten; Definitionen für deutsches Versorgungssystem relevant.</w:t>
      </w:r>
    </w:p>
    <w:p>
      <w:r>
        <w:rPr>
          <w:color w:val="5A7D3A"/>
          <w:sz w:val="18"/>
        </w:rPr>
        <w:t>https://pubmed.ncbi.nlm.nih.gov/42885566/</w:t>
      </w:r>
    </w:p>
    <w:p>
      <w:pPr>
        <w:pStyle w:val="Heading2"/>
      </w:pPr>
      <w:r>
        <w:t>Social-Media-Nutzung und Angststörungen bei Gesundheitsmitarbeitern in COVID-19</w:t>
      </w:r>
    </w:p>
    <w:p>
      <w:r>
        <w:rPr>
          <w:i/>
          <w:color w:val="666666"/>
          <w:sz w:val="18"/>
        </w:rPr>
        <w:t>Powell M et al.  ·  J Med Internet Res  ·  15.10.2026  ·  PMID 42879747</w:t>
      </w:r>
    </w:p>
    <w:p>
      <w:r>
        <w:t>Sekundäranalyse der UC-COVID-Studie 2021 mit 427 Gesundheitsmitarbeitern untersuchte Assoziationen zwischen Social-Media-Nutzung über mehrere Plattformen und Angst-Symptomen während Pandemie.</w:t>
      </w:r>
    </w:p>
    <w:p>
      <w:r>
        <w:rPr>
          <w:b/>
        </w:rPr>
        <w:t xml:space="preserve">Ergebnis: </w:t>
      </w:r>
      <w:r>
        <w:t>29 % berichteten klinisch relevante Angststörungen (GAD-2 ≥3). Höhere Social-Media-Nutzung signifikant mit Angst assoziiert (OR 1,77; 95 %-KI 1,15–2,73). Älteres Alter reduzierte Angststörungen (aOR 0,97; 95 %-KI 0,95–0,99). Psychische-Anamnese erhöhte Angststörungen (aOR 2,33; 95 %-KI 1,35–4,03). Nicht-hispanische Asiaten weniger Angststörungen (aOR 0,39; KI 0,19–0,80). Höheres Einkommen reduzierte Angststörungen (aOR 0,51; KI 0,30–0,87).</w:t>
      </w:r>
    </w:p>
    <w:p>
      <w:r>
        <w:rPr>
          <w:b/>
          <w:sz w:val="19"/>
        </w:rPr>
        <w:t xml:space="preserve">Übertragbarkeit: </w:t>
      </w:r>
      <w:r>
        <w:rPr>
          <w:sz w:val="19"/>
        </w:rPr>
        <w:t>USA-Daten; Fragestellung zu Gesundheitsmitarbeiter-Psyche systemunabhängig relevant.</w:t>
      </w:r>
    </w:p>
    <w:p>
      <w:r>
        <w:rPr>
          <w:color w:val="5A7D3A"/>
          <w:sz w:val="18"/>
        </w:rPr>
        <w:t>https://pubmed.ncbi.nlm.nih.gov/42879747/</w:t>
      </w:r>
    </w:p>
    <w:p>
      <w:pPr>
        <w:pStyle w:val="Heading2"/>
      </w:pPr>
      <w:r>
        <w:t>Umsetzung von CVD-Risiko-Vorhersage-Tools in Subsahara-Afrika: Scoping Review</w:t>
      </w:r>
    </w:p>
    <w:p>
      <w:r>
        <w:rPr>
          <w:i/>
          <w:color w:val="666666"/>
          <w:sz w:val="18"/>
        </w:rPr>
        <w:t>Gouws M et al.  ·  BMC Health Serv Res  ·  19.08.2026  ·  PMID 42875763</w:t>
      </w:r>
    </w:p>
    <w:p>
      <w:r>
        <w:t>Systematische Scoping Review zur Implementierung von Kardiovaskulär-Risiko-Vorhersage-Scores in Subsahara-Afrika anhand von 41 Studien aus zehn Ländern; Struktur nach Implementation-Research-Logic-Model.</w:t>
      </w:r>
    </w:p>
    <w:p>
      <w:r>
        <w:rPr>
          <w:b/>
        </w:rPr>
        <w:t xml:space="preserve">Ergebnis: </w:t>
      </w:r>
      <w:r>
        <w:t>Vier Use-Cases identifiziert: ökonomische/Policy-Überlegungen, Screening hohes CVD-Risiko/Überweisung, Risikokommunikation, Behandlung Hochrisiko-Patienten. Häufigste Barrieren: Gesundheitssystem- und Organisations-Herausforderungen. Implementierungs-Strategien fokussieren Task-Shifting, Training, kurzfristige Materialien/Technologie-Unterstützung für Community-Health-Worker. Wenig Evidenz zu Nachhaltigkeits-Strategien in Einrichtungen; Mismatch zwischen Determinanten-Breite und Strategien-Enge.</w:t>
      </w:r>
    </w:p>
    <w:p>
      <w:r>
        <w:rPr>
          <w:b/>
          <w:sz w:val="19"/>
        </w:rPr>
        <w:t xml:space="preserve">Übertragbarkeit: </w:t>
      </w:r>
      <w:r>
        <w:rPr>
          <w:sz w:val="19"/>
        </w:rPr>
        <w:t>Sub-Sahara; systemabhängig von Ressourcenlage, begrenzte Übertragbarkeit auf Deutschland.</w:t>
      </w:r>
    </w:p>
    <w:p>
      <w:r>
        <w:rPr>
          <w:color w:val="5A7D3A"/>
          <w:sz w:val="18"/>
        </w:rPr>
        <w:t>https://pubmed.ncbi.nlm.nih.gov/42875763/</w:t>
      </w:r>
    </w:p>
    <w:p>
      <w:pPr>
        <w:pStyle w:val="Heading1"/>
      </w:pPr>
      <w:r>
        <w:t>Aufgenommen am 17.10.2026</w:t>
      </w:r>
    </w:p>
    <w:p>
      <w:pPr>
        <w:pStyle w:val="Heading2"/>
      </w:pPr>
      <w:r>
        <w:t>ASAS-Kernsatz zur Assessmentierung axialer Spondyloarthritis</w:t>
      </w:r>
    </w:p>
    <w:p>
      <w:r>
        <w:rPr>
          <w:i/>
          <w:color w:val="666666"/>
          <w:sz w:val="18"/>
        </w:rPr>
        <w:t>van Tubergen A et al.  ·  Ann Rheum Dis  ·  16.10.2026  ·  PMID 42888164</w:t>
      </w:r>
    </w:p>
    <w:p>
      <w:r>
        <w:t>Internationale Expertengruppe entwickelte per modifiziertem Delphi-Verfahren einen standardisierten Kernsatz von Assessmentdomänen und -instrumenten für die klinische Praxis.</w:t>
      </w:r>
    </w:p>
    <w:p>
      <w:r>
        <w:rPr>
          <w:b/>
        </w:rPr>
        <w:t xml:space="preserve">Ergebnis: </w:t>
      </w:r>
      <w:r>
        <w:t>Der Kernsatz wurde von der Mehrheit der ASAS-Mitglieder verabschiedet. Fünf Domänen für Routinevisiten (Krankheitsaktivität, Schmerz, periphere Manifestationen, extramuskuloskeletale Manifestationen, Therapieaspekte) mit je mindestens einem empfohlenen Instrument plus vier ergänzende Domänen für erweiterte Visiten (strukturelle Schäden, Funktionsfähigkeit, Komorbiditäten, Mobilität).</w:t>
      </w:r>
    </w:p>
    <w:p>
      <w:r>
        <w:rPr>
          <w:b/>
          <w:sz w:val="19"/>
        </w:rPr>
        <w:t xml:space="preserve">Übertragbarkeit: </w:t>
      </w:r>
      <w:r>
        <w:rPr>
          <w:sz w:val="19"/>
        </w:rPr>
        <w:t>Internationaler Konsens, europäische Beteiligung, deutsches Rheumazentrum beteiligt</w:t>
      </w:r>
    </w:p>
    <w:p>
      <w:r>
        <w:rPr>
          <w:color w:val="5A7D3A"/>
          <w:sz w:val="18"/>
        </w:rPr>
        <w:t>https://pubmed.ncbi.nlm.nih.gov/42888164/</w:t>
      </w:r>
    </w:p>
    <w:p>
      <w:pPr>
        <w:pStyle w:val="Heading2"/>
      </w:pPr>
      <w:r>
        <w:t>Partizipative Forschung mit Betroffenen: Impact und Team-Dynamik</w:t>
      </w:r>
    </w:p>
    <w:p>
      <w:r>
        <w:rPr>
          <w:i/>
          <w:color w:val="666666"/>
          <w:sz w:val="18"/>
        </w:rPr>
        <w:t>Fox J et al.  ·  Health Expect  ·  Okt. 2026  ·  PMID 42886175</w:t>
      </w:r>
    </w:p>
    <w:p>
      <w:r>
        <w:t>Qualitative Fallstudie erforschte über sieben Jahre die Erfahrungen von Forschungsteams und Betroffenen-Panels bei partizipativ durchgeführter Forschung zur Psychoseprävention.</w:t>
      </w:r>
    </w:p>
    <w:p>
      <w:r>
        <w:rPr>
          <w:b/>
        </w:rPr>
        <w:t xml:space="preserve">Ergebnis: </w:t>
      </w:r>
      <w:r>
        <w:t>Vier Hauptthemen: Impact wurde als Lernprozess mit Friktionen beschrieben; Studienteam schätzte Expertise der Betroffenen; Herausforderungen waren mangelnde Schulung zur Partizipation, Wechsel in Panelstruktur, COVID-bedingte Online-Verlagerung und Zweifel an Relevanzbezug. Regelmäßige reflexive Lernprozesse mit offenem Feedback waren zentral für positive Inklusionskultur.</w:t>
      </w:r>
    </w:p>
    <w:p>
      <w:r>
        <w:rPr>
          <w:b/>
          <w:sz w:val="19"/>
        </w:rPr>
        <w:t xml:space="preserve">Übertragbarkeit: </w:t>
      </w:r>
      <w:r>
        <w:rPr>
          <w:sz w:val="19"/>
        </w:rPr>
        <w:t>UK-Studie, Methode aber international übertragbar für Partizipationsforschung</w:t>
      </w:r>
    </w:p>
    <w:p>
      <w:r>
        <w:rPr>
          <w:color w:val="5A7D3A"/>
          <w:sz w:val="18"/>
        </w:rPr>
        <w:t>https://pubmed.ncbi.nlm.nih.gov/42886175/</w:t>
      </w:r>
    </w:p>
    <w:p>
      <w:pPr>
        <w:pStyle w:val="Heading2"/>
      </w:pPr>
      <w:r>
        <w:t>Depressive Symptome und Remission bei Psoriasis-Arthritis</w:t>
      </w:r>
    </w:p>
    <w:p>
      <w:r>
        <w:rPr>
          <w:i/>
          <w:color w:val="666666"/>
          <w:sz w:val="18"/>
        </w:rPr>
        <w:t>Reich A et al.  ·  BMC Rheumatol  ·  14.10.2026  ·  PMID 42881477</w:t>
      </w:r>
    </w:p>
    <w:p>
      <w:r>
        <w:t>Deutsche Registerstudie untersuchte die Assoziation depressiver Symptome mit Remissionserreichung bei Patienten mit Psoriasis-Arthritis unter systemischer Therapie.</w:t>
      </w:r>
    </w:p>
    <w:p>
      <w:r>
        <w:rPr>
          <w:b/>
        </w:rPr>
        <w:t xml:space="preserve">Ergebnis: </w:t>
      </w:r>
      <w:r>
        <w:t>29 % der 1.888 Patienten berichteten moderate/schwere depressive Symptome (34 % Frauen, 23 % Männer). Höheres Wohlbefinden war mit Remission assoziiert (OR 1,06–1,14 pro 10-Punkt-Steigerung). Beide Geschlechter mit moderaten/schweren Symptomen erreichten Minimal Disease Activity und DAPSA-Remission weniger häufig; die Assoziation unterschied sich nicht signifikant nach Geschlecht.</w:t>
      </w:r>
    </w:p>
    <w:p>
      <w:r>
        <w:rPr>
          <w:b/>
          <w:sz w:val="19"/>
        </w:rPr>
        <w:t xml:space="preserve">Übertragbarkeit: </w:t>
      </w:r>
      <w:r>
        <w:rPr>
          <w:sz w:val="19"/>
        </w:rPr>
        <w:t>Deutsche Routinedaten, ambulante rheumatologische Praxis</w:t>
      </w:r>
    </w:p>
    <w:p>
      <w:r>
        <w:rPr>
          <w:color w:val="5A7D3A"/>
          <w:sz w:val="18"/>
        </w:rPr>
        <w:t>https://pubmed.ncbi.nlm.nih.gov/42881477/</w:t>
      </w:r>
    </w:p>
    <w:p>
      <w:pPr>
        <w:pStyle w:val="Heading2"/>
      </w:pPr>
      <w:r>
        <w:t>Belastung von Eltern als Pflegende bei seltenen Kindererkrankungen</w:t>
      </w:r>
    </w:p>
    <w:p>
      <w:r>
        <w:rPr>
          <w:i/>
          <w:color w:val="666666"/>
          <w:sz w:val="18"/>
        </w:rPr>
        <w:t>Brandt M et al.  ·  Orphanet J Rare Dis  ·  12.10.2026  ·  PMID 42881418</w:t>
      </w:r>
    </w:p>
    <w:p>
      <w:r>
        <w:t>Deutsche Querschnittstudie untersuchte Pflegbelastung bei 123 Eltern von Kindern mit seltenen Erkrankungen und identifizierte assoziierte Faktoren.</w:t>
      </w:r>
    </w:p>
    <w:p>
      <w:r>
        <w:rPr>
          <w:b/>
        </w:rPr>
        <w:t xml:space="preserve">Ergebnis: </w:t>
      </w:r>
      <w:r>
        <w:t>23 % berichteten depressive Symptome, 77 % mindestens einen unerfüllten Unterstützungsbedarf. Bei Kindern mit Pflegebedarf: 24 % mit hoher Pflegbelastung. Nach Adjustierung für multiple Tests zeigten sich bei niedrigerer pflegbezogener Lebensqualität, höherer Sozioökonomie, elterlichen depressiven Symptomen und niedriger Therapiezufriedenheit stärkste Assoziationen mit Pflegbelastung.</w:t>
      </w:r>
    </w:p>
    <w:p>
      <w:r>
        <w:rPr>
          <w:b/>
          <w:sz w:val="19"/>
        </w:rPr>
        <w:t xml:space="preserve">Übertragbarkeit: </w:t>
      </w:r>
      <w:r>
        <w:rPr>
          <w:sz w:val="19"/>
        </w:rPr>
        <w:t>Deutsche Studie, spezialisierte Zentren und Patientenorganisationen</w:t>
      </w:r>
    </w:p>
    <w:p>
      <w:r>
        <w:rPr>
          <w:color w:val="5A7D3A"/>
          <w:sz w:val="18"/>
        </w:rPr>
        <w:t>https://pubmed.ncbi.nlm.nih.gov/42881418/</w:t>
      </w:r>
    </w:p>
    <w:p>
      <w:pPr>
        <w:pStyle w:val="Heading2"/>
      </w:pPr>
      <w:r>
        <w:t>Gesundheitskompetenz und Gesundheit bei Pflegestudierenden</w:t>
      </w:r>
    </w:p>
    <w:p>
      <w:r>
        <w:rPr>
          <w:i/>
          <w:color w:val="666666"/>
          <w:sz w:val="18"/>
        </w:rPr>
        <w:t>Otto R et al.  ·  Front Med (Lausanne)  ·  30.09.2026  ·  PMID 42876879</w:t>
      </w:r>
    </w:p>
    <w:p>
      <w:r>
        <w:t>Longitudinale deutsche Kohortenstudie verfolgten 128 Auszubildende und 43 Studierende im Pflegebereich über ein Jahr und untersuchten Gesundheitskompetenz, Gesundheitsstatus und Gesundheitsverhalten.</w:t>
      </w:r>
    </w:p>
    <w:p>
      <w:r>
        <w:rPr>
          <w:b/>
        </w:rPr>
        <w:t xml:space="preserve">Ergebnis: </w:t>
      </w:r>
      <w:r>
        <w:t>Durchschnittliche Gesundheitskompetenzscores blieben stabil, zeigten aber heterogene individuelle Veränderungen. BMI stieg signifikant an. Selbstbewerteter Gesundheitsstatus verschlechterte sich bei Auszubildenden signifikant. Raucherquote stieg signifikant an, andere Gesundheitsverhalten blieben unverändert. Keine signifikanten Assoziationen zwischen Baseline-Gesundheitskompetenz und späteren Outcomes oder Verhalten.</w:t>
      </w:r>
    </w:p>
    <w:p>
      <w:r>
        <w:rPr>
          <w:b/>
          <w:sz w:val="19"/>
        </w:rPr>
        <w:t xml:space="preserve">Übertragbarkeit: </w:t>
      </w:r>
      <w:r>
        <w:rPr>
          <w:sz w:val="19"/>
        </w:rPr>
        <w:t>Deutsche Studie, Unterricht und Ausbildungssetting</w:t>
      </w:r>
    </w:p>
    <w:p>
      <w:r>
        <w:rPr>
          <w:color w:val="5A7D3A"/>
          <w:sz w:val="18"/>
        </w:rPr>
        <w:t>https://pubmed.ncbi.nlm.nih.gov/42876879/</w:t>
      </w:r>
    </w:p>
    <w:p>
      <w:pPr>
        <w:pStyle w:val="Heading2"/>
      </w:pPr>
      <w:r>
        <w:t>Technische Effizienz öffentlicher Gesundheitseinrichtungen</w:t>
      </w:r>
    </w:p>
    <w:p>
      <w:r>
        <w:rPr>
          <w:i/>
          <w:color w:val="666666"/>
          <w:sz w:val="18"/>
        </w:rPr>
        <w:t>Momina AU et al.  ·  BMC Health Serv Res  ·  13.10.2026  ·  PMID 42870268</w:t>
      </w:r>
    </w:p>
    <w:p>
      <w:r>
        <w:t>Datenabgrenzungsanalyse evaluierte die technische Effizienz von 100 öffentlichen Gesundheitseinrichtungen in Pakistan bei der Familienplanungsversorgung.</w:t>
      </w:r>
    </w:p>
    <w:p>
      <w:r>
        <w:rPr>
          <w:b/>
        </w:rPr>
        <w:t xml:space="preserve">Ergebnis: </w:t>
      </w:r>
      <w:r>
        <w:t>Die durchschnittliche Effizienzquote betrug 78 %. Basic Health Units und Rural Health Centers zeigten erhebliche Ressourcenoptimierungslücken. Eine negative Assoziation bestand zwischen der Anzahl alternativer Anbieter im Einzugsgebiet und der Effizienz, was die Bedeutung der Angebotsorientierung nach lokaler Nachfrage unterstreicht.</w:t>
      </w:r>
    </w:p>
    <w:p>
      <w:r>
        <w:rPr>
          <w:b/>
          <w:sz w:val="19"/>
        </w:rPr>
        <w:t xml:space="preserve">Übertragbarkeit: </w:t>
      </w:r>
      <w:r>
        <w:rPr>
          <w:sz w:val="19"/>
        </w:rPr>
        <w:t>Nur bedingt: andere Ressourcenlage, Gesundheitssystem-Kontext unterscheidet sich grundlegend</w:t>
      </w:r>
    </w:p>
    <w:p>
      <w:r>
        <w:rPr>
          <w:color w:val="5A7D3A"/>
          <w:sz w:val="18"/>
        </w:rPr>
        <w:t>https://pubmed.ncbi.nlm.nih.gov/42870268/</w:t>
      </w:r>
    </w:p>
    <w:p>
      <w:pPr>
        <w:pStyle w:val="Heading1"/>
      </w:pPr>
      <w:r>
        <w:t>Aufgenommen am 16.10.2026</w:t>
      </w:r>
    </w:p>
    <w:p>
      <w:pPr>
        <w:pStyle w:val="Heading2"/>
      </w:pPr>
      <w:r>
        <w:t>Medizinische Kunstfehlerfälle in Katalonien: 22 Jahre Trends</w:t>
      </w:r>
    </w:p>
    <w:p>
      <w:r>
        <w:rPr>
          <w:i/>
          <w:color w:val="666666"/>
          <w:sz w:val="18"/>
        </w:rPr>
        <w:t>Arimany-Manso J et al.  ·  Health Policy  ·  13.10.2026  ·  PMID 42879821</w:t>
      </w:r>
    </w:p>
    <w:p>
      <w:r>
        <w:t>Retrospektive Analyse von 22 Jahren Kunstfehlermeldungen im katalanischen Versicherungssystem mit Fokus auf Trends und Unterschiede zwischen Fachbereichen.</w:t>
      </w:r>
    </w:p>
    <w:p>
      <w:r>
        <w:rPr>
          <w:b/>
        </w:rPr>
        <w:t xml:space="preserve">Ergebnis: </w:t>
      </w:r>
      <w:r>
        <w:t>Bei 22 % Bevölkerungswachstum sanken Kunstfehlerfälle um 9,5 %, adjustierte Raten sogar um 26,1 % (p &lt; 0,0005). Chirurgische Fälle fielen um 34,0 %, Notfallmedizin um 20,5 %; mittlere Latenz zwischen Ereignis und Anspruch: 23,9 Monate. Dies widerspricht der Wahrnehmung steigender Fälle.</w:t>
      </w:r>
    </w:p>
    <w:p>
      <w:r>
        <w:rPr>
          <w:b/>
          <w:sz w:val="19"/>
        </w:rPr>
        <w:t xml:space="preserve">Übertragbarkeit: </w:t>
      </w:r>
      <w:r>
        <w:rPr>
          <w:sz w:val="19"/>
        </w:rPr>
        <w:t>Katalonisches Versicherungsmodell, vergleichbar mit deutschen Strukturen und Sozialversicherungen</w:t>
      </w:r>
    </w:p>
    <w:p>
      <w:r>
        <w:rPr>
          <w:color w:val="5A7D3A"/>
          <w:sz w:val="18"/>
        </w:rPr>
        <w:t>https://pubmed.ncbi.nlm.nih.gov/42879821/</w:t>
      </w:r>
    </w:p>
    <w:p>
      <w:pPr>
        <w:pStyle w:val="Heading2"/>
      </w:pPr>
      <w:r>
        <w:t>Langzeiteffekte von Community-Screening auf kardiovaskuläres Risiko und Verhalten</w:t>
      </w:r>
    </w:p>
    <w:p>
      <w:r>
        <w:rPr>
          <w:i/>
          <w:color w:val="666666"/>
          <w:sz w:val="18"/>
        </w:rPr>
        <w:t>Gani LU et al.  ·  Singapore Med J  ·  15.10.2026  ·  PMID 42879299</w:t>
      </w:r>
    </w:p>
    <w:p>
      <w:r>
        <w:t>Achtjährige Beobachtungsstudie (2011–2019): 28.565 Teilnehmer an ECHO-Screening; Auswertung der Auswirkungen auf Risikofaktoren, Arztbesuche und Gesundheitsverhalten.</w:t>
      </w:r>
    </w:p>
    <w:p>
      <w:r>
        <w:rPr>
          <w:b/>
        </w:rPr>
        <w:t xml:space="preserve">Ergebnis: </w:t>
      </w:r>
      <w:r>
        <w:t>12.762 Personen beim Screening teilgenommen, 5.977 (46,8 %) hatten abnorme Befunde; 56 % besuchten Hausarzt innerhalb eines Jahres. Bewohner von kostengünstigen Wohnungen zeigten höhere Besuchsraten (74 % vs. 52,5 %, p &lt; 0,001). Wiederholte ECHO-Teilnahme war mit verbesserten kardiomet. Indikatoren assoziiert trotz bescheidener Verhaltensänderungen.</w:t>
      </w:r>
    </w:p>
    <w:p>
      <w:r>
        <w:rPr>
          <w:b/>
          <w:sz w:val="19"/>
        </w:rPr>
        <w:t xml:space="preserve">Übertragbarkeit: </w:t>
      </w:r>
      <w:r>
        <w:rPr>
          <w:sz w:val="19"/>
        </w:rPr>
        <w:t>Singapur, vergleichbare Mehrschichtstruktur; Befunde zu niederschwelligem Screening in Gemeinden übertragbar</w:t>
      </w:r>
    </w:p>
    <w:p>
      <w:r>
        <w:rPr>
          <w:color w:val="5A7D3A"/>
          <w:sz w:val="18"/>
        </w:rPr>
        <w:t>https://pubmed.ncbi.nlm.nih.gov/42879299/</w:t>
      </w:r>
    </w:p>
    <w:p>
      <w:pPr>
        <w:pStyle w:val="Heading2"/>
      </w:pPr>
      <w:r>
        <w:t>Telehealth bei Morbus Parkinson: Urbane vs. ländliche Disparitäten</w:t>
      </w:r>
    </w:p>
    <w:p>
      <w:r>
        <w:rPr>
          <w:i/>
          <w:color w:val="666666"/>
          <w:sz w:val="18"/>
        </w:rPr>
        <w:t>Gros P et al.  ·  Can J Neurol Sci  ·  15.10.2026  ·  PMID 42878209</w:t>
      </w:r>
    </w:p>
    <w:p>
      <w:r>
        <w:t>Populationsgestützte Querschnittsstudie von 24.736 Patienten mit Parkinson in Ontario (März 2020–August 2023) zur Telehealth-Nutzung in Stadt vs. Land.</w:t>
      </w:r>
    </w:p>
    <w:p>
      <w:r>
        <w:rPr>
          <w:b/>
        </w:rPr>
        <w:t xml:space="preserve">Ergebnis: </w:t>
      </w:r>
      <w:r>
        <w:t>Ländliche Patienten hatten signifikant niedrigere Telehealth-Raten zu Neurologen (aRR 0,93; 95%-KI 0,90–0,96), Hausärzten (aRR 0,73; 95%-KI 0,70–0,77) und Geriatrie/Psychiatrie (aRR 0,67; 95%-KI 0,65–0,77). Telehealth fiel über 3,5 Jahre bei Neurologen auf aRR 0,23, bei Hausärzten auf aRR 0,39.</w:t>
      </w:r>
    </w:p>
    <w:p>
      <w:r>
        <w:rPr>
          <w:b/>
          <w:sz w:val="19"/>
        </w:rPr>
        <w:t xml:space="preserve">Übertragbarkeit: </w:t>
      </w:r>
      <w:r>
        <w:rPr>
          <w:sz w:val="19"/>
        </w:rPr>
        <w:t>Kanada, steuerfinanziert; Befunde zu Zugangsungleichheit sind systemunabhängig relevant</w:t>
      </w:r>
    </w:p>
    <w:p>
      <w:r>
        <w:rPr>
          <w:color w:val="5A7D3A"/>
          <w:sz w:val="18"/>
        </w:rPr>
        <w:t>https://pubmed.ncbi.nlm.nih.gov/42878209/</w:t>
      </w:r>
    </w:p>
    <w:p>
      <w:pPr>
        <w:pStyle w:val="Heading2"/>
      </w:pPr>
      <w:r>
        <w:t>SMS-Erinnerungen zur Zervixkrebsvorsorge: Effektivität bei Massenimplementierung</w:t>
      </w:r>
    </w:p>
    <w:p>
      <w:r>
        <w:rPr>
          <w:i/>
          <w:color w:val="666666"/>
          <w:sz w:val="18"/>
        </w:rPr>
        <w:t>Nichol B et al.  ·  Lancet Prim Care  ·  Sept. 2026  ·  PMID 42877070</w:t>
      </w:r>
    </w:p>
    <w:p>
      <w:r>
        <w:t>Rückwirkende Analyse der flächendeckenden Einführung von GP-unterstützten SMS-Erinnerungen für Zervixkrebsscreenings in London (Juni 2021–März 2024).</w:t>
      </w:r>
    </w:p>
    <w:p>
      <w:r>
        <w:rPr>
          <w:b/>
        </w:rPr>
        <w:t xml:space="preserve">Ergebnis: </w:t>
      </w:r>
      <w:r>
        <w:t>Von 3.127.759 Personen erhielten 2.112.003 (67,5 %) SMS-Erinnerungen. Teilnahmequote mit SMS: 51,7 % vs. ohne SMS: 25,0 %; Odds Ratio 3,36 (95%-KI 3,31–3,40, p &lt; 0,0001). SMS-Versand stieg Teilnahme um 1,7 Prozentpunkte.</w:t>
      </w:r>
    </w:p>
    <w:p>
      <w:r>
        <w:rPr>
          <w:b/>
          <w:sz w:val="19"/>
        </w:rPr>
        <w:t xml:space="preserve">Übertragbarkeit: </w:t>
      </w:r>
      <w:r>
        <w:rPr>
          <w:sz w:val="19"/>
        </w:rPr>
        <w:t>Britische Primärversorgung, gut übertragbar auf deutsche Screeningprogramme in der Hausarztpraxis</w:t>
      </w:r>
    </w:p>
    <w:p>
      <w:r>
        <w:rPr>
          <w:color w:val="5A7D3A"/>
          <w:sz w:val="18"/>
        </w:rPr>
        <w:t>https://pubmed.ncbi.nlm.nih.gov/42877070/</w:t>
      </w:r>
    </w:p>
    <w:p>
      <w:pPr>
        <w:pStyle w:val="Heading2"/>
      </w:pPr>
      <w:r>
        <w:t>Generationensolidarität in der Pandemie: Geschlechter- und Altersstereotype in deutschen Medien</w:t>
      </w:r>
    </w:p>
    <w:p>
      <w:r>
        <w:rPr>
          <w:i/>
          <w:color w:val="666666"/>
          <w:sz w:val="18"/>
        </w:rPr>
        <w:t>Boser EK et al.  ·  Int J Equity Health  ·  12.10.2026  ·  PMID 42875791</w:t>
      </w:r>
    </w:p>
    <w:p>
      <w:r>
        <w:t>Qualitative Inhaltsanalyse von 351 Artikeln aus zwei großen deutschen Wochenzeitungen (März 2020–Juni 2022) zur Verschränkung von Generationen-, Geschlechter- und Altersdebatten während COVID-19.</w:t>
      </w:r>
    </w:p>
    <w:p>
      <w:r>
        <w:rPr>
          <w:b/>
        </w:rPr>
        <w:t xml:space="preserve">Ergebnis: </w:t>
      </w:r>
      <w:r>
        <w:t>Mediendebatten zeigten Verwobenheit von Altersrassismus und Geschlechternormen. Zwei paradigmatische Fälle offenbarten persistente geschlechts- und altersspezifische Annahmen über Moralakteure und Solidaritätserwartungen. Festgestellte gendered age divide widerlegt simplistische Solidaritätsnarrative und bekräftigt Notwendigkeit intersektionaler Perspektiven.</w:t>
      </w:r>
    </w:p>
    <w:p>
      <w:r>
        <w:rPr>
          <w:b/>
          <w:sz w:val="19"/>
        </w:rPr>
        <w:t xml:space="preserve">Übertragbarkeit: </w:t>
      </w:r>
      <w:r>
        <w:rPr>
          <w:sz w:val="19"/>
        </w:rPr>
        <w:t>Deutsche Medienanalyse, direkt auf deutsches Versorgungssystem und Gesundheitspolitik anwendbar</w:t>
      </w:r>
    </w:p>
    <w:p>
      <w:r>
        <w:rPr>
          <w:color w:val="5A7D3A"/>
          <w:sz w:val="18"/>
        </w:rPr>
        <w:t>https://pubmed.ncbi.nlm.nih.gov/42875791/</w:t>
      </w:r>
    </w:p>
    <w:p>
      <w:pPr>
        <w:pStyle w:val="Heading2"/>
      </w:pPr>
      <w:r>
        <w:t>Kosteneffektivität von Rehabilitations-Follow-up zuhause statt in Einrichtungen</w:t>
      </w:r>
    </w:p>
    <w:p>
      <w:r>
        <w:rPr>
          <w:i/>
          <w:color w:val="666666"/>
          <w:sz w:val="18"/>
        </w:rPr>
        <w:t>Gamble CJ et al.  ·  Eur J Health Econ  ·  15.10.2026  ·  PMID 42875712</w:t>
      </w:r>
    </w:p>
    <w:p>
      <w:r>
        <w:t>Prospektive Kohortenstudie mit historischer Kontrolle: Vergleich von Heimrehabilitation nach verkürztem stationärem Aufenthalt versus konventioneller rein stationärer Rehabilitation (350 Patienten, 8 niederländische Zentren).</w:t>
      </w:r>
    </w:p>
    <w:p>
      <w:r>
        <w:rPr>
          <w:b/>
        </w:rPr>
        <w:t xml:space="preserve">Ergebnis: </w:t>
      </w:r>
      <w:r>
        <w:t>Incremental Effect: 0,44 Barthel-Index-Punkte (95%-KI −0,44 bis 1,31); Kosten: −€722,63 (95%-KI −€2.693,68 bis €1.248,43). Adjustierte Kosten betrugen −€654,72 pro Patient (95%-KI −€1.035,66 bis −€267,48). Better@Home erzielte vergleichbare ADL-Unabhängigkeit bei niedrigeren Kosten.</w:t>
      </w:r>
    </w:p>
    <w:p>
      <w:r>
        <w:rPr>
          <w:b/>
          <w:sz w:val="19"/>
        </w:rPr>
        <w:t xml:space="preserve">Übertragbarkeit: </w:t>
      </w:r>
      <w:r>
        <w:rPr>
          <w:sz w:val="19"/>
        </w:rPr>
        <w:t>Niederlande, Sozialversicherungssystem mit ähnlicher Versorgungsstruktur wie Deutschland</w:t>
      </w:r>
    </w:p>
    <w:p>
      <w:r>
        <w:rPr>
          <w:color w:val="5A7D3A"/>
          <w:sz w:val="18"/>
        </w:rPr>
        <w:t>https://pubmed.ncbi.nlm.nih.gov/42875712/</w:t>
      </w:r>
    </w:p>
    <w:p>
      <w:pPr>
        <w:pStyle w:val="Heading1"/>
      </w:pPr>
      <w:r>
        <w:t>Aufgenommen am 15.10.2026</w:t>
      </w:r>
    </w:p>
    <w:p>
      <w:pPr>
        <w:pStyle w:val="Heading2"/>
      </w:pPr>
      <w:r>
        <w:t>Online-Diabetesschulung in England: Langzeit-Kosteneffektivität einer kostenlosen Interventionen</w:t>
      </w:r>
    </w:p>
    <w:p>
      <w:r>
        <w:rPr>
          <w:i/>
          <w:color w:val="666666"/>
          <w:sz w:val="18"/>
        </w:rPr>
        <w:t>Paterson L et al.  ·  Diabet Med  ·  14.10.2026  ·  PMID 42875188</w:t>
      </w:r>
    </w:p>
    <w:p>
      <w:r>
        <w:t>Eine Simulation mit Routinedaten zur Kosteneffektivität eines kostenlosen Online-Schulungsprogramms für Typ-2-Diabetes in England über die gesamte Lebensspanne.</w:t>
      </w:r>
    </w:p>
    <w:p>
      <w:r>
        <w:rPr>
          <w:b/>
        </w:rPr>
        <w:t xml:space="preserve">Ergebnis: </w:t>
      </w:r>
      <w:r>
        <w:t>Modest improvement in health (0,016 QALYs), kleine Reduktion der Lebenszeit-Kosten (-4 £/Person), netto £216/Nutzer mit Cost-per-QALY von £13.192 unter dem NICE-Schwellenwert (£25.000/QALY), also kosteneffektiv.</w:t>
      </w:r>
    </w:p>
    <w:p>
      <w:r>
        <w:rPr>
          <w:b/>
          <w:sz w:val="19"/>
        </w:rPr>
        <w:t xml:space="preserve">Übertragbarkeit: </w:t>
      </w:r>
      <w:r>
        <w:rPr>
          <w:sz w:val="19"/>
        </w:rPr>
        <w:t>England, NHS-Perspektive; teilweise übertragbar auf deutsche gesetzliche Krankenversicherung bei ähnlichen Interventionskosten.</w:t>
      </w:r>
    </w:p>
    <w:p>
      <w:r>
        <w:rPr>
          <w:color w:val="5A7D3A"/>
          <w:sz w:val="18"/>
        </w:rPr>
        <w:t>https://pubmed.ncbi.nlm.nih.gov/42875188/</w:t>
      </w:r>
    </w:p>
    <w:p>
      <w:pPr>
        <w:pStyle w:val="Heading2"/>
      </w:pPr>
      <w:r>
        <w:t>Versorgungsungleichheiten bei kolorektalen Lebermetastasen in England</w:t>
      </w:r>
    </w:p>
    <w:p>
      <w:r>
        <w:rPr>
          <w:i/>
          <w:color w:val="666666"/>
          <w:sz w:val="18"/>
        </w:rPr>
        <w:t>Saito MK et al.  ·  J Cancer Policy  ·  14.10.2026  ·  PMID 42874958</w:t>
      </w:r>
    </w:p>
    <w:p>
      <w:r>
        <w:t>Analyse von Versorgungsungleichheiten in der Leberteilresektion bei synchronen/metachronen Lebermetastasen nach sozioökonomischem Status.</w:t>
      </w:r>
    </w:p>
    <w:p>
      <w:r>
        <w:rPr>
          <w:b/>
        </w:rPr>
        <w:t xml:space="preserve">Ergebnis: </w:t>
      </w:r>
      <w:r>
        <w:t>Kumulative Resektions-/Ablationsraten 8,7% (synchron) bzw. 23,5% (metachron); adjusted Ungleichheitslücke zwischen ärmster und wohlhabendster Gruppe 2,6% bei synchronen Metastasen, 1,0% bei metachronen.</w:t>
      </w:r>
    </w:p>
    <w:p>
      <w:r>
        <w:rPr>
          <w:b/>
          <w:sz w:val="19"/>
        </w:rPr>
        <w:t xml:space="preserve">Übertragbarkeit: </w:t>
      </w:r>
      <w:r>
        <w:rPr>
          <w:sz w:val="19"/>
        </w:rPr>
        <w:t>Englische Krebsregisterdaten; Befunde zur equity-gap in der Spezialisten-Zuweisung relevant für deutsche Diskussion zur Gleichheit der Krebsversorgung.</w:t>
      </w:r>
    </w:p>
    <w:p>
      <w:r>
        <w:rPr>
          <w:color w:val="5A7D3A"/>
          <w:sz w:val="18"/>
        </w:rPr>
        <w:t>https://pubmed.ncbi.nlm.nih.gov/42874958/</w:t>
      </w:r>
    </w:p>
    <w:p>
      <w:pPr>
        <w:pStyle w:val="Heading2"/>
      </w:pPr>
      <w:r>
        <w:t>Langzeitprognose zwangsweise psychiatrisch behandelter Personen in Norwegen</w:t>
      </w:r>
    </w:p>
    <w:p>
      <w:r>
        <w:rPr>
          <w:i/>
          <w:color w:val="666666"/>
          <w:sz w:val="18"/>
        </w:rPr>
        <w:t>Hofstad T et al.  ·  Lancet Psychiatry  ·  Nov. 2026  ·  PMID 42874602</w:t>
      </w:r>
    </w:p>
    <w:p>
      <w:r>
        <w:t>Nationale Registerstudie zur Langzeitprognose (Gesundheit, Kriminalität, Sozioökonomie) bei Personen mit Zwangsbetreuung, Zwangseinweisung und freiwilliger Behandlung.</w:t>
      </w:r>
    </w:p>
    <w:p>
      <w:r>
        <w:rPr>
          <w:b/>
        </w:rPr>
        <w:t xml:space="preserve">Ergebnis: </w:t>
      </w:r>
      <w:r>
        <w:t>Zwangsbetreuungsgruppen zeigten deutlich schlechtere Outcomes: Selbstschadensrisiko in Beobachtungsgruppe 12% (Frauen) vs. 5,5% (Männer); Substanzstörung 39-53%; Gewalt-/Sexualvergehen 14-37%; Invalidenrente CTOs 89-93%; 55,7% der Todesfälle durch Suizid/externe Ursachen.</w:t>
      </w:r>
    </w:p>
    <w:p>
      <w:r>
        <w:rPr>
          <w:b/>
          <w:sz w:val="19"/>
        </w:rPr>
        <w:t xml:space="preserve">Übertragbarkeit: </w:t>
      </w:r>
      <w:r>
        <w:rPr>
          <w:sz w:val="19"/>
        </w:rPr>
        <w:t>Norwegische Registerdaten, ähnlich skandinavisches Gesundheitssystem; Outcomes-Benchmarks für Versorgungsplanung relevant auch für deutsche Psychiatrie.</w:t>
      </w:r>
    </w:p>
    <w:p>
      <w:r>
        <w:rPr>
          <w:color w:val="5A7D3A"/>
          <w:sz w:val="18"/>
        </w:rPr>
        <w:t>https://pubmed.ncbi.nlm.nih.gov/42874602/</w:t>
      </w:r>
    </w:p>
    <w:p>
      <w:pPr>
        <w:pStyle w:val="Heading2"/>
      </w:pPr>
      <w:r>
        <w:t>Digitale Zwillinge und Patientenrechte: Qualitative Studie mit älteren Patienten</w:t>
      </w:r>
    </w:p>
    <w:p>
      <w:r>
        <w:rPr>
          <w:i/>
          <w:color w:val="666666"/>
          <w:sz w:val="18"/>
        </w:rPr>
        <w:t>Zhang W et al.  ·  BMC Health Serv Res  ·  27.08.2026  ·  PMID 42870264</w:t>
      </w:r>
    </w:p>
    <w:p>
      <w:r>
        <w:t>Qualitative Studie (22 Interviews) zu Perspektiven älterer Patienten (≥65 Jahren) mit chronischen Erkrankungen auf die Verwendung ihrer Daten für Virtual Models/digitale Zwillinge.</w:t>
      </w:r>
    </w:p>
    <w:p>
      <w:r>
        <w:rPr>
          <w:b/>
        </w:rPr>
        <w:t xml:space="preserve">Ergebnis: </w:t>
      </w:r>
      <w:r>
        <w:t>Fünf zentrale Themen: (1) Konzeptuelle Undurchsichtigkeit, (2) existenzielles Unbehagen vor manipulierbarem digitalen Abbild ('uncanny self'), (3) Zustimmungsinadäquanz, (4) 'trapped self' (irreversible Datenintegration), (5) Forderung nach Benachrichtigung, laufender Zustimmung, digitaler Löschung und Transparenz.</w:t>
      </w:r>
    </w:p>
    <w:p>
      <w:r>
        <w:rPr>
          <w:b/>
          <w:sz w:val="19"/>
        </w:rPr>
        <w:t xml:space="preserve">Übertragbarkeit: </w:t>
      </w:r>
      <w:r>
        <w:rPr>
          <w:sz w:val="19"/>
        </w:rPr>
        <w:t>Qualitative britische Studie (Wenzhou, China); Befunde zu Patientenperspektive auf KI-Datenverwertung systemübergreifend relevant für deutsche Governance und Ethik.</w:t>
      </w:r>
    </w:p>
    <w:p>
      <w:r>
        <w:rPr>
          <w:color w:val="5A7D3A"/>
          <w:sz w:val="18"/>
        </w:rPr>
        <w:t>https://pubmed.ncbi.nlm.nih.gov/42870264/</w:t>
      </w:r>
    </w:p>
    <w:p>
      <w:pPr>
        <w:pStyle w:val="Heading2"/>
      </w:pPr>
      <w:r>
        <w:t>Patientenwahl des Hausarztes: Kontextuelle Hindernisse in Schweden</w:t>
      </w:r>
    </w:p>
    <w:p>
      <w:r>
        <w:rPr>
          <w:i/>
          <w:color w:val="666666"/>
          <w:sz w:val="18"/>
        </w:rPr>
        <w:t>Blomberg-Ohlström C et al.  ·  BMC Health Serv Res  ·  11.10.2026  ·  PMID 42870246</w:t>
      </w:r>
    </w:p>
    <w:p>
      <w:r>
        <w:t>Qualitative Studie (18 Interviews) zu Bedingungen, die Wahlentscheidungen für Hausarztpraxen beeinflussen; Vergleich mit Wahlen von Pflege- und Schulservices.</w:t>
      </w:r>
    </w:p>
    <w:p>
      <w:r>
        <w:rPr>
          <w:b/>
        </w:rPr>
        <w:t xml:space="preserve">Ergebnis: </w:t>
      </w:r>
      <w:r>
        <w:t>Fünf Kontextfaktoren für niedrige Wahlaktivität: (1) geringe Wahlnotwendigkeit, (2) unsichtbare Anbieterunterschied, (3) Erwartung gleicher Qualität, (4) persönliche Beziehungen, (5) Kontinuität der Beziehung; weniger Informationssuche als bei anderen Dienstleistungen.</w:t>
      </w:r>
    </w:p>
    <w:p>
      <w:r>
        <w:rPr>
          <w:b/>
          <w:sz w:val="19"/>
        </w:rPr>
        <w:t xml:space="preserve">Übertragbarkeit: </w:t>
      </w:r>
      <w:r>
        <w:rPr>
          <w:sz w:val="19"/>
        </w:rPr>
        <w:t>Schwedische qualitative Studie; Befunde zu Wahl-Hürden im Hausarztsektor übertragbar auf deutsches Modell mit begrenztem Wettbewerb.</w:t>
      </w:r>
    </w:p>
    <w:p>
      <w:r>
        <w:rPr>
          <w:color w:val="5A7D3A"/>
          <w:sz w:val="18"/>
        </w:rPr>
        <w:t>https://pubmed.ncbi.nlm.nih.gov/42870246/</w:t>
      </w:r>
    </w:p>
    <w:p>
      <w:pPr>
        <w:pStyle w:val="Heading2"/>
      </w:pPr>
      <w:r>
        <w:t>Nurse-Navigation bei Krebspatienten: RCT-Ergebnisse aus Sachsen</w:t>
      </w:r>
    </w:p>
    <w:p>
      <w:r>
        <w:rPr>
          <w:i/>
          <w:color w:val="666666"/>
          <w:sz w:val="18"/>
        </w:rPr>
        <w:t>Porzig R et al.  ·  Res Health Serv Reg  ·  14.10.2026  ·  PMID 42870145</w:t>
      </w:r>
    </w:p>
    <w:p>
      <w:r>
        <w:t>Randomisierte kontrollierte Studie zur Wirkung eines 12-Monate-Nurse-Navigation-Programms (Onkolotse) auf Krankenhausaufenthalte, psychische Belastung und Kosten.</w:t>
      </w:r>
    </w:p>
    <w:p>
      <w:r>
        <w:rPr>
          <w:b/>
        </w:rPr>
        <w:t xml:space="preserve">Ergebnis: </w:t>
      </w:r>
      <w:r>
        <w:t>Hospitalisierungsrate ITT 43,9% (Intervention) vs. 51,6% (Kontrolle), n.s. (OR 0,74, 95% CI 0,45–1,20, p=0,219); HADS-Angst Δ-0,75 (n.s.), Depression Δ-0,56 (n.s.); Kosten median 14.224€ vs. 12.560€ (n.s.).</w:t>
      </w:r>
    </w:p>
    <w:p>
      <w:r>
        <w:rPr>
          <w:b/>
          <w:sz w:val="19"/>
        </w:rPr>
        <w:t xml:space="preserve">Übertragbarkeit: </w:t>
      </w:r>
      <w:r>
        <w:rPr>
          <w:sz w:val="19"/>
        </w:rPr>
        <w:t>Deutsche Studie (Sachsen, 258 Patienten, 2017–2022); direkt relevant für deutsches Versorgungssystem, dennoch unterversorgt (statistische Kraft unzureichend).</w:t>
      </w:r>
    </w:p>
    <w:p>
      <w:r>
        <w:rPr>
          <w:color w:val="5A7D3A"/>
          <w:sz w:val="18"/>
        </w:rPr>
        <w:t>https://pubmed.ncbi.nlm.nih.gov/42870145/</w:t>
      </w:r>
    </w:p>
    <w:p>
      <w:pPr>
        <w:pStyle w:val="Heading1"/>
      </w:pPr>
      <w:r>
        <w:t>Aufgenommen am 14.10.2026</w:t>
      </w:r>
    </w:p>
    <w:p>
      <w:pPr>
        <w:pStyle w:val="Heading2"/>
      </w:pPr>
      <w:r>
        <w:t>Stepped-Care-Modell für Opioidabhängige: Besserer Zugang zu Medikamenten</w:t>
      </w:r>
    </w:p>
    <w:p>
      <w:r>
        <w:rPr>
          <w:i/>
          <w:color w:val="666666"/>
          <w:sz w:val="18"/>
        </w:rPr>
        <w:t>Li H et al.  ·  Health Serv Res  ·  Okt. 2026  ·  PMID 42869778</w:t>
      </w:r>
    </w:p>
    <w:p>
      <w:r>
        <w:t>Eine US-Studie evaluierte, ob ein nationales Trainings-Programm (SCOUTT) zur Ausweitung der medikamentösen Opioidbehandlung in Primärversorgung und psychischen Gesundheitssettings bei obdacherfahrenen Veterans erfolgreicher war als reguläre Versorgung.</w:t>
      </w:r>
    </w:p>
    <w:p>
      <w:r>
        <w:rPr>
          <w:b/>
        </w:rPr>
        <w:t xml:space="preserve">Ergebnis: </w:t>
      </w:r>
      <w:r>
        <w:t>Patienten in SCOUTT-Einrichtungen erhielten signifikant häufiger Medikamentöse Opioidbehandlung (6,16 Prozentpunkte mehr jegliche MOUD, 7,16 Punkte mehr Buprenorphin; beides 95%-KI statistisch signifikant). Die Differenz-in-Differenzen-Analyse bestätigte diese Ergebnisse (7,85 bzw. 9,31 Punkte Unterschied).</w:t>
      </w:r>
    </w:p>
    <w:p>
      <w:r>
        <w:rPr>
          <w:b/>
          <w:sz w:val="19"/>
        </w:rPr>
        <w:t xml:space="preserve">Übertragbarkeit: </w:t>
      </w:r>
      <w:r>
        <w:rPr>
          <w:sz w:val="19"/>
        </w:rPr>
        <w:t>US-Veteranen-System, eingeschränkte Übertragbarkeit auf deutsche Sozialversicherung</w:t>
      </w:r>
    </w:p>
    <w:p>
      <w:r>
        <w:rPr>
          <w:color w:val="5A7D3A"/>
          <w:sz w:val="18"/>
        </w:rPr>
        <w:t>https://pubmed.ncbi.nlm.nih.gov/42869778/</w:t>
      </w:r>
    </w:p>
    <w:p>
      <w:pPr>
        <w:pStyle w:val="Heading2"/>
      </w:pPr>
      <w:r>
        <w:t>Psychische Erkrankungen nach Klinikentlassung: Familien und Profis teilen Medikamenten-Verantwortung</w:t>
      </w:r>
    </w:p>
    <w:p>
      <w:r>
        <w:rPr>
          <w:i/>
          <w:color w:val="666666"/>
          <w:sz w:val="18"/>
        </w:rPr>
        <w:t>Jeffries M et al.  ·  Soc Sci Med  ·  08.10.2026  ·  PMID 42868728</w:t>
      </w:r>
    </w:p>
    <w:p>
      <w:r>
        <w:t>Eine britische Qualitativstudie mit 34 Interviews (Patienten, Angehörige, Gesundheitsfachleute) untersuchte, welche Unterstützungsnetzwerke für sichere Medikamentenadhärenz nach psychiatrischer Klinikentlassung notwendig sind.</w:t>
      </w:r>
    </w:p>
    <w:p>
      <w:r>
        <w:rPr>
          <w:b/>
        </w:rPr>
        <w:t xml:space="preserve">Ergebnis: </w:t>
      </w:r>
      <w:r>
        <w:t>Kernfinding: Medikamentensicherheit nach Entlassung beruht stark auf Unterstützungsnetzwerken und der Medikamenten-'Arbeit' von Patienten und Angehörigen. Professionelle Gesundheitsfachleute spielen eine zentrale, aber variable und kontextabhängige Rolle. Notwendigkeit erkannt: Stärkere Anerkennung von Sozialkontakten und 'situated medicines work' für bessere Sicherheit.</w:t>
      </w:r>
    </w:p>
    <w:p>
      <w:r>
        <w:rPr>
          <w:b/>
          <w:sz w:val="19"/>
        </w:rPr>
        <w:t xml:space="preserve">Übertragbarkeit: </w:t>
      </w:r>
      <w:r>
        <w:rPr>
          <w:sz w:val="19"/>
        </w:rPr>
        <w:t>Großbritannien, NHS-System; Erkenntnisse zu Netzwerken übertragbar auf deutsche Gemeindepsychiatrie</w:t>
      </w:r>
    </w:p>
    <w:p>
      <w:r>
        <w:rPr>
          <w:color w:val="5A7D3A"/>
          <w:sz w:val="18"/>
        </w:rPr>
        <w:t>https://pubmed.ncbi.nlm.nih.gov/42868728/</w:t>
      </w:r>
    </w:p>
    <w:p>
      <w:pPr>
        <w:pStyle w:val="Heading2"/>
      </w:pPr>
      <w:r>
        <w:t>Arbeit und Therapietreue: Sozialer Zusammenhalt im Beruf fördert Adherence</w:t>
      </w:r>
    </w:p>
    <w:p>
      <w:r>
        <w:rPr>
          <w:i/>
          <w:color w:val="666666"/>
          <w:sz w:val="18"/>
        </w:rPr>
        <w:t>Aalbers E et al.  ·  PLoS One  ·  13.10.2026  ·  PMID 42868134</w:t>
      </w:r>
    </w:p>
    <w:p>
      <w:r>
        <w:t>Eine niederländische Querschnittsstudie untersuchte bei 309 berufstätigen Personen mit chronischen Erkrankungen, wie Arbeitsmerkmale (Umfang, Anforderungen, Inklusion) mit der Einhaltung von Medikamenten- und Termintreue assoziiert sind.</w:t>
      </w:r>
    </w:p>
    <w:p>
      <w:r>
        <w:rPr>
          <w:b/>
        </w:rPr>
        <w:t xml:space="preserve">Ergebnis: </w:t>
      </w:r>
      <w:r>
        <w:t>Therapietreue-Rate betrug 56 Prozent. Soziale Inklusion am Arbeitsplatz erhöhte die Adhärenz signifikant (adjustierte OR 1,50, 95%-KI 1,00-2,25, p=0,049). Moderate physische Arbeitsanforderungen waren mit niedrigerer Adhärenz assoziiert (aOR 0,49, 95%-KI 0,26-0,92, p=0,026).</w:t>
      </w:r>
    </w:p>
    <w:p>
      <w:r>
        <w:rPr>
          <w:b/>
          <w:sz w:val="19"/>
        </w:rPr>
        <w:t xml:space="preserve">Übertragbarkeit: </w:t>
      </w:r>
      <w:r>
        <w:rPr>
          <w:sz w:val="19"/>
        </w:rPr>
        <w:t>Niederlande, vergleichbares Sozialversicherungssystem mit chronisch kranker Erwerbsbevölkerung</w:t>
      </w:r>
    </w:p>
    <w:p>
      <w:r>
        <w:rPr>
          <w:color w:val="5A7D3A"/>
          <w:sz w:val="18"/>
        </w:rPr>
        <w:t>https://pubmed.ncbi.nlm.nih.gov/42868134/</w:t>
      </w:r>
    </w:p>
    <w:p>
      <w:pPr>
        <w:pStyle w:val="Heading2"/>
      </w:pPr>
      <w:r>
        <w:t>Digitale Fragebögien vor Arztbesuch: Dokumentation wird vollständiger</w:t>
      </w:r>
    </w:p>
    <w:p>
      <w:r>
        <w:rPr>
          <w:i/>
          <w:color w:val="666666"/>
          <w:sz w:val="18"/>
        </w:rPr>
        <w:t>Roemer A et al.  ·  BMC Health Serv Res  ·  09.10.2026  ·  PMID 42864663</w:t>
      </w:r>
    </w:p>
    <w:p>
      <w:r>
        <w:t>Eine deutschsprachige Pilotstudie (n=43) aus Rheumatologie, Dermatologie und Orthopädie testete, ob computergenerierte Patientenfragebögien mit standardisierter Zusammenfassung vor dem Termin die Vollständigkeit der klinischen Dokumentation verbessert.</w:t>
      </w:r>
    </w:p>
    <w:p>
      <w:r>
        <w:rPr>
          <w:b/>
        </w:rPr>
        <w:t xml:space="preserve">Ergebnis: </w:t>
      </w:r>
      <w:r>
        <w:t>Dokumentationsvollständigkeit stieg von 46,9 Prozent (Kontrolle) auf 100 Prozent (Intervention) im Median (p&lt;0,001). Alle Interventions-Patienten hatten die generierte Zusammenfassung in der Krankenakte. 95,3 Prozent der Patienten und 100 Prozent der Ärzte befürworteten das System.</w:t>
      </w:r>
    </w:p>
    <w:p>
      <w:r>
        <w:rPr>
          <w:b/>
          <w:sz w:val="19"/>
        </w:rPr>
        <w:t xml:space="preserve">Übertragbarkeit: </w:t>
      </w:r>
      <w:r>
        <w:rPr>
          <w:sz w:val="19"/>
        </w:rPr>
        <w:t>Deutsche Studienzentren, direkt anwendbar auf deutsches Versorgungssystem</w:t>
      </w:r>
    </w:p>
    <w:p>
      <w:r>
        <w:rPr>
          <w:color w:val="5A7D3A"/>
          <w:sz w:val="18"/>
        </w:rPr>
        <w:t>https://pubmed.ncbi.nlm.nih.gov/42864663/</w:t>
      </w:r>
    </w:p>
    <w:p>
      <w:pPr>
        <w:pStyle w:val="Heading2"/>
      </w:pPr>
      <w:r>
        <w:t>Hausärzte-Ausbildung: Umgang mit Unsicherheit muss trainiert werden</w:t>
      </w:r>
    </w:p>
    <w:p>
      <w:r>
        <w:rPr>
          <w:i/>
          <w:color w:val="666666"/>
          <w:sz w:val="18"/>
        </w:rPr>
        <w:t>Dreher AC et al.  ·  BMC Med Educ  ·  12.10.2026  ·  PMID 42864649</w:t>
      </w:r>
    </w:p>
    <w:p>
      <w:r>
        <w:t>Eine qualitative Studie mit 22 deutschen Hausarzt-Weiterbildungsassistenten (Heidelberg) explorierte, wie Ärzte-in-Ausbildung Unsicherheit in der Primärversorgung erleben und bewältigen.</w:t>
      </w:r>
    </w:p>
    <w:p>
      <w:r>
        <w:rPr>
          <w:b/>
        </w:rPr>
        <w:t xml:space="preserve">Ergebnis: </w:t>
      </w:r>
      <w:r>
        <w:t>Trainees berichten von Unsicherheit auf drei Ebenen: Selbstzweifel (intrapersonal), Patientenfaktoren (interpersonal) und Kontext (systemisch). Bewältigungsstrategien waren Abwarten, Kollegenrat, externe Quellen und Intuition. Kernaussage: Gezieltes Training für Unsicherheitsmanagement fehlt und wäre nötig.</w:t>
      </w:r>
    </w:p>
    <w:p>
      <w:r>
        <w:rPr>
          <w:b/>
          <w:sz w:val="19"/>
        </w:rPr>
        <w:t xml:space="preserve">Übertragbarkeit: </w:t>
      </w:r>
      <w:r>
        <w:rPr>
          <w:sz w:val="19"/>
        </w:rPr>
        <w:t>Deutsche Hausarzt-Weiterbildung, direkt auf deutsche Versorgung anwendbar</w:t>
      </w:r>
    </w:p>
    <w:p>
      <w:r>
        <w:rPr>
          <w:color w:val="5A7D3A"/>
          <w:sz w:val="18"/>
        </w:rPr>
        <w:t>https://pubmed.ncbi.nlm.nih.gov/42864649/</w:t>
      </w:r>
    </w:p>
    <w:p>
      <w:pPr>
        <w:pStyle w:val="Heading2"/>
      </w:pPr>
      <w:r>
        <w:t>Lebensqualität bei chronischen Wunden: Spanische Cutoff-Werte für klinische Praxis</w:t>
      </w:r>
    </w:p>
    <w:p>
      <w:r>
        <w:rPr>
          <w:i/>
          <w:color w:val="666666"/>
          <w:sz w:val="18"/>
        </w:rPr>
        <w:t>Horcajada-Reales C et al.  ·  Int Wound J  ·  Okt. 2026  ·  PMID 42830425</w:t>
      </w:r>
    </w:p>
    <w:p>
      <w:r>
        <w:t>Eine spanische Validierungsstudie (n=323 Baseline, n=197 Retest) etablierte klinisch interpretierbare Schwellenwerte und Responsivitätsmaße für das Wound-QoL-14-Instrument zur Messung von Wundassoziierter Lebensqualität.</w:t>
      </w:r>
    </w:p>
    <w:p>
      <w:r>
        <w:rPr>
          <w:b/>
        </w:rPr>
        <w:t xml:space="preserve">Ergebnis: </w:t>
      </w:r>
      <w:r>
        <w:t>Einfache Schweregrad-Klassifizierung (0-0,25 / 0,26-1,00 / 1,01-2,00 / 2,01-3,00 / 3,01-4,00) korrelierte moderat mit globaler Verankerungsfrage (polychorische Korrelation 0,653), aber geringe Übereinstimmung (41,5 Prozent Konkordanz, Krippendorffs Alfa 0,609). Smallest detectable change 0,39 Punkte vs. minimale klinisch relevante Differenz 0,53 Punkte.</w:t>
      </w:r>
    </w:p>
    <w:p>
      <w:r>
        <w:rPr>
          <w:b/>
          <w:sz w:val="19"/>
        </w:rPr>
        <w:t xml:space="preserve">Übertragbarkeit: </w:t>
      </w:r>
      <w:r>
        <w:rPr>
          <w:sz w:val="19"/>
        </w:rPr>
        <w:t>Spanien, deutschsprachiger Wundbereich; kulturell angepasste Schwellenwerte hilfreich für deutschsprachige Praxis</w:t>
      </w:r>
    </w:p>
    <w:p>
      <w:r>
        <w:rPr>
          <w:color w:val="5A7D3A"/>
          <w:sz w:val="18"/>
        </w:rPr>
        <w:t>https://pubmed.ncbi.nlm.nih.gov/42830425/</w:t>
      </w:r>
    </w:p>
    <w:p>
      <w:pPr>
        <w:pStyle w:val="Heading1"/>
      </w:pPr>
      <w:r>
        <w:t>Aufgenommen am 13.10.2026</w:t>
      </w:r>
    </w:p>
    <w:p>
      <w:pPr>
        <w:pStyle w:val="Heading2"/>
      </w:pPr>
      <w:r>
        <w:t>Ambulante Versorgungspfade vor Sepsishospitalisierung</w:t>
      </w:r>
    </w:p>
    <w:p>
      <w:r>
        <w:rPr>
          <w:i/>
          <w:color w:val="666666"/>
          <w:sz w:val="18"/>
        </w:rPr>
        <w:t>Storch J et al.  ·  Infection  ·  12.10.2026  ·  PMID 42862469</w:t>
      </w:r>
    </w:p>
    <w:p>
      <w:r>
        <w:t>Bevölkerungsbasierte Analyse deutscher Versichertendaten zu ambulanten Kontakten vor stationärer Sepsisaufnahme: 61,8 % hatten nur ambulante Versorgung, 12,7 % Notfallversorgung, 25,5 % keine Kontakte in der Woche vor Hospitalisierung.</w:t>
      </w:r>
    </w:p>
    <w:p>
      <w:r>
        <w:rPr>
          <w:b/>
        </w:rPr>
        <w:t xml:space="preserve">Ergebnis: </w:t>
      </w:r>
      <w:r>
        <w:t>Bei ambulant versorgten Patienten: durchschnittlich 2,0 Tage (SD 2,3) zwischen letztem infektionsbezogenen Kontakt und Sepsishospitalisierung; 82,3 % hatten Kontakt mit Hausarzt; nur 11,4 % erhielten Antiinfektiva-Verschreibungen. Hinweis auf Chancen zur früheren Sepsis-Erkennung in ambulanten Settings.</w:t>
      </w:r>
    </w:p>
    <w:p>
      <w:r>
        <w:rPr>
          <w:b/>
          <w:sz w:val="19"/>
        </w:rPr>
        <w:t xml:space="preserve">Übertragbarkeit: </w:t>
      </w:r>
      <w:r>
        <w:rPr>
          <w:sz w:val="19"/>
        </w:rPr>
        <w:t>Deutsche Routinedaten (AOK) mit 238.247 Patienten, hohe Übertragbarkeit auf hiesiges Versorgungssystem</w:t>
      </w:r>
    </w:p>
    <w:p>
      <w:r>
        <w:rPr>
          <w:color w:val="5A7D3A"/>
          <w:sz w:val="18"/>
        </w:rPr>
        <w:t>https://pubmed.ncbi.nlm.nih.gov/42862469/</w:t>
      </w:r>
    </w:p>
    <w:p>
      <w:pPr>
        <w:pStyle w:val="Heading2"/>
      </w:pPr>
      <w:r>
        <w:t>Beteiligung älterer Menschen mit Sturztrauma in Forschung</w:t>
      </w:r>
    </w:p>
    <w:p>
      <w:r>
        <w:rPr>
          <w:i/>
          <w:color w:val="666666"/>
          <w:sz w:val="18"/>
        </w:rPr>
        <w:t>Reeck N et al.  ·  Health Expect  ·  Okt. 2026  ·  PMID 42861438</w:t>
      </w:r>
    </w:p>
    <w:p>
      <w:r>
        <w:t>Qualitative Evaluationsstudie zur Partizipation von 8 älteren Personen mit Sturzererfahrung über 3 Jahre; Bewertung mit Evaluationsinstrumenten und Prozessdokumentation.</w:t>
      </w:r>
    </w:p>
    <w:p>
      <w:r>
        <w:rPr>
          <w:b/>
        </w:rPr>
        <w:t xml:space="preserve">Ergebnis: </w:t>
      </w:r>
      <w:r>
        <w:t>Kern-Befunde: Positive Atmosphäre bei Treffen, anfängliche Unklarheit über Projektzweck; Partizipatives Forschungsteam beeinflusste verschiedene Projektphasen (z.B. Fokusgruppen-Design); gesundheitsbedingte Absenzen erforderten Aufnahme von 3 neuen Teilnehmern; Kontextfaktoren (Infrastruktur) unterstützend, aber verbesserte Informationsstrukturen nötig.</w:t>
      </w:r>
    </w:p>
    <w:p>
      <w:r>
        <w:rPr>
          <w:b/>
          <w:sz w:val="19"/>
        </w:rPr>
        <w:t xml:space="preserve">Übertragbarkeit: </w:t>
      </w:r>
      <w:r>
        <w:rPr>
          <w:sz w:val="19"/>
        </w:rPr>
        <w:t>Deutsche Universität (Oldenburg), geriatrisches Setting, Methoden der Patient Engagement-Evaluierung</w:t>
      </w:r>
    </w:p>
    <w:p>
      <w:r>
        <w:rPr>
          <w:color w:val="5A7D3A"/>
          <w:sz w:val="18"/>
        </w:rPr>
        <w:t>https://pubmed.ncbi.nlm.nih.gov/42861438/</w:t>
      </w:r>
    </w:p>
    <w:p>
      <w:pPr>
        <w:pStyle w:val="Heading2"/>
      </w:pPr>
      <w:r>
        <w:t>Repräsentativität von Brustkrebs-Befragten in England</w:t>
      </w:r>
    </w:p>
    <w:p>
      <w:r>
        <w:rPr>
          <w:i/>
          <w:color w:val="666666"/>
          <w:sz w:val="18"/>
        </w:rPr>
        <w:t>Blacker S et al.  ·  BMJ Open  ·  09.10.2026  ·  PMID 42855234</w:t>
      </w:r>
    </w:p>
    <w:p>
      <w:r>
        <w:t>Kohortenstudie mit Datenverknüpfung von nationaler Patientenerfahrungsbefragung mit Krebsregister zur Beurteilung der Selektionsbias bei Rücklaufquoten.</w:t>
      </w:r>
    </w:p>
    <w:p>
      <w:r>
        <w:rPr>
          <w:b/>
        </w:rPr>
        <w:t xml:space="preserve">Ergebnis: </w:t>
      </w:r>
      <w:r>
        <w:t>Linked Analyse von 71.640 Brustkrebs-Patientinnen zeigte, welche Charakteristika mit Rücklauf assoziiert waren; Identifikation systemischer Unterschiede zwischen Respondern und Nicht-Respondern für informierte Bias-Interpretation in zukünftigen Experience-Surveys.</w:t>
      </w:r>
    </w:p>
    <w:p>
      <w:r>
        <w:rPr>
          <w:b/>
          <w:sz w:val="19"/>
        </w:rPr>
        <w:t xml:space="preserve">Übertragbarkeit: </w:t>
      </w:r>
      <w:r>
        <w:rPr>
          <w:sz w:val="19"/>
        </w:rPr>
        <w:t>Methodische Versorgungsforschung, NHS-Daten, Sampling-Fragen auch in Deutschland relevant</w:t>
      </w:r>
    </w:p>
    <w:p>
      <w:r>
        <w:rPr>
          <w:color w:val="5A7D3A"/>
          <w:sz w:val="18"/>
        </w:rPr>
        <w:t>https://pubmed.ncbi.nlm.nih.gov/42855234/</w:t>
      </w:r>
    </w:p>
    <w:p>
      <w:pPr>
        <w:pStyle w:val="Heading2"/>
      </w:pPr>
      <w:r>
        <w:t>Labor-Phänotypen nach Reanimation und Mortalität</w:t>
      </w:r>
    </w:p>
    <w:p>
      <w:r>
        <w:rPr>
          <w:i/>
          <w:color w:val="666666"/>
          <w:sz w:val="18"/>
        </w:rPr>
        <w:t>Liu X et al.  ·  Resuscitation  ·  09.10.2026  ·  PMID 42855036</w:t>
      </w:r>
    </w:p>
    <w:p>
      <w:r>
        <w:t>Nationale 10-Jahres-Kohortenstudie aus Singapur (1514 reanimierte Patienten) mit Latent-Class-Analyse von 14 Laborvariablen innerhalb 6 Stunden nach ROSC zur Vorhersage neurologischer Outcomes.</w:t>
      </w:r>
    </w:p>
    <w:p>
      <w:r>
        <w:rPr>
          <w:b/>
        </w:rPr>
        <w:t xml:space="preserve">Ergebnis: </w:t>
      </w:r>
      <w:r>
        <w:t>Drei prognostisch distinkte Phänotypen identifiziert: Multi-Organ-Dysfunktion (MOD, N=286), Homeostase (HOM, N=967), Immun-Dysregulation (IMD, N=261). HOM und IMD hatten niedrigere Odds für schlechte neurologische Erholung vs. MOD (aOR 0,50 bzw. 0,46, p≤0,004). Unterschiede auch für 30-Tage- und 3-Jahres-Mortalität signifikant (aHR 0,71–0,78).</w:t>
      </w:r>
    </w:p>
    <w:p>
      <w:r>
        <w:rPr>
          <w:b/>
          <w:sz w:val="19"/>
        </w:rPr>
        <w:t xml:space="preserve">Übertragbarkeit: </w:t>
      </w:r>
      <w:r>
        <w:rPr>
          <w:sz w:val="19"/>
        </w:rPr>
        <w:t>Nationale Kohortendaten Singapur, externe Validierung erforderlich, Laborbiomarker systemunabhängig</w:t>
      </w:r>
    </w:p>
    <w:p>
      <w:r>
        <w:rPr>
          <w:color w:val="5A7D3A"/>
          <w:sz w:val="18"/>
        </w:rPr>
        <w:t>https://pubmed.ncbi.nlm.nih.gov/42855036/</w:t>
      </w:r>
    </w:p>
    <w:p>
      <w:pPr>
        <w:pStyle w:val="Heading2"/>
      </w:pPr>
      <w:r>
        <w:t>Infektionsrisiko unter Rituximab-Therapie bei MS</w:t>
      </w:r>
    </w:p>
    <w:p>
      <w:r>
        <w:rPr>
          <w:i/>
          <w:color w:val="666666"/>
          <w:sz w:val="18"/>
        </w:rPr>
        <w:t>Pihl-Jensen G et al.  ·  Neurol Clin Pract  ·  08.10.2026  ·  PMID 42854181</w:t>
      </w:r>
    </w:p>
    <w:p>
      <w:r>
        <w:t>Norwegische national-weite Beobachtungsstudie (Verknüpfung Gesundheitsregister mit MS-Registry 2010–Juni 2022) bei 3.410 MS-Patienten zu Infektionsrisiko unter Rituximab nach Dosierungsintervall und Alter.</w:t>
      </w:r>
    </w:p>
    <w:p>
      <w:r>
        <w:rPr>
          <w:b/>
        </w:rPr>
        <w:t xml:space="preserve">Ergebnis: </w:t>
      </w:r>
      <w:r>
        <w:t>13.774 Infektionen auf 13.811 Behandlungsepisoden. Verlängerte Dosierungsintervalle assoziiert mit niedrigerem Gesamtinfektionsrisiko: 2 vs. 4 Infusionen/2 Jahre HR 0,90 (95% CI 0,82–0,99); 1 Infusion HR 0,78 (0,69–0,88). Krankenhaus-Infektionen: nur HR 0,68 (0,59–0,79) für 1 vs. 4 Infusionen. Alter ≥60 Jahre HR 1,36 (1,07–1,71) für Klinik-Infektionen.</w:t>
      </w:r>
    </w:p>
    <w:p>
      <w:r>
        <w:rPr>
          <w:b/>
          <w:sz w:val="19"/>
        </w:rPr>
        <w:t xml:space="preserve">Übertragbarkeit: </w:t>
      </w:r>
      <w:r>
        <w:rPr>
          <w:sz w:val="19"/>
        </w:rPr>
        <w:t>Norwegen (skandinavisches Versorgungssystem), Behandlungs-Effektivität und Sicherheit grundsätzlich transferabel</w:t>
      </w:r>
    </w:p>
    <w:p>
      <w:r>
        <w:rPr>
          <w:color w:val="5A7D3A"/>
          <w:sz w:val="18"/>
        </w:rPr>
        <w:t>https://pubmed.ncbi.nlm.nih.gov/42854181/</w:t>
      </w:r>
    </w:p>
    <w:p>
      <w:pPr>
        <w:pStyle w:val="Heading2"/>
      </w:pPr>
      <w:r>
        <w:t>Postpartales Medicaid-Coverage und Mütter-Erfahrungen</w:t>
      </w:r>
    </w:p>
    <w:p>
      <w:r>
        <w:rPr>
          <w:i/>
          <w:color w:val="666666"/>
          <w:sz w:val="18"/>
        </w:rPr>
        <w:t>Raffa BJ et al.  ·  JAMA Netw Open  ·  01.10.2026  ·  PMID 42853565</w:t>
      </w:r>
    </w:p>
    <w:p>
      <w:r>
        <w:t>Qualitative Studie mit 16 Müttern (semistrukturierte Interviews, April–Oktober 2025) in Nordkarolina zur Erfahrung mit erweitertem postpartalen Medicaid-Coverage (60 Tage auf 12 Monate).</w:t>
      </w:r>
    </w:p>
    <w:p>
      <w:r>
        <w:rPr>
          <w:b/>
        </w:rPr>
        <w:t xml:space="preserve">Ergebnis: </w:t>
      </w:r>
      <w:r>
        <w:t>Fünf Hauptthemen: Verwirrung um Coverage, Medicaid ermöglicht Versorgungszugang, psychische Gesundheit kritisch im postpartalen Zeitfenster, reduzierter finanzischer Stress mit verbesserter Familiendynamik, Medicaid verhindert Versorgungsverzicht. Bewusstsein über Policy-Änderungen war Schlüssel für Nutzen.</w:t>
      </w:r>
    </w:p>
    <w:p>
      <w:r>
        <w:rPr>
          <w:b/>
          <w:sz w:val="19"/>
        </w:rPr>
        <w:t xml:space="preserve">Übertragbarkeit: </w:t>
      </w:r>
      <w:r>
        <w:rPr>
          <w:sz w:val="19"/>
        </w:rPr>
        <w:t>Nur bedingt: US-Medicaid-System, andere Finanzierungslogik als deutsche gesetzliche Versicherung</w:t>
      </w:r>
    </w:p>
    <w:p>
      <w:r>
        <w:rPr>
          <w:color w:val="5A7D3A"/>
          <w:sz w:val="18"/>
        </w:rPr>
        <w:t>https://pubmed.ncbi.nlm.nih.gov/42853565/</w:t>
      </w:r>
    </w:p>
    <w:p>
      <w:pPr>
        <w:pStyle w:val="Heading1"/>
      </w:pPr>
      <w:r>
        <w:t>Aufgenommen am 12.10.2026</w:t>
      </w:r>
    </w:p>
    <w:p>
      <w:pPr>
        <w:pStyle w:val="Heading2"/>
      </w:pPr>
      <w:r>
        <w:t>Operative Wartezeiten bei Nierenzellkarzinom in England</w:t>
      </w:r>
    </w:p>
    <w:p>
      <w:r>
        <w:rPr>
          <w:i/>
          <w:color w:val="666666"/>
          <w:sz w:val="18"/>
        </w:rPr>
        <w:t>Varma R et al.  ·  BJU Int  ·  11.10.2026  ·  PMID 42860314</w:t>
      </w:r>
    </w:p>
    <w:p>
      <w:r>
        <w:t>Studie zu Wartezeiten auf operative Behandlung bei Patienten mit hochrisiko- und niedrigrisiko-Nierenzellkarzinom in England, 2019–2023.</w:t>
      </w:r>
    </w:p>
    <w:p>
      <w:r>
        <w:rPr>
          <w:b/>
        </w:rPr>
        <w:t xml:space="preserve">Ergebnis: </w:t>
      </w:r>
      <w:r>
        <w:t>Anteil zeitnaher Operationen (≤31 Tage) sank bei hochrisiko-RCC von 83,7% (2019) auf 64,8% (2023), bei niedrigrisiko-RCC von 71,3% auf 47,6%. Verlängerte Verzögerungen (&gt;62 Tage) verdoppelten sich von 3,9% auf 9,4%. Hochrisiko-Patienten wurden bevorzugt (73,6% vs. 58,2%, adjustierte RR 1,26, KI 1,22–1,31).</w:t>
      </w:r>
    </w:p>
    <w:p>
      <w:r>
        <w:rPr>
          <w:b/>
          <w:sz w:val="19"/>
        </w:rPr>
        <w:t xml:space="preserve">Übertragbarkeit: </w:t>
      </w:r>
      <w:r>
        <w:rPr>
          <w:sz w:val="19"/>
        </w:rPr>
        <w:t>England, NHS-System mit anderen Zugangsstrukturen, aber versorgungsnahe Frage zur chirurgischen Kapazität</w:t>
      </w:r>
    </w:p>
    <w:p>
      <w:r>
        <w:rPr>
          <w:color w:val="5A7D3A"/>
          <w:sz w:val="18"/>
        </w:rPr>
        <w:t>https://pubmed.ncbi.nlm.nih.gov/42860314/</w:t>
      </w:r>
    </w:p>
    <w:p>
      <w:pPr>
        <w:pStyle w:val="Heading2"/>
      </w:pPr>
      <w:r>
        <w:t>Palliativbetreuung in der ambulanten Nephrologie: Wissen und Kommunikation</w:t>
      </w:r>
    </w:p>
    <w:p>
      <w:r>
        <w:rPr>
          <w:i/>
          <w:color w:val="666666"/>
          <w:sz w:val="18"/>
        </w:rPr>
        <w:t>Joshi M et al.  ·  BMC Nephrol  ·  09.10.2026  ·  PMID 42859148</w:t>
      </w:r>
    </w:p>
    <w:p>
      <w:r>
        <w:t>Qualitative und quantitative Studie zu Integration von Palliativbetreuung in deutschen Nephologie-Ambulanzen mittels Befragung und Interviews von 52 Fachkräften sowie 13 Tiefeninterviews.</w:t>
      </w:r>
    </w:p>
    <w:p>
      <w:r>
        <w:rPr>
          <w:b/>
        </w:rPr>
        <w:t xml:space="preserve">Ergebnis: </w:t>
      </w:r>
      <w:r>
        <w:t>Nur etwa die Hälfte der Fachkräfte äußerte Konfidenz in der Identifikation von Patienten mit Palliativbedarf. Gespräche über Behandlungspräferenzen und Vorausplanung fanden inkonsistent statt; Diskussionen über Sterbeort waren selten. Schulung erhöhte das Bewusstsein, strukturelle Barrieren (Zeitdruck, Behandlungsfokus) behinderten aber die Umsetzung.</w:t>
      </w:r>
    </w:p>
    <w:p>
      <w:r>
        <w:rPr>
          <w:b/>
          <w:sz w:val="19"/>
        </w:rPr>
        <w:t xml:space="preserve">Übertragbarkeit: </w:t>
      </w:r>
      <w:r>
        <w:rPr>
          <w:sz w:val="19"/>
        </w:rPr>
        <w:t>Deutsche Studie, ambulante Nephrologiepraxen und Krankenhausambulanzen</w:t>
      </w:r>
    </w:p>
    <w:p>
      <w:r>
        <w:rPr>
          <w:color w:val="5A7D3A"/>
          <w:sz w:val="18"/>
        </w:rPr>
        <w:t>https://pubmed.ncbi.nlm.nih.gov/42859148/</w:t>
      </w:r>
    </w:p>
    <w:p>
      <w:pPr>
        <w:pStyle w:val="Heading2"/>
      </w:pPr>
      <w:r>
        <w:t>Epidemiologie entzündlicher rheumatischer Erkrankungen in Deutschland</w:t>
      </w:r>
    </w:p>
    <w:p>
      <w:r>
        <w:rPr>
          <w:i/>
          <w:color w:val="666666"/>
          <w:sz w:val="18"/>
        </w:rPr>
        <w:t>Albrecht K et al.  ·  EULAR Rheumatol Open  ·  09.07.2026  ·  PMID 42857317</w:t>
      </w:r>
    </w:p>
    <w:p>
      <w:r>
        <w:t>Systematische Übersicht zur Prävalenz und Inzidenz von 11 entzündlichen rheumatischen Erkrankungen in Deutschland und Europa (2013–aktuell) für Personalbedarfsplanung.</w:t>
      </w:r>
    </w:p>
    <w:p>
      <w:r>
        <w:rPr>
          <w:b/>
        </w:rPr>
        <w:t xml:space="preserve">Ergebnis: </w:t>
      </w:r>
      <w:r>
        <w:t>Geschätzte Prävalenz pro 100.000: rheumatoide Arthritis 1.000, Polymyalgia rheumatica 600 (&gt;50 Jahre), axiale Spondylarthritis 300, psoriasis-Arthritis 300, Riesenzellarteriitis 146 (&gt;50 Jahre), primäres Sjögren 70, systemischer Lupus erythematodes 56, systemische Sklerose 35, idiopathische entzündliche Myopathien 17, ANCA-assoziierte Vaskulitiden 26, Behçet 4,7. Gesamtprävalenz entzündlicher rheumatischer Erkrankungen in Deutschland: 2,6% (1,8 Mio. Erwachsene), jährliche Inzidenz 0,2% (130.000 Erwachsene).</w:t>
      </w:r>
    </w:p>
    <w:p>
      <w:r>
        <w:rPr>
          <w:b/>
          <w:sz w:val="19"/>
        </w:rPr>
        <w:t xml:space="preserve">Übertragbarkeit: </w:t>
      </w:r>
      <w:r>
        <w:rPr>
          <w:sz w:val="19"/>
        </w:rPr>
        <w:t>Deutsche Studie mit deutschen Daten und Schätzungen, direkt anwendbar für Versorgungsplanung</w:t>
      </w:r>
    </w:p>
    <w:p>
      <w:r>
        <w:rPr>
          <w:color w:val="5A7D3A"/>
          <w:sz w:val="18"/>
        </w:rPr>
        <w:t>https://pubmed.ncbi.nlm.nih.gov/42857317/</w:t>
      </w:r>
    </w:p>
    <w:p>
      <w:pPr>
        <w:pStyle w:val="Heading2"/>
      </w:pPr>
      <w:r>
        <w:t>Rolle von Ernährungsfachkräften in Langzeitpflegeeinrichtungen</w:t>
      </w:r>
    </w:p>
    <w:p>
      <w:r>
        <w:rPr>
          <w:i/>
          <w:color w:val="666666"/>
          <w:sz w:val="18"/>
        </w:rPr>
        <w:t>Bartrim K et al.  ·  Health Policy  ·  20.09.2026  ·  PMID 42849156</w:t>
      </w:r>
    </w:p>
    <w:p>
      <w:r>
        <w:t>Dokumentenanalyse der Rolle von Ernährungsfachkräften in Langzeitpflegeangeboten in 68 Ländern basierend auf Regelwerke, Standards und Leitlinien.</w:t>
      </w:r>
    </w:p>
    <w:p>
      <w:r>
        <w:rPr>
          <w:b/>
        </w:rPr>
        <w:t xml:space="preserve">Ergebnis: </w:t>
      </w:r>
      <w:r>
        <w:t>Von 68 Ländern hatten 37 (54%) mindestens ein Dokument zu Ernährungsfachkräften in Langzeitpflege. Japan war einziges Land mit allen vier Dokumenttypen; Australien, Türkiye und Nordirland hatten je drei. 14 Themenbereiche identifiziert, u.a. Ernährungsscreening, Speiseplanung, multiprofessionelle Zusammenarbeit. Große globale Unterschiede in Regelungen und anerkannten Rollen.</w:t>
      </w:r>
    </w:p>
    <w:p>
      <w:r>
        <w:rPr>
          <w:b/>
          <w:sz w:val="19"/>
        </w:rPr>
        <w:t xml:space="preserve">Übertragbarkeit: </w:t>
      </w:r>
      <w:r>
        <w:rPr>
          <w:sz w:val="19"/>
        </w:rPr>
        <w:t>Vergleichende Analyse, auf Deutschland begrenzt übertragbar, aufgrund von Unterschieden in Regulierung und Systemstruktur</w:t>
      </w:r>
    </w:p>
    <w:p>
      <w:r>
        <w:rPr>
          <w:color w:val="5A7D3A"/>
          <w:sz w:val="18"/>
        </w:rPr>
        <w:t>https://pubmed.ncbi.nlm.nih.gov/42849156/</w:t>
      </w:r>
    </w:p>
    <w:p>
      <w:pPr>
        <w:pStyle w:val="Heading2"/>
      </w:pPr>
      <w:r>
        <w:t>Kardio-metabole Ergebnisse eines Wellness-Programms auf dem Land</w:t>
      </w:r>
    </w:p>
    <w:p>
      <w:r>
        <w:rPr>
          <w:i/>
          <w:color w:val="666666"/>
          <w:sz w:val="18"/>
        </w:rPr>
        <w:t>Baus A et al.  ·  J Prim Care Community Health  ·  08.10.2026  ·  PMID 42849056</w:t>
      </w:r>
    </w:p>
    <w:p>
      <w:r>
        <w:t>Retrospektive Evaluation eines krankenhausgestützten Wellness-Programms in West Virginia mit 585 aktiven Teilnehmern zur Kardio-metabolischen Gesundheit.</w:t>
      </w:r>
    </w:p>
    <w:p>
      <w:r>
        <w:rPr>
          <w:b/>
        </w:rPr>
        <w:t xml:space="preserve">Ergebnis: </w:t>
      </w:r>
      <w:r>
        <w:t>Bei gepaarten Analysen: Taillenumfang reduziert um 0,19 Inch (KI −0,34 bis −0,03; p=0,0174), diastolischer Blutdruck um 3,38 mmHg (KI −4,54 bis −2,21; p&lt;0,0001). Bei 56 Diabetespatienten mit HbA1c-Messungen: Reduktion um 0,25 Prozentpunkte (KI −0,44 bis −0,06; p=0,0106), bei initial HbA1c ≥7,0% (n=23) um 0,65 Punkte (KI −1,00 bis −0,29; p=0,0010).</w:t>
      </w:r>
    </w:p>
    <w:p>
      <w:r>
        <w:rPr>
          <w:b/>
          <w:sz w:val="19"/>
        </w:rPr>
        <w:t xml:space="preserve">Übertragbarkeit: </w:t>
      </w:r>
      <w:r>
        <w:rPr>
          <w:sz w:val="19"/>
        </w:rPr>
        <w:t>USA, ländliches Setting, aber Fragestellung zu lokalen Wellness-Modellen systemunabhängig relevant</w:t>
      </w:r>
    </w:p>
    <w:p>
      <w:r>
        <w:rPr>
          <w:color w:val="5A7D3A"/>
          <w:sz w:val="18"/>
        </w:rPr>
        <w:t>https://pubmed.ncbi.nlm.nih.gov/42849056/</w:t>
      </w:r>
    </w:p>
    <w:p>
      <w:pPr>
        <w:pStyle w:val="Heading2"/>
      </w:pPr>
      <w:r>
        <w:t>Einzelitemmessungen zu Nebenwirkungsbelastung bei Krebspatienten</w:t>
      </w:r>
    </w:p>
    <w:p>
      <w:r>
        <w:rPr>
          <w:i/>
          <w:color w:val="666666"/>
          <w:sz w:val="18"/>
        </w:rPr>
        <w:t>Jones T et al.  ·  Eur J Cancer  ·  04.10.2026  ·  PMID 42843209</w:t>
      </w:r>
    </w:p>
    <w:p>
      <w:r>
        <w:t>Systematische Übersichtsarbeit zu Einsatz, psychometrischen Eigenschaften und klinischer Validität von Einzelitemmessungen der wahrgenommenen Nebenwirkungsbelastung in Krebsstudien (67 Publikationen, 74 Studienregistrierungen).</w:t>
      </w:r>
    </w:p>
    <w:p>
      <w:r>
        <w:rPr>
          <w:b/>
        </w:rPr>
        <w:t xml:space="preserve">Ergebnis: </w:t>
      </w:r>
      <w:r>
        <w:t>EORTC Q168 konzentriert auf Pankreas- und Gallenwegskrebs; FACIT GP5 breiter eingesetzt. Für FACIT GP5 lagen 27 Publikationen vor mit Befunden zu Inhalts-, Konstrukt- und Diskriminanzvalidität; für Q168 nur 2 Publikationen. Inhaltliche Limitationen bleiben, besonders beim Attributieren von Symptomen zur Behandlung versus Erkrankung oder andere Faktoren.</w:t>
      </w:r>
    </w:p>
    <w:p>
      <w:r>
        <w:rPr>
          <w:b/>
          <w:sz w:val="19"/>
        </w:rPr>
        <w:t xml:space="preserve">Übertragbarkeit: </w:t>
      </w:r>
      <w:r>
        <w:rPr>
          <w:sz w:val="19"/>
        </w:rPr>
        <w:t>Übersichtsarbeit über klinische Krebsforschung, international übertragbar für Instrumentenanwendung</w:t>
      </w:r>
    </w:p>
    <w:p>
      <w:r>
        <w:rPr>
          <w:color w:val="5A7D3A"/>
          <w:sz w:val="18"/>
        </w:rPr>
        <w:t>https://pubmed.ncbi.nlm.nih.gov/42843209/</w:t>
      </w:r>
    </w:p>
    <w:p>
      <w:pPr>
        <w:pStyle w:val="Heading1"/>
      </w:pPr>
      <w:r>
        <w:t>Aufgenommen am 11.10.2026</w:t>
      </w:r>
    </w:p>
    <w:p>
      <w:pPr>
        <w:pStyle w:val="Heading2"/>
      </w:pPr>
      <w:r>
        <w:t>Transitional Care-Erfahrungen ruraler Patientinnen: Qualitativ</w:t>
      </w:r>
    </w:p>
    <w:p>
      <w:r>
        <w:rPr>
          <w:i/>
          <w:color w:val="666666"/>
          <w:sz w:val="18"/>
        </w:rPr>
        <w:t>Randolph SB et al.  ·  J Rural Health  ·  Sept. 2026  ·  PMID 42855931</w:t>
      </w:r>
    </w:p>
    <w:p>
      <w:r>
        <w:t>Qualitative Analyse von Krankenakten von 200 Veteranen (100 rural, 100 urban), die innerhalb 30 Tagen nach Krankenhausentlassung starben.</w:t>
      </w:r>
    </w:p>
    <w:p>
      <w:r>
        <w:rPr>
          <w:b/>
        </w:rPr>
        <w:t xml:space="preserve">Ergebnis: </w:t>
      </w:r>
      <w:r>
        <w:t>Drei zentrale Themen für rurale Patienten: geografische Entfernungen (längere Fahrtzeiten), Ablehnung von Homecare-Services und hohe Belastung der Betreuer. Diese Faktoren führten zu Diskordanz und Unsicherheit zwischen Patient, Team und Angehörigen.</w:t>
      </w:r>
    </w:p>
    <w:p>
      <w:r>
        <w:rPr>
          <w:b/>
          <w:sz w:val="19"/>
        </w:rPr>
        <w:t xml:space="preserve">Übertragbarkeit: </w:t>
      </w:r>
      <w:r>
        <w:rPr>
          <w:sz w:val="19"/>
        </w:rPr>
        <w:t>USA-Veteranensystem; Erkenntnisse zu Übergangsversorgung aber systemübergreifend relevant</w:t>
      </w:r>
    </w:p>
    <w:p>
      <w:r>
        <w:rPr>
          <w:color w:val="5A7D3A"/>
          <w:sz w:val="18"/>
        </w:rPr>
        <w:t>https://pubmed.ncbi.nlm.nih.gov/42855931/</w:t>
      </w:r>
    </w:p>
    <w:p>
      <w:pPr>
        <w:pStyle w:val="Heading2"/>
      </w:pPr>
      <w:r>
        <w:t>Employment instability und katastrophale Gesundheitsausgaben in Südkorea</w:t>
      </w:r>
    </w:p>
    <w:p>
      <w:r>
        <w:rPr>
          <w:i/>
          <w:color w:val="666666"/>
          <w:sz w:val="18"/>
        </w:rPr>
        <w:t>Yang JM et al.  ·  BMC Health Serv Res  ·  19.08.2026  ·  PMID 42855683</w:t>
      </w:r>
    </w:p>
    <w:p>
      <w:r>
        <w:t>Längsschnittstudie zur Assoziation zwischen Beschäftigungsstabilität und katastrophalen Gesundheitsausgaben bei koreanischen Erwachsenen ab 50 Jahren.</w:t>
      </w:r>
    </w:p>
    <w:p>
      <w:r>
        <w:rPr>
          <w:b/>
        </w:rPr>
        <w:t xml:space="preserve">Ergebnis: </w:t>
      </w:r>
      <w:r>
        <w:t>Persistierende Arbeitslosigkeit erhöhte die Odds für katastrophale Ausgaben um das 1,26-1,34-Fache (p&lt;0,05). Berufliche Übergänge in Arbeitslosigkeit zeigten ähnliche Effekte. Effekt nur in der Altersgruppe ≥50 Jahre signifikant.</w:t>
      </w:r>
    </w:p>
    <w:p>
      <w:r>
        <w:rPr>
          <w:b/>
          <w:sz w:val="19"/>
        </w:rPr>
        <w:t xml:space="preserve">Übertragbarkeit: </w:t>
      </w:r>
      <w:r>
        <w:rPr>
          <w:sz w:val="19"/>
        </w:rPr>
        <w:t>Südkorea, gesetzliche Krankenversicherung, direkter Vergleich möglich</w:t>
      </w:r>
    </w:p>
    <w:p>
      <w:r>
        <w:rPr>
          <w:color w:val="5A7D3A"/>
          <w:sz w:val="18"/>
        </w:rPr>
        <w:t>https://pubmed.ncbi.nlm.nih.gov/42855683/</w:t>
      </w:r>
    </w:p>
    <w:p>
      <w:pPr>
        <w:pStyle w:val="Heading2"/>
      </w:pPr>
      <w:r>
        <w:t>Klimabewusstsein und Öko-Angst bei Gesundheitspersonal</w:t>
      </w:r>
    </w:p>
    <w:p>
      <w:r>
        <w:rPr>
          <w:i/>
          <w:color w:val="666666"/>
          <w:sz w:val="18"/>
        </w:rPr>
        <w:t>Özdemir T et al.  ·  BMC Health Serv Res  ·  01.10.2026  ·  PMID 42850626</w:t>
      </w:r>
    </w:p>
    <w:p>
      <w:r>
        <w:t>Querschnittsstudie bei 460 Fachkräften im Gesundheitswesen zu Zusammenhängen zwischen Klimabewusstsein, Öko-Angst und Umweltsensibilität.</w:t>
      </w:r>
    </w:p>
    <w:p>
      <w:r>
        <w:rPr>
          <w:b/>
        </w:rPr>
        <w:t xml:space="preserve">Ergebnis: </w:t>
      </w:r>
      <w:r>
        <w:t>Moderate Ausprägung bei Klimabewusstsein und Umweltsensibilität; moderate Öko-Angst. Klimabewusstsein, Pflegefachkräfte-Status, Alter ≥45 Jahre und Mitgliedschaft in Umweltorganisationen waren signifikante Prädiktoren (p&lt;0,05). Ruminations-Subdimension marginal nicht-signifikant (p=0,064).</w:t>
      </w:r>
    </w:p>
    <w:p>
      <w:r>
        <w:rPr>
          <w:b/>
          <w:sz w:val="19"/>
        </w:rPr>
        <w:t xml:space="preserve">Übertragbarkeit: </w:t>
      </w:r>
      <w:r>
        <w:rPr>
          <w:sz w:val="19"/>
        </w:rPr>
        <w:t>Türkei, Gesundheitssystem mit Versorger-fokussiertem Ansatz, Health Services Research</w:t>
      </w:r>
    </w:p>
    <w:p>
      <w:r>
        <w:rPr>
          <w:color w:val="5A7D3A"/>
          <w:sz w:val="18"/>
        </w:rPr>
        <w:t>https://pubmed.ncbi.nlm.nih.gov/42850626/</w:t>
      </w:r>
    </w:p>
    <w:p>
      <w:pPr>
        <w:pStyle w:val="Heading2"/>
      </w:pPr>
      <w:r>
        <w:t>Wearable-Sensoren zur Bewegungskontrolle in geriatrischer Rehabilitation</w:t>
      </w:r>
    </w:p>
    <w:p>
      <w:r>
        <w:rPr>
          <w:i/>
          <w:color w:val="666666"/>
          <w:sz w:val="18"/>
        </w:rPr>
        <w:t>Debeij SM et al.  ·  Eur Geriatr Med  ·  06.10.2026  ·  PMID 42839204</w:t>
      </w:r>
    </w:p>
    <w:p>
      <w:r>
        <w:t>Mixed-Methods-Studie zur Nutzerfreundlichkeit und Machbarkeit eines Sensorsystems mit Rückmeldung zur Sedentarität bei geriatrischen Patienten (stationär und ambulant).</w:t>
      </w:r>
    </w:p>
    <w:p>
      <w:r>
        <w:rPr>
          <w:b/>
        </w:rPr>
        <w:t xml:space="preserve">Ergebnis: </w:t>
      </w:r>
      <w:r>
        <w:t>Machbarkeit ausreichend (hohe Adhärenz), Nutzerfreundlichkeit begrenzt. Technische Probleme (Messergenauigkeit) und Implementierungshürden (fehlende Individualisierung, unklarer Mehrwert). Teilnehmer: 26 Patienten, 9 Fachkräfte; 22 Interviews durchgeführt.</w:t>
      </w:r>
    </w:p>
    <w:p>
      <w:r>
        <w:rPr>
          <w:b/>
          <w:sz w:val="19"/>
        </w:rPr>
        <w:t xml:space="preserve">Übertragbarkeit: </w:t>
      </w:r>
      <w:r>
        <w:rPr>
          <w:sz w:val="19"/>
        </w:rPr>
        <w:t>Niederlande, Sozialversicherung, gute Übertragbarkeit auf deutsches Gesundheitswesen</w:t>
      </w:r>
    </w:p>
    <w:p>
      <w:r>
        <w:rPr>
          <w:color w:val="5A7D3A"/>
          <w:sz w:val="18"/>
        </w:rPr>
        <w:t>https://pubmed.ncbi.nlm.nih.gov/42839204/</w:t>
      </w:r>
    </w:p>
    <w:p>
      <w:pPr>
        <w:pStyle w:val="Heading2"/>
      </w:pPr>
      <w:r>
        <w:t>Rotavirus-Impfung in Vietnam: Effektivität und Kosteneffektivität</w:t>
      </w:r>
    </w:p>
    <w:p>
      <w:r>
        <w:rPr>
          <w:i/>
          <w:color w:val="666666"/>
          <w:sz w:val="18"/>
        </w:rPr>
        <w:t>Dang HTT et al.  ·  Vaccine  ·  06.10.2026  ·  PMID 42837896</w:t>
      </w:r>
    </w:p>
    <w:p>
      <w:r>
        <w:t>Modellierungsstudie zur Auswirkung und Kosteneffektivität der Rotavirus-Impfung (ROTAVIN) bei Kindern unter fünf Jahren in Vietnam.</w:t>
      </w:r>
    </w:p>
    <w:p>
      <w:r>
        <w:rPr>
          <w:b/>
        </w:rPr>
        <w:t xml:space="preserve">Ergebnis: </w:t>
      </w:r>
      <w:r>
        <w:t>Über 10 Jahre würde Impfung 97.776 Hospitalisierungen (KI 72.722–342.311) und 433 Todesfälle (KI 330–1300) verhindern. Kosten von 39,5 Mio. USD für zehn Kohorten. ICER von 982 USD pro vermiedenem DALY (Staatsperspektive); kostensparen aus Gesellschaftsperspektive mit 99% Wahrscheinlichkeit.</w:t>
      </w:r>
    </w:p>
    <w:p>
      <w:r>
        <w:rPr>
          <w:b/>
          <w:sz w:val="19"/>
        </w:rPr>
        <w:t xml:space="preserve">Übertragbarkeit: </w:t>
      </w:r>
      <w:r>
        <w:rPr>
          <w:sz w:val="19"/>
        </w:rPr>
        <w:t>Vietnams Gesundheitssystem, Sozialversicherung, hohe Übertragbarkeit auf ähnliche Kontexte</w:t>
      </w:r>
    </w:p>
    <w:p>
      <w:r>
        <w:rPr>
          <w:color w:val="5A7D3A"/>
          <w:sz w:val="18"/>
        </w:rPr>
        <w:t>https://pubmed.ncbi.nlm.nih.gov/42837896/</w:t>
      </w:r>
    </w:p>
    <w:p>
      <w:pPr>
        <w:pStyle w:val="Heading1"/>
      </w:pPr>
      <w:r>
        <w:t>Aufgenommen am 10.10.2026</w:t>
      </w:r>
    </w:p>
    <w:p>
      <w:pPr>
        <w:pStyle w:val="Heading2"/>
      </w:pPr>
      <w:r>
        <w:t>Transition in rheumatology: Versorgungslücken beim Übergang ins Erwachsenenalter</w:t>
      </w:r>
    </w:p>
    <w:p>
      <w:r>
        <w:rPr>
          <w:i/>
          <w:color w:val="666666"/>
          <w:sz w:val="18"/>
        </w:rPr>
        <w:t>Milatz F et al.  ·  Z Rheumatol  ·  09.10.2026  ·  PMID 42853413</w:t>
      </w:r>
    </w:p>
    <w:p>
      <w:r>
        <w:t>Querschnittsbefragung von 269 jungen Erwachsenen mit juveniler idiopathischer Arthritis zur Versorgungskontinuität beim Übergang von der Kinder- in die internistische Rheumatologie.</w:t>
      </w:r>
    </w:p>
    <w:p>
      <w:r>
        <w:rPr>
          <w:b/>
        </w:rPr>
        <w:t xml:space="preserve">Ergebnis: </w:t>
      </w:r>
      <w:r>
        <w:t>45% der jungen Erwachsenen erhielten fachspezifische rheumatologische Betreuung; Transitionskompetenz bei Versorgten höher (22,7 vs. 19,0; p&lt;0,001); 35% erhielten keinen zusammenfassenden Arztbericht; durchschnittlich 9,9 Monate zwischen letzter Kinder- und erster Erwachsenenvorstellung; Nicht-Versorgte erhielten seltener Basistherapie (18% vs. 63%); ~20% berichteten relevante depressive Symptome.</w:t>
      </w:r>
    </w:p>
    <w:p>
      <w:r>
        <w:rPr>
          <w:b/>
          <w:sz w:val="19"/>
        </w:rPr>
        <w:t xml:space="preserve">Übertragbarkeit: </w:t>
      </w:r>
      <w:r>
        <w:rPr>
          <w:sz w:val="19"/>
        </w:rPr>
        <w:t>Deutsche Routinedaten, gesetzlich Versicherte (Barmer)</w:t>
      </w:r>
    </w:p>
    <w:p>
      <w:r>
        <w:rPr>
          <w:color w:val="5A7D3A"/>
          <w:sz w:val="18"/>
        </w:rPr>
        <w:t>https://pubmed.ncbi.nlm.nih.gov/42853413/</w:t>
      </w:r>
    </w:p>
    <w:p>
      <w:pPr>
        <w:pStyle w:val="Heading2"/>
      </w:pPr>
      <w:r>
        <w:t>Finanzielle Anreize erhöhen Screening-Quote bei Darmkrebs</w:t>
      </w:r>
    </w:p>
    <w:p>
      <w:r>
        <w:rPr>
          <w:i/>
          <w:color w:val="666666"/>
          <w:sz w:val="18"/>
        </w:rPr>
        <w:t>Perry LM et al.  ·  Health Serv Res  ·  22.07.2025  ·  PMID 42853034</w:t>
      </w:r>
    </w:p>
    <w:p>
      <w:r>
        <w:t>Pilotversuch zur Effektivität von finanziellen Anreizen für Darmkrebsvorsorge-Screening in ländlicher US-Primärversorgung.</w:t>
      </w:r>
    </w:p>
    <w:p>
      <w:r>
        <w:rPr>
          <w:b/>
        </w:rPr>
        <w:t xml:space="preserve">Ergebnis: </w:t>
      </w:r>
      <w:r>
        <w:t>68% der Interventionsgruppe vs. 32% der Kontrollgruppe absolvierten CRC-Screening (p=0,02); 57% der interessierten Personen waren berechtigt; 94% der Berechtigten nahmen teil; durchschnittliche Teilnehmerin 52,4 Jahre alt, 70% weiblich, 42% schwarz, 24% unversichert.</w:t>
      </w:r>
    </w:p>
    <w:p>
      <w:r>
        <w:rPr>
          <w:b/>
          <w:sz w:val="19"/>
        </w:rPr>
        <w:t xml:space="preserve">Übertragbarkeit: </w:t>
      </w:r>
      <w:r>
        <w:rPr>
          <w:sz w:val="19"/>
        </w:rPr>
        <w:t>Nur bedingt: US-fragmentiertes Versicherungssystem, anderer Zugangskontext</w:t>
      </w:r>
    </w:p>
    <w:p>
      <w:r>
        <w:rPr>
          <w:color w:val="5A7D3A"/>
          <w:sz w:val="18"/>
        </w:rPr>
        <w:t>https://pubmed.ncbi.nlm.nih.gov/42853034/</w:t>
      </w:r>
    </w:p>
    <w:p>
      <w:pPr>
        <w:pStyle w:val="Heading2"/>
      </w:pPr>
      <w:r>
        <w:t>Wespenart beeinflusst Erfolg von Wespengiftimmuntherapie-Provokationen</w:t>
      </w:r>
    </w:p>
    <w:p>
      <w:r>
        <w:rPr>
          <w:i/>
          <w:color w:val="666666"/>
          <w:sz w:val="18"/>
        </w:rPr>
        <w:t>Oppel E et al.  ·  Allergol Select  ·  25.09.2026  ·  PMID 42852156</w:t>
      </w:r>
    </w:p>
    <w:p>
      <w:r>
        <w:t>Retrospektive Analyse von 1.163 Patienten unter Wespengiftimmuntherapie hinsichtlich Einflussfaktoren auf Toleranz gegenüber künstlichen Stichproben.</w:t>
      </w:r>
    </w:p>
    <w:p>
      <w:r>
        <w:rPr>
          <w:b/>
        </w:rPr>
        <w:t xml:space="preserve">Ergebnis: </w:t>
      </w:r>
      <w:r>
        <w:t>Stichproben wurden von 1.141 Patienten (98,1%) toleriert; Vespula-Arten zeigten signifikant höhere Toleranzrate als Dolichovespula-Arten (OR 7,69, 95% CI 2,66–20,43); Hauttest-Konversion (positiv→negativ bei 10 µg/mL) zeigte Trend zu verbesserter Toleranz (OR 2,26, 95% CI 0,68–11,53); in 53,2±38,5 Monaten Follow-up: 6 Systemreaktionen nach Feldstichen, keine aus Dolichovespula-Gruppe.</w:t>
      </w:r>
    </w:p>
    <w:p>
      <w:r>
        <w:rPr>
          <w:b/>
          <w:sz w:val="19"/>
        </w:rPr>
        <w:t xml:space="preserve">Übertragbarkeit: </w:t>
      </w:r>
      <w:r>
        <w:rPr>
          <w:sz w:val="19"/>
        </w:rPr>
        <w:t>Deutschland, vergleichbare allergologische Standardversorgung</w:t>
      </w:r>
    </w:p>
    <w:p>
      <w:r>
        <w:rPr>
          <w:color w:val="5A7D3A"/>
          <w:sz w:val="18"/>
        </w:rPr>
        <w:t>https://pubmed.ncbi.nlm.nih.gov/42852156/</w:t>
      </w:r>
    </w:p>
    <w:p>
      <w:pPr>
        <w:pStyle w:val="Heading2"/>
      </w:pPr>
      <w:r>
        <w:t>Patientenbeteiligung bei Leitlinienentwicklung: Erfahrungen in Deutschland</w:t>
      </w:r>
    </w:p>
    <w:p>
      <w:r>
        <w:rPr>
          <w:i/>
          <w:color w:val="666666"/>
          <w:sz w:val="18"/>
        </w:rPr>
        <w:t>Orduhan C et al.  ·  Clin Public Health Guidel  ·  10.08.2026  ·  PMID 42808020</w:t>
      </w:r>
    </w:p>
    <w:p>
      <w:r>
        <w:t>Qualitative Interviewstudie mit 23 Patientenvertretern, die an deutscher Leitlinienentwicklung partizipierten, zu Erfahrungen und Herausforderungen.</w:t>
      </w:r>
    </w:p>
    <w:p>
      <w:r>
        <w:rPr>
          <w:b/>
        </w:rPr>
        <w:t xml:space="preserve">Ergebnis: </w:t>
      </w:r>
      <w:r>
        <w:t>Aktive Mitgliedschaft in Leitliniengruppen war dominante Beteiligungsstrategie; positive Einflussfaktoren: Vorbereitungstraining, andere Patientenvertreter, Wertschätzung (häufig benannt); Herausforderungen: Rekrutierung, Mangel an Inklusion und Diversität; Mehrheit war mit Beteiligungsform zufrieden, identifizierte aber ungedeckte Bedarfe; Vorbereitungsaktivitäten als essentiell für effektive Partizipation.</w:t>
      </w:r>
    </w:p>
    <w:p>
      <w:r>
        <w:rPr>
          <w:b/>
          <w:sz w:val="19"/>
        </w:rPr>
        <w:t xml:space="preserve">Übertragbarkeit: </w:t>
      </w:r>
      <w:r>
        <w:rPr>
          <w:sz w:val="19"/>
        </w:rPr>
        <w:t>Deutsche Kontextdaten zur Leitlinienmitgestaltung</w:t>
      </w:r>
    </w:p>
    <w:p>
      <w:r>
        <w:rPr>
          <w:color w:val="5A7D3A"/>
          <w:sz w:val="18"/>
        </w:rPr>
        <w:t>https://pubmed.ncbi.nlm.nih.gov/42808020/</w:t>
      </w:r>
    </w:p>
    <w:p>
      <w:pPr>
        <w:pStyle w:val="Heading2"/>
      </w:pPr>
      <w:r>
        <w:t>Geschlechtsspezifische Unterschiede in Selbsteinschätzung dermatologischer Kompetenzen</w:t>
      </w:r>
    </w:p>
    <w:p>
      <w:r>
        <w:rPr>
          <w:i/>
          <w:color w:val="666666"/>
          <w:sz w:val="18"/>
        </w:rPr>
        <w:t>Heinen I et al.  ·  GMS J Med Educ  ·  15.09.2026  ·  PMID 42807627</w:t>
      </w:r>
    </w:p>
    <w:p>
      <w:r>
        <w:t>Quasi-experimentelle Prä-Post-Befragung von 142 Medizinstudierenden zur Selbsteinschätzung dermatologischer Kenntnisse vor und nach Seminar zu Hauterkrankungen bei Skin of Color.</w:t>
      </w:r>
    </w:p>
    <w:p>
      <w:r>
        <w:rPr>
          <w:b/>
        </w:rPr>
        <w:t xml:space="preserve">Ergebnis: </w:t>
      </w:r>
      <w:r>
        <w:t>Studentinnen schätzten anfangs Kenntnisse zu anatomischen/physiologischen Unterschieden (p&lt;0,001, η²=0,078) und Hauttyp-Skalen (p&lt;0,001, η²=0,085) sowie diagnostische Fähigkeiten signifikant schlechter ein als Studenten (p&lt;0,001, η²=0,075), obwohl objektive MC-Testergebnisse nicht differierten (p=0,905); nach Seminar keine geschlechtsspezifischen Unterschiede mehr vorhanden.</w:t>
      </w:r>
    </w:p>
    <w:p>
      <w:r>
        <w:rPr>
          <w:b/>
          <w:sz w:val="19"/>
        </w:rPr>
        <w:t xml:space="preserve">Übertragbarkeit: </w:t>
      </w:r>
      <w:r>
        <w:rPr>
          <w:sz w:val="19"/>
        </w:rPr>
        <w:t>Deutschland, medizinische Hochschulausbildung vergleichbar</w:t>
      </w:r>
    </w:p>
    <w:p>
      <w:r>
        <w:rPr>
          <w:color w:val="5A7D3A"/>
          <w:sz w:val="18"/>
        </w:rPr>
        <w:t>https://pubmed.ncbi.nlm.nih.gov/42807627/</w:t>
      </w:r>
    </w:p>
    <w:p>
      <w:pPr>
        <w:pStyle w:val="Heading1"/>
      </w:pPr>
      <w:r>
        <w:t>Aufgenommen am 09.10.2026</w:t>
      </w:r>
    </w:p>
    <w:p>
      <w:pPr>
        <w:pStyle w:val="Heading2"/>
      </w:pPr>
      <w:r>
        <w:t>Telemedicine-Nutzung in Japan 2020–2024: Persistierende Ungleichheiten</w:t>
      </w:r>
    </w:p>
    <w:p>
      <w:r>
        <w:rPr>
          <w:i/>
          <w:color w:val="666666"/>
          <w:sz w:val="18"/>
        </w:rPr>
        <w:t>Ito H et al.  ·  J Med Internet Res  ·  08.10.2026  ·  PMID 42849039</w:t>
      </w:r>
    </w:p>
    <w:p>
      <w:r>
        <w:t>Longitudinale Panelstudie zur Entwicklung von Chancenungleichheiten bei der Telemedizin-Adoption in Japan über vier Jahre mit 10.818 Teilnehmern.</w:t>
      </w:r>
    </w:p>
    <w:p>
      <w:r>
        <w:rPr>
          <w:b/>
        </w:rPr>
        <w:t xml:space="preserve">Ergebnis: </w:t>
      </w:r>
      <w:r>
        <w:t>Telemedizin-Adoption stieg von 2,6% (2020) auf 7,0% (2024). Altersbedingte Ungleichheiten verschärften sich: Bei 70–75-Jährigen +1,0 Prozentpunkte vs. 18–29-Jährigen +13,1 Prozentpunkte (DID –12,1 PP, 95% KI –18,2 bis –5,9). Arbeitslose zeigten kleinere Zunahmen (+2,8 vs. +5,7 PP bei höheren Angestellten; DID –2,9 PP).</w:t>
      </w:r>
    </w:p>
    <w:p>
      <w:r>
        <w:rPr>
          <w:b/>
          <w:sz w:val="19"/>
        </w:rPr>
        <w:t xml:space="preserve">Übertragbarkeit: </w:t>
      </w:r>
      <w:r>
        <w:rPr>
          <w:sz w:val="19"/>
        </w:rPr>
        <w:t>Japan, nationale Kohorte mit berichteten Adoptionsdaten, digitale Gerechtigkeit systemübergreifend relevant</w:t>
      </w:r>
    </w:p>
    <w:p>
      <w:r>
        <w:rPr>
          <w:color w:val="5A7D3A"/>
          <w:sz w:val="18"/>
        </w:rPr>
        <w:t>https://pubmed.ncbi.nlm.nih.gov/42849039/</w:t>
      </w:r>
    </w:p>
    <w:p>
      <w:pPr>
        <w:pStyle w:val="Heading2"/>
      </w:pPr>
      <w:r>
        <w:t>Retinoid-Umstellung in vier europäischen Ländern nach Schwangerschaftsprävention 2018</w:t>
      </w:r>
    </w:p>
    <w:p>
      <w:r>
        <w:rPr>
          <w:i/>
          <w:color w:val="666666"/>
          <w:sz w:val="18"/>
        </w:rPr>
        <w:t>Riera-Arnau J et al.  ·  Drug Saf  ·  08.10.2026  ·  PMID 42848129</w:t>
      </w:r>
    </w:p>
    <w:p>
      <w:r>
        <w:t>Unterbrochene Zeitreihenanalyse zum Effekt der EU-Schwangerschaftspräventionsprogramm-Aktualisierung 2018 auf Wechsel von oralen Retinoiden zu Alternativmedikamenten bei Frauen im gebärfähigen Alter in vier europäischen Ländern mit 88.992 Frauen.</w:t>
      </w:r>
    </w:p>
    <w:p>
      <w:r>
        <w:rPr>
          <w:b/>
        </w:rPr>
        <w:t xml:space="preserve">Ergebnis: </w:t>
      </w:r>
      <w:r>
        <w:t>32,0% (28.446/88.992) wechselten zu Alternativmedikamenten über den Studienzeitraum. Mediane Wechselraten: 1,8–6,5% monatlich präimplementiert, 1,2–2,3% postimplementiert. Kleine aber statistisch signifikante Abnahme der Wechselrate nach Intervention in Italien (–0,035%, p&lt;0,01), Spanien VID (–0,04%, p&lt;0,01) und BIFAP (–0,03%, p=0,02); Effekte verschwanden bei Ausschluss COVID-19-Lockdown-Periode.</w:t>
      </w:r>
    </w:p>
    <w:p>
      <w:r>
        <w:rPr>
          <w:b/>
          <w:sz w:val="19"/>
        </w:rPr>
        <w:t xml:space="preserve">Übertragbarkeit: </w:t>
      </w:r>
      <w:r>
        <w:rPr>
          <w:sz w:val="19"/>
        </w:rPr>
        <w:t>Niederlande, Spanien, Italien, Dänemark – europäische Sozialversicherungssysteme, Pharmacoepidemiology-Daten</w:t>
      </w:r>
    </w:p>
    <w:p>
      <w:r>
        <w:rPr>
          <w:color w:val="5A7D3A"/>
          <w:sz w:val="18"/>
        </w:rPr>
        <w:t>https://pubmed.ncbi.nlm.nih.gov/42848129/</w:t>
      </w:r>
    </w:p>
    <w:p>
      <w:pPr>
        <w:pStyle w:val="Heading2"/>
      </w:pPr>
      <w:r>
        <w:t>Prähabilitationsakzeptanz bei Hüft- und Kniegelenkersatz: Qualitative Stakeholder-Perspektiven</w:t>
      </w:r>
    </w:p>
    <w:p>
      <w:r>
        <w:rPr>
          <w:i/>
          <w:color w:val="666666"/>
          <w:sz w:val="18"/>
        </w:rPr>
        <w:t>Burgess N et al.  ·  Musculoskeletal Care  ·  Dez. 2026  ·  PMID 42847740</w:t>
      </w:r>
    </w:p>
    <w:p>
      <w:r>
        <w:t>Qualitative Studie mit 30 Interviews (15 Patienten, 15 Fachpersonen) zu Akzeptanz, Barrieren und Lösungen bei Prähabilitationsprogrammen vor Hüft- und Kniegelenksersatz in Australien.</w:t>
      </w:r>
    </w:p>
    <w:p>
      <w:r>
        <w:rPr>
          <w:b/>
        </w:rPr>
        <w:t xml:space="preserve">Ergebnis: </w:t>
      </w:r>
      <w:r>
        <w:t>Prähabilitationsmaßnahme wurde allgemein als akzeptabel und vorteilhaft bewertet. Drei Hauptkonzepte: (1) Verständnis variierte, aber positive Bewertung überwiegend; (2) Barrieren/Förderfaktoren auf Patienten-, Fachpersonen- und Systemebene identifiziert (lange Wartelisten, mangelndes Vertrauen, Gesprächssicherheit); (3) Beide Gruppen betonten individuelle Anpassung, multimodale Intervention und kontinuierliche Unterstützung im OP-Verlauf als erfolgskritisch.</w:t>
      </w:r>
    </w:p>
    <w:p>
      <w:r>
        <w:rPr>
          <w:b/>
          <w:sz w:val="19"/>
        </w:rPr>
        <w:t xml:space="preserve">Übertragbarkeit: </w:t>
      </w:r>
      <w:r>
        <w:rPr>
          <w:sz w:val="19"/>
        </w:rPr>
        <w:t>Australien, öffentliches Versorgungssystem – Prozessqualität und Patientenperspektive gut übertragbar</w:t>
      </w:r>
    </w:p>
    <w:p>
      <w:r>
        <w:rPr>
          <w:color w:val="5A7D3A"/>
          <w:sz w:val="18"/>
        </w:rPr>
        <w:t>https://pubmed.ncbi.nlm.nih.gov/42847740/</w:t>
      </w:r>
    </w:p>
    <w:p>
      <w:pPr>
        <w:pStyle w:val="Heading2"/>
      </w:pPr>
      <w:r>
        <w:t>ADHS-Medikation in Norwegen: Anhaltende Anstiege nach COVID-19</w:t>
      </w:r>
    </w:p>
    <w:p>
      <w:r>
        <w:rPr>
          <w:i/>
          <w:color w:val="666666"/>
          <w:sz w:val="18"/>
        </w:rPr>
        <w:t>Reme BA et al.  ·  Scand J Public Health  ·  08.10.2026  ·  PMID 42847285</w:t>
      </w:r>
    </w:p>
    <w:p>
      <w:r>
        <w:t>Register-basierte Zeitreihenanalyse der ADHS-Arzneimittelverordnungen in Norwegen 2009–2024 mit 63,7 Millionen Personenjahren.</w:t>
      </w:r>
    </w:p>
    <w:p>
      <w:r>
        <w:rPr>
          <w:b/>
        </w:rPr>
        <w:t xml:space="preserve">Ergebnis: </w:t>
      </w:r>
      <w:r>
        <w:t>ADHS-Medikation vor 2020 stabil, danach deutlicher Anstieg. Größte Anstiege bei weiblichen Adoleszenten (15–24 Jahre): +19 Prozentpunkte (von 5,2% auf 24,4% jährlich). Männliche Jugendliche (15–24 Jahre): +9,0 Prozentpunkte (von 2,7% auf 11,7%). Der Anstieg blieb auch nach 2020 dauerhaft.</w:t>
      </w:r>
    </w:p>
    <w:p>
      <w:r>
        <w:rPr>
          <w:b/>
          <w:sz w:val="19"/>
        </w:rPr>
        <w:t xml:space="preserve">Übertragbarkeit: </w:t>
      </w:r>
      <w:r>
        <w:rPr>
          <w:sz w:val="19"/>
        </w:rPr>
        <w:t>Norwegen, nationale Verordnungsdatenbank, Fragestellung zur Versorgungspraxis systemübergreifend</w:t>
      </w:r>
    </w:p>
    <w:p>
      <w:r>
        <w:rPr>
          <w:color w:val="5A7D3A"/>
          <w:sz w:val="18"/>
        </w:rPr>
        <w:t>https://pubmed.ncbi.nlm.nih.gov/42847285/</w:t>
      </w:r>
    </w:p>
    <w:p>
      <w:pPr>
        <w:pStyle w:val="Heading2"/>
      </w:pPr>
      <w:r>
        <w:t>Agent-basiertes Modell der Demenzbetreuung in der Gemeinde: Validierte Baseline-Szenarien</w:t>
      </w:r>
    </w:p>
    <w:p>
      <w:r>
        <w:rPr>
          <w:i/>
          <w:color w:val="666666"/>
          <w:sz w:val="18"/>
        </w:rPr>
        <w:t>Zhu C et al.  ·  Front Public Health  ·  23.09.2026  ·  PMID 42846501</w:t>
      </w:r>
    </w:p>
    <w:p>
      <w:r>
        <w:t>Entwicklung und Validierung eines regelgestützten agentengestützten Modells (ABM) zur Simulation der Langzeitdynamiken in der gemeindlichen Demenzbetreuung mit evidenzgestützten Parametern.</w:t>
      </w:r>
    </w:p>
    <w:p>
      <w:r>
        <w:rPr>
          <w:b/>
        </w:rPr>
        <w:t xml:space="preserve">Ergebnis: </w:t>
      </w:r>
      <w:r>
        <w:t>BPSD-Prävalenz stieg von 75,6% (Start) auf 96,4% (Monat 60; Monte-Carlo 95% KI 96,3–96,5%). Durchschnittliche Betreuungslast erhöhte sich von 0,505 auf 0,782. Im Monat 60 befanden sich durchschnittlich 161 Betreuungseinheiten in institutioneller Betreuung. Lokale Sensitivitätsanalysen zeigten begrenzte Variabilität in Primäroutcomes über getestete Bereiche.</w:t>
      </w:r>
    </w:p>
    <w:p>
      <w:r>
        <w:rPr>
          <w:b/>
          <w:sz w:val="19"/>
        </w:rPr>
        <w:t xml:space="preserve">Übertragbarkeit: </w:t>
      </w:r>
      <w:r>
        <w:rPr>
          <w:sz w:val="19"/>
        </w:rPr>
        <w:t>China, strukturiertes Health Services Research-Modell für spezialisierte Versorgungsforschung</w:t>
      </w:r>
    </w:p>
    <w:p>
      <w:r>
        <w:rPr>
          <w:color w:val="5A7D3A"/>
          <w:sz w:val="18"/>
        </w:rPr>
        <w:t>https://pubmed.ncbi.nlm.nih.gov/42846501/</w:t>
      </w:r>
    </w:p>
    <w:p>
      <w:pPr>
        <w:pStyle w:val="Heading2"/>
      </w:pPr>
      <w:r>
        <w:t>Psychosoziales Wohlbefinden bei Long COVID: Patientenzentrierte Interventionsstrategien</w:t>
      </w:r>
    </w:p>
    <w:p>
      <w:r>
        <w:rPr>
          <w:i/>
          <w:color w:val="666666"/>
          <w:sz w:val="18"/>
        </w:rPr>
        <w:t>Martinez BD et al.  ·  Front Psychiatry  ·  23.09.2026  ·  PMID 42846347</w:t>
      </w:r>
    </w:p>
    <w:p>
      <w:r>
        <w:t>Qualitative Studie mit 19 semi-strukturierten Interviews und Community Advisory Team-Fokusgruppen zu Faktoren und patientengenerierten Strategien für psychosoziales Wohlbefinden bei Long COVID.</w:t>
      </w:r>
    </w:p>
    <w:p>
      <w:r>
        <w:rPr>
          <w:b/>
        </w:rPr>
        <w:t xml:space="preserve">Ergebnis: </w:t>
      </w:r>
      <w:r>
        <w:t>Drei Primärfaktoren beeinflussen negativ psychosoziales Wohlbefinden: Identitätsstörung (Verlust von Fähigkeiten, Selbstständigkeit), Isolation (reduzierte soziale Partizipation, Stigmatisierung), Unsicherheit (Krankheits-/Behandlungspfade, Invaliditätssysteme). Patienten identifizierten: Case-Management, strukturierte Peersupport, Public-Awareness-Kampagnen und persönliche Adaptationspraktiken als förderlich.</w:t>
      </w:r>
    </w:p>
    <w:p>
      <w:r>
        <w:rPr>
          <w:b/>
          <w:sz w:val="19"/>
        </w:rPr>
        <w:t xml:space="preserve">Übertragbarkeit: </w:t>
      </w:r>
      <w:r>
        <w:rPr>
          <w:sz w:val="19"/>
        </w:rPr>
        <w:t>USA, systemunabhängig – psychosoziale Versorgungsfragen krankheitsübergreifend relevant</w:t>
      </w:r>
    </w:p>
    <w:p>
      <w:r>
        <w:rPr>
          <w:color w:val="5A7D3A"/>
          <w:sz w:val="18"/>
        </w:rPr>
        <w:t>https://pubmed.ncbi.nlm.nih.gov/42846347/</w:t>
      </w:r>
    </w:p>
    <w:p>
      <w:pPr>
        <w:pStyle w:val="Heading1"/>
      </w:pPr>
      <w:r>
        <w:t>Aufgenommen am 08.10.2026</w:t>
      </w:r>
    </w:p>
    <w:p>
      <w:pPr>
        <w:pStyle w:val="Heading2"/>
      </w:pPr>
      <w:r>
        <w:t>Ärztevariabilität dominiert Schicht-Effekte in der ED</w:t>
      </w:r>
    </w:p>
    <w:p>
      <w:r>
        <w:rPr>
          <w:i/>
          <w:color w:val="666666"/>
          <w:sz w:val="18"/>
        </w:rPr>
        <w:t>Büyükkaya MŞ et al.  ·  Postgrad Med J  ·  07.10.2026  ·  PMID 42842596</w:t>
      </w:r>
    </w:p>
    <w:p>
      <w:r>
        <w:t>Retrospektive Beobachtungsstudie zu diagnostischer Ressourcentechnik (Labor, Bildgebung, Konsile) bei 11.032 niedrig-akuten ED-Besuchen in der Türkei nach Schichtzeit und Arzt.</w:t>
      </w:r>
    </w:p>
    <w:p>
      <w:r>
        <w:rPr>
          <w:b/>
        </w:rPr>
        <w:t xml:space="preserve">Ergebnis: </w:t>
      </w:r>
      <w:r>
        <w:t>Laborquoten 9,5% (p=0,997), Bildgebung 12,6–13,5% (p=0,485) zeigen keine signifikante Schicht-Variation. Arzt-Level-Variation deutlich größer: Labor 3,5–21,5%, Bildgebung 6,3–28,7%. Ärztliche Spezialisierung dominiert.</w:t>
      </w:r>
    </w:p>
    <w:p>
      <w:r>
        <w:rPr>
          <w:b/>
          <w:sz w:val="19"/>
        </w:rPr>
        <w:t xml:space="preserve">Übertragbarkeit: </w:t>
      </w:r>
      <w:r>
        <w:rPr>
          <w:sz w:val="19"/>
        </w:rPr>
        <w:t>Türkei, aber Frage zur Ärzte-Variabilität und Ressourcennutzung systemunabhängig</w:t>
      </w:r>
    </w:p>
    <w:p>
      <w:r>
        <w:rPr>
          <w:color w:val="5A7D3A"/>
          <w:sz w:val="18"/>
        </w:rPr>
        <w:t>https://pubmed.ncbi.nlm.nih.gov/42842596/</w:t>
      </w:r>
    </w:p>
    <w:p>
      <w:pPr>
        <w:pStyle w:val="Heading2"/>
      </w:pPr>
      <w:r>
        <w:t>Durst bei Herzinsuffizienz-Patienten auf Transplantwarteliste</w:t>
      </w:r>
    </w:p>
    <w:p>
      <w:r>
        <w:rPr>
          <w:i/>
          <w:color w:val="666666"/>
          <w:sz w:val="18"/>
        </w:rPr>
        <w:t>Wefer F et al.  ·  Nurs Crit Care  ·  Nov. 2026  ·  PMID 42841439</w:t>
      </w:r>
    </w:p>
    <w:p>
      <w:r>
        <w:t>Qualitative Mischmethod-Studie mit 10 Patienteninterviews und 2 Fokusgruppen (5 Pflegekräfte) sowie 59 Pflegekräfte-Befragung zur Erfahrung mit Durst bei hochgradig Herzkranken.</w:t>
      </w:r>
    </w:p>
    <w:p>
      <w:r>
        <w:rPr>
          <w:b/>
        </w:rPr>
        <w:t xml:space="preserve">Ergebnis: </w:t>
      </w:r>
      <w:r>
        <w:t>Patienten berichten heterogenes Durstserleben (mild bis schwer). Pflege hält es für relevant, nutzt aber sehr unterschiedliche Assessmentstrategien; &lt;50% bewerten Durst regelmäßig. Patienten und Pflegekräfte wünschen standardisierte Beratung.</w:t>
      </w:r>
    </w:p>
    <w:p>
      <w:r>
        <w:rPr>
          <w:b/>
          <w:sz w:val="19"/>
        </w:rPr>
        <w:t xml:space="preserve">Übertragbarkeit: </w:t>
      </w:r>
      <w:r>
        <w:rPr>
          <w:sz w:val="19"/>
        </w:rPr>
        <w:t>Deutschland (Ruhr-Universität Bochum, Bad Oeynhausen), direkt übertragbar</w:t>
      </w:r>
    </w:p>
    <w:p>
      <w:r>
        <w:rPr>
          <w:color w:val="5A7D3A"/>
          <w:sz w:val="18"/>
        </w:rPr>
        <w:t>https://pubmed.ncbi.nlm.nih.gov/42841439/</w:t>
      </w:r>
    </w:p>
    <w:p>
      <w:pPr>
        <w:pStyle w:val="Heading2"/>
      </w:pPr>
      <w:r>
        <w:t>Primary care accessibility reduces inappropriate ED attendance</w:t>
      </w:r>
    </w:p>
    <w:p>
      <w:r>
        <w:rPr>
          <w:i/>
          <w:color w:val="666666"/>
          <w:sz w:val="18"/>
        </w:rPr>
        <w:t>Koh JJE et al.  ·  Singapore Med J  ·  05.10.2026  ·  PMID 42839708</w:t>
      </w:r>
    </w:p>
    <w:p>
      <w:r>
        <w:t>Retrospektive Kohortenstudie untersuchte, wie Erreichbarkeit und Verfügbarkeit von Hausarztpraxen die unangemessene Notfallaufnahmebesuche (12,5% von 135.838 Besuchen) beeinflussen.</w:t>
      </w:r>
    </w:p>
    <w:p>
      <w:r>
        <w:rPr>
          <w:b/>
        </w:rPr>
        <w:t xml:space="preserve">Ergebnis: </w:t>
      </w:r>
      <w:r>
        <w:t>Reisezeit &gt;5 Min zu nächster Praxis erhöhte unangemessene ED-Besuche um 13–24%, Reisedistanz &gt;1 km um 10–33%. Mehr als 3 Praxen im 1-km-Radius reduzierten unangemessene Besuche um ≥12%.</w:t>
      </w:r>
    </w:p>
    <w:p>
      <w:r>
        <w:rPr>
          <w:b/>
          <w:sz w:val="19"/>
        </w:rPr>
        <w:t xml:space="preserve">Übertragbarkeit: </w:t>
      </w:r>
      <w:r>
        <w:rPr>
          <w:sz w:val="19"/>
        </w:rPr>
        <w:t>Singapur, aber Fragestellung systemunabhängig zur Primärversorgung</w:t>
      </w:r>
    </w:p>
    <w:p>
      <w:r>
        <w:rPr>
          <w:color w:val="5A7D3A"/>
          <w:sz w:val="18"/>
        </w:rPr>
        <w:t>https://pubmed.ncbi.nlm.nih.gov/42839708/</w:t>
      </w:r>
    </w:p>
    <w:p>
      <w:pPr>
        <w:pStyle w:val="Heading2"/>
      </w:pPr>
      <w:r>
        <w:t>Ärzt- und Praxis-Level-Variation in Studienteilnahme bei Krebs</w:t>
      </w:r>
    </w:p>
    <w:p>
      <w:r>
        <w:rPr>
          <w:i/>
          <w:color w:val="666666"/>
          <w:sz w:val="18"/>
        </w:rPr>
        <w:t>Jiang C et al.  ·  JAMA Netw Open  ·  01.10.2026  ·  PMID 42837155</w:t>
      </w:r>
    </w:p>
    <w:p>
      <w:r>
        <w:t>Kohortenstudie von 205.743 Patienten mit fortgeschrittenem Krebs (2011–2024) zur Klinische-Studien-Teilnahme in 1.664 Arzt-Praxen, 107 Zentren (Flatiron-Daten).</w:t>
      </w:r>
    </w:p>
    <w:p>
      <w:r>
        <w:rPr>
          <w:b/>
        </w:rPr>
        <w:t xml:space="preserve">Ergebnis: </w:t>
      </w:r>
      <w:r>
        <w:t>Studienteilnahme 5,2% (2011: 3,9%, 2024: 6,8%). 23,4% Ärzte mit 83,6% Einschlüssen; 19,6% Praxen mit 80,5% der Patienten. Arzt- (12,3%) und Praxis-Level (15,1%) erklären mehr Variation als beobachtbare Patientenfaktoren (11,4%).</w:t>
      </w:r>
    </w:p>
    <w:p>
      <w:r>
        <w:rPr>
          <w:b/>
          <w:sz w:val="19"/>
        </w:rPr>
        <w:t xml:space="preserve">Übertragbarkeit: </w:t>
      </w:r>
      <w:r>
        <w:rPr>
          <w:sz w:val="19"/>
        </w:rPr>
        <w:t>USA, aber Fragestellung zu System- und Anbieter-Barrieren in der Forschung systemunabhängig</w:t>
      </w:r>
    </w:p>
    <w:p>
      <w:r>
        <w:rPr>
          <w:color w:val="5A7D3A"/>
          <w:sz w:val="18"/>
        </w:rPr>
        <w:t>https://pubmed.ncbi.nlm.nih.gov/42837155/</w:t>
      </w:r>
    </w:p>
    <w:p>
      <w:pPr>
        <w:pStyle w:val="Heading2"/>
      </w:pPr>
      <w:r>
        <w:t>Person-zentrierte Demenzpflege durch Coaching umsetzen</w:t>
      </w:r>
    </w:p>
    <w:p>
      <w:r>
        <w:rPr>
          <w:i/>
          <w:color w:val="666666"/>
          <w:sz w:val="18"/>
        </w:rPr>
        <w:t>Moczygemba W et al.  ·  Gerontologist  ·  03.10.2026  ·  PMID 42830447</w:t>
      </w:r>
    </w:p>
    <w:p>
      <w:r>
        <w:t>Pre-post-Studie zur Implementierung des Care Community Coaching Program (CCCP) in 38 Langzeitpflegeeinrichtungen Ohios zur Umsetzung von Dementia Care Practice Recommendations.</w:t>
      </w:r>
    </w:p>
    <w:p>
      <w:r>
        <w:rPr>
          <w:b/>
        </w:rPr>
        <w:t xml:space="preserve">Ergebnis: </w:t>
      </w:r>
      <w:r>
        <w:t>Signifikante Verbesserungen in 8 von 9 Leitlinien-Bereichen für personenzentrierte Versorgung; Baseline-Implementationsrate 61,8%, Arbeitskräfte-Praktiken 78,3%. Barriers und Facilitators dokumentiert.</w:t>
      </w:r>
    </w:p>
    <w:p>
      <w:r>
        <w:rPr>
          <w:b/>
          <w:sz w:val="19"/>
        </w:rPr>
        <w:t xml:space="preserve">Übertragbarkeit: </w:t>
      </w:r>
      <w:r>
        <w:rPr>
          <w:sz w:val="19"/>
        </w:rPr>
        <w:t>USA, aber Fragestellung zur Implementierungsforschung systemübergreifend relevant</w:t>
      </w:r>
    </w:p>
    <w:p>
      <w:r>
        <w:rPr>
          <w:color w:val="5A7D3A"/>
          <w:sz w:val="18"/>
        </w:rPr>
        <w:t>https://pubmed.ncbi.nlm.nih.gov/42830447/</w:t>
      </w:r>
    </w:p>
    <w:p>
      <w:pPr>
        <w:pStyle w:val="Heading2"/>
      </w:pPr>
      <w:r>
        <w:t>Stressabbau senkt Blutdruck bei Normotensiven</w:t>
      </w:r>
    </w:p>
    <w:p>
      <w:r>
        <w:rPr>
          <w:i/>
          <w:color w:val="666666"/>
          <w:sz w:val="18"/>
        </w:rPr>
        <w:t>Kamijima J et al.  ·  J Hum Hypertens  ·  03.10.2026  ·  PMID 42829395</w:t>
      </w:r>
    </w:p>
    <w:p>
      <w:r>
        <w:t>Systematisches Review und Metaanalyse von 22 RCTs (n=3.089) zu Stressmanagement-Interventionen und Blutdruckveränderungen bei gesunden Erwachsenen ohne Hypertonie.</w:t>
      </w:r>
    </w:p>
    <w:p>
      <w:r>
        <w:rPr>
          <w:b/>
        </w:rPr>
        <w:t xml:space="preserve">Ergebnis: </w:t>
      </w:r>
      <w:r>
        <w:t>Mind-Body-Übung: −2,17 mmHg systolisch (95% KI −3,29 bis −1,05), −1,69 mmHg diastolisch; Meditation: −1,49/−1,00 mmHg; Relaxation: −4,76/−1,71 mmHg. Primärprävention möglich.</w:t>
      </w:r>
    </w:p>
    <w:p>
      <w:r>
        <w:rPr>
          <w:b/>
          <w:sz w:val="19"/>
        </w:rPr>
        <w:t xml:space="preserve">Übertragbarkeit: </w:t>
      </w:r>
      <w:r>
        <w:rPr>
          <w:sz w:val="19"/>
        </w:rPr>
        <w:t>Internationale Datenbasis, systemunabhängige Fragestellung zu Prävention</w:t>
      </w:r>
    </w:p>
    <w:p>
      <w:r>
        <w:rPr>
          <w:color w:val="5A7D3A"/>
          <w:sz w:val="18"/>
        </w:rPr>
        <w:t>https://pubmed.ncbi.nlm.nih.gov/42829395/</w:t>
      </w:r>
    </w:p>
    <w:p>
      <w:pPr>
        <w:pStyle w:val="Heading2"/>
      </w:pPr>
      <w:r>
        <w:t>Verweildauer bei Mundkrebs in Deutschland</w:t>
      </w:r>
    </w:p>
    <w:p>
      <w:r>
        <w:rPr>
          <w:i/>
          <w:color w:val="666666"/>
          <w:sz w:val="18"/>
        </w:rPr>
        <w:t>Cirkel LL et al.  ·  Reports (MDPI)  ·  02.09.2026  ·  PMID 42784021</w:t>
      </w:r>
    </w:p>
    <w:p>
      <w:r>
        <w:t>Retrospektive Multizenter-Analyse von 3.957 Krebshospitalisierungen (2019–2024) aus 34 deutschen Krankenhäusern zu Verweildauer und Einflussfaktoren.</w:t>
      </w:r>
    </w:p>
    <w:p>
      <w:r>
        <w:rPr>
          <w:b/>
        </w:rPr>
        <w:t xml:space="preserve">Ergebnis: </w:t>
      </w:r>
      <w:r>
        <w:t>Mediane Verweildauer 6 Tage (IQR 3–13), Mittel 10,2 Tage. 49,4% ≥7 Tage, 23,5% ≥14 Tage. Alter &gt;80 Jahre: Rate Ratio 1,17 (95% KI 1,13–1,21); hohe Komorbiditätslast: RR 1,58 (1,54–1,63); Bluttransfusion RR 1,80, komplexe Intensivbehandlung RR 1,70.</w:t>
      </w:r>
    </w:p>
    <w:p>
      <w:r>
        <w:rPr>
          <w:b/>
          <w:sz w:val="19"/>
        </w:rPr>
        <w:t xml:space="preserve">Übertragbarkeit: </w:t>
      </w:r>
      <w:r>
        <w:rPr>
          <w:sz w:val="19"/>
        </w:rPr>
        <w:t>Deutsche Routinedaten, 49 Krankenhäuser, direkt übertragbar</w:t>
      </w:r>
    </w:p>
    <w:p>
      <w:r>
        <w:rPr>
          <w:color w:val="5A7D3A"/>
          <w:sz w:val="18"/>
        </w:rPr>
        <w:t>https://pubmed.ncbi.nlm.nih.gov/42784021/</w:t>
      </w:r>
    </w:p>
    <w:p>
      <w:pPr>
        <w:pStyle w:val="Heading1"/>
      </w:pPr>
      <w:r>
        <w:t>Aufgenommen am 07.10.2026</w:t>
      </w:r>
    </w:p>
    <w:p>
      <w:pPr>
        <w:pStyle w:val="Heading2"/>
      </w:pPr>
      <w:r>
        <w:t>Reisebelastungen bei Methadon-Ambulanzbesuchen</w:t>
      </w:r>
    </w:p>
    <w:p>
      <w:r>
        <w:rPr>
          <w:i/>
          <w:color w:val="666666"/>
          <w:sz w:val="18"/>
        </w:rPr>
        <w:t>Austin EJ et al.  ·  JAMA Netw Open  ·  01.10.2026  ·  PMID 42837152</w:t>
      </w:r>
    </w:p>
    <w:p>
      <w:r>
        <w:t>Mixed-Methods-Studie (Befragung + qualitative Interviews) zu Reiseerfahrungen von 98 Patienten an Opioid-Behandlungsprogrammen in Washington State.</w:t>
      </w:r>
    </w:p>
    <w:p>
      <w:r>
        <w:rPr>
          <w:b/>
        </w:rPr>
        <w:t xml:space="preserve">Ergebnis: </w:t>
      </w:r>
      <w:r>
        <w:t>Mittlere Reisedauer 82,5 Min (Spannweite 10–330 Min) und durchschnittliche Kosten 15,80 USD pro Besuch. 55,1% fuhren selbst, 21,4% wurden gefahren, 12,3% nutzten ÖPNV. Kernproblem: Unpredictable Wartezeiten und Konflikte mit Beruf/Familie beeinträchtigen Adhärenz.</w:t>
      </w:r>
    </w:p>
    <w:p>
      <w:r>
        <w:rPr>
          <w:b/>
          <w:sz w:val="19"/>
        </w:rPr>
        <w:t xml:space="preserve">Übertragbarkeit: </w:t>
      </w:r>
      <w:r>
        <w:rPr>
          <w:sz w:val="19"/>
        </w:rPr>
        <w:t>USA-Kontext, aber Problematik der Behandlungszugang für marginalisierte Gruppen systemübergreifend</w:t>
      </w:r>
    </w:p>
    <w:p>
      <w:r>
        <w:rPr>
          <w:color w:val="5A7D3A"/>
          <w:sz w:val="18"/>
        </w:rPr>
        <w:t>https://pubmed.ncbi.nlm.nih.gov/42837152/</w:t>
      </w:r>
    </w:p>
    <w:p>
      <w:pPr>
        <w:pStyle w:val="Heading2"/>
      </w:pPr>
      <w:r>
        <w:t>Palliative care in chronic heart failure in the Netherlands</w:t>
      </w:r>
    </w:p>
    <w:p>
      <w:r>
        <w:rPr>
          <w:i/>
          <w:color w:val="666666"/>
          <w:sz w:val="18"/>
        </w:rPr>
        <w:t>Aertsen-van der Kuip MSA et al.  ·  Neth Heart J  ·  06.10.2026  ·  PMID 42837105</w:t>
      </w:r>
    </w:p>
    <w:p>
      <w:r>
        <w:t>Befragung von 120 niederländischen Fachleuten zur Implementierung von Palliativversorgung und Advance Care Planning bei chronischer Herzinsuffizienz.</w:t>
      </w:r>
    </w:p>
    <w:p>
      <w:r>
        <w:rPr>
          <w:b/>
        </w:rPr>
        <w:t xml:space="preserve">Ergebnis: </w:t>
      </w:r>
      <w:r>
        <w:t>97% der Fachleute bewerteten Palliativversorgung als (sehr) wichtig, aber nur etwa ein Drittel bot diese regelmäßig an. 78% konnten Palliativbedarf erkennen, nur 23% fühlten sich ausreichend qualifiziert. Hauptprobleme: fehlende Fähigkeiten und Zeitmangel.</w:t>
      </w:r>
    </w:p>
    <w:p>
      <w:r>
        <w:rPr>
          <w:b/>
          <w:sz w:val="19"/>
        </w:rPr>
        <w:t xml:space="preserve">Übertragbarkeit: </w:t>
      </w:r>
      <w:r>
        <w:rPr>
          <w:sz w:val="19"/>
        </w:rPr>
        <w:t>Niederlande, Sozialversicherungssystem, direkt übertragbar auf Deutschland</w:t>
      </w:r>
    </w:p>
    <w:p>
      <w:r>
        <w:rPr>
          <w:color w:val="5A7D3A"/>
          <w:sz w:val="18"/>
        </w:rPr>
        <w:t>https://pubmed.ncbi.nlm.nih.gov/42837105/</w:t>
      </w:r>
    </w:p>
    <w:p>
      <w:pPr>
        <w:pStyle w:val="Heading2"/>
      </w:pPr>
      <w:r>
        <w:t>Unterversorgung mit Kompressionstherapie bei Ulcus cruris venosum</w:t>
      </w:r>
    </w:p>
    <w:p>
      <w:r>
        <w:rPr>
          <w:i/>
          <w:color w:val="666666"/>
          <w:sz w:val="18"/>
        </w:rPr>
        <w:t>Stücker M et al.  ·  Int Wound J  ·  Okt. 2026  ·  PMID 42834577</w:t>
      </w:r>
    </w:p>
    <w:p>
      <w:r>
        <w:t>Retrospektive Kohortenanalyse von Routinedaten von 3,35 Millionen Versicherten zu Häufigkeit und Determinanten der Kompressionstherapie bei venösen Beindoloren und Ulzera.</w:t>
      </w:r>
    </w:p>
    <w:p>
      <w:r>
        <w:rPr>
          <w:b/>
        </w:rPr>
        <w:t xml:space="preserve">Ergebnis: </w:t>
      </w:r>
      <w:r>
        <w:t>Prävalenz: 0,50% für Ulcus cruris venosum (n=16.615), 7,27% für chronische Venenerkrankung (n=243.681). Über 5 Jahre: 75,85% mit Ulcus erhielten Kompression, aber 24,15% nicht – obwohl Kompression leitliniengerecht ist. Multimorbidität war höher bei Behandelten.</w:t>
      </w:r>
    </w:p>
    <w:p>
      <w:r>
        <w:rPr>
          <w:b/>
          <w:sz w:val="19"/>
        </w:rPr>
        <w:t xml:space="preserve">Übertragbarkeit: </w:t>
      </w:r>
      <w:r>
        <w:rPr>
          <w:sz w:val="19"/>
        </w:rPr>
        <w:t>Deutsche Routinedaten aus der gesetzlichen Krankenversicherung</w:t>
      </w:r>
    </w:p>
    <w:p>
      <w:r>
        <w:rPr>
          <w:color w:val="5A7D3A"/>
          <w:sz w:val="18"/>
        </w:rPr>
        <w:t>https://pubmed.ncbi.nlm.nih.gov/42834577/</w:t>
      </w:r>
    </w:p>
    <w:p>
      <w:pPr>
        <w:pStyle w:val="Heading2"/>
      </w:pPr>
      <w:r>
        <w:t>Qualität der Pflegeheimversorgung für Veteranen nach Hospitalisierung</w:t>
      </w:r>
    </w:p>
    <w:p>
      <w:r>
        <w:rPr>
          <w:i/>
          <w:color w:val="666666"/>
          <w:sz w:val="18"/>
        </w:rPr>
        <w:t>Burke RE et al.  ·  J Gen Intern Med  ·  30.09.2026  ·  PMID 42816723</w:t>
      </w:r>
    </w:p>
    <w:p>
      <w:r>
        <w:t>Retrospektive Kohortenstudie zur Verfügbarkeit und Nutzung hochqualitativer Pflegeheime (SNF) durch ältere Veteranen nach stationärer Aufnahme.</w:t>
      </w:r>
    </w:p>
    <w:p>
      <w:r>
        <w:rPr>
          <w:b/>
        </w:rPr>
        <w:t xml:space="preserve">Ergebnis: </w:t>
      </w:r>
      <w:r>
        <w:t>Von 926.860 Veteranen ≥66 Jahre nutzten &gt;92% private Medicare-Pflegeheime. Nur 34,4% wählten das bestbewertete SNF in der Nähe, 15,4% wählten das schlechteste. 64,5% hätten Zugang zu höher bewerteten Einrichtungen gehabt; 43,7% zu 5+ besseren Alternativen.</w:t>
      </w:r>
    </w:p>
    <w:p>
      <w:r>
        <w:rPr>
          <w:b/>
          <w:sz w:val="19"/>
        </w:rPr>
        <w:t xml:space="preserve">Übertragbarkeit: </w:t>
      </w:r>
      <w:r>
        <w:rPr>
          <w:sz w:val="19"/>
        </w:rPr>
        <w:t>USA-System, aber Frage der Qualitätssteuerung und Patientenwahl systemübergreifend relevant</w:t>
      </w:r>
    </w:p>
    <w:p>
      <w:r>
        <w:rPr>
          <w:color w:val="5A7D3A"/>
          <w:sz w:val="18"/>
        </w:rPr>
        <w:t>https://pubmed.ncbi.nlm.nih.gov/42816723/</w:t>
      </w:r>
    </w:p>
    <w:p>
      <w:pPr>
        <w:pStyle w:val="Heading2"/>
      </w:pPr>
      <w:r>
        <w:t>Partizipation nach Schlaganfall im jungen Erwachsenenalter</w:t>
      </w:r>
    </w:p>
    <w:p>
      <w:r>
        <w:rPr>
          <w:i/>
          <w:color w:val="666666"/>
          <w:sz w:val="18"/>
        </w:rPr>
        <w:t>Donnelly MR et al.  ·  Am J Occup Ther  ·  30.09.2026  ·  PMID 42813599</w:t>
      </w:r>
    </w:p>
    <w:p>
      <w:r>
        <w:t>Scoping Review von 15 Studien zur Partizipation junger Erwachsener (18–45 Jahre) nach Schlaganfall in Rollen und Aktivitäten des Erwachsenenlebens.</w:t>
      </w:r>
    </w:p>
    <w:p>
      <w:r>
        <w:rPr>
          <w:b/>
        </w:rPr>
        <w:t xml:space="preserve">Ergebnis: </w:t>
      </w:r>
      <w:r>
        <w:t>Schlaganfall führt zu Unterbrechung der beruflichen und sozialen Laufbahn; multi-dimensionale Effekte auf Rollen (Partner, Eltern), Bildung und Karriere. Rehabilitation fokussiert typischerweise auf motorische Funktionen, adressiert aber nicht die entwicklungsspezifischen Bedürfnisse junger Erwachsener.</w:t>
      </w:r>
    </w:p>
    <w:p>
      <w:r>
        <w:rPr>
          <w:b/>
          <w:sz w:val="19"/>
        </w:rPr>
        <w:t xml:space="preserve">Übertragbarkeit: </w:t>
      </w:r>
      <w:r>
        <w:rPr>
          <w:sz w:val="19"/>
        </w:rPr>
        <w:t>Qualitative HSR-Synthese, Erkenntnisse zur Versorgungsplanung systemunabhängig</w:t>
      </w:r>
    </w:p>
    <w:p>
      <w:r>
        <w:rPr>
          <w:color w:val="5A7D3A"/>
          <w:sz w:val="18"/>
        </w:rPr>
        <w:t>https://pubmed.ncbi.nlm.nih.gov/42813599/</w:t>
      </w:r>
    </w:p>
    <w:p>
      <w:pPr>
        <w:pStyle w:val="Heading2"/>
      </w:pPr>
      <w:r>
        <w:t>Atriale Kardiomyopathie und klinische Langzeitfolgen</w:t>
      </w:r>
    </w:p>
    <w:p>
      <w:r>
        <w:rPr>
          <w:i/>
          <w:color w:val="666666"/>
          <w:sz w:val="18"/>
        </w:rPr>
        <w:t>Kazi K et al.  ·  Europace  ·  02.09.2026  ·  PMID 42809232</w:t>
      </w:r>
    </w:p>
    <w:p>
      <w:r>
        <w:t>Kohortenstudie zu Assoziationen zwischen echokardiographischen Merkmalen atrialerKardiomyopathie und Inzidenz von Vorhofflimmern, Herzinsuffizienz und Schlaganfall. (Abstract ohne konkrete Ergebnisse verfügbar)</w:t>
      </w:r>
    </w:p>
    <w:p>
      <w:r>
        <w:rPr>
          <w:b/>
        </w:rPr>
        <w:t xml:space="preserve">Ergebnis: </w:t>
      </w:r>
      <w:r>
        <w:t>Abstract enthält keine benennbaren Zahlen oder Ergebnisse; nur Studiendesign beschrieben. Ausschluss.</w:t>
      </w:r>
    </w:p>
    <w:p>
      <w:r>
        <w:rPr>
          <w:b/>
          <w:sz w:val="19"/>
        </w:rPr>
        <w:t xml:space="preserve">Übertragbarkeit: </w:t>
      </w:r>
      <w:r>
        <w:rPr>
          <w:sz w:val="19"/>
        </w:rPr>
        <w:t>Ausgeschlossen</w:t>
      </w:r>
    </w:p>
    <w:p>
      <w:r>
        <w:rPr>
          <w:color w:val="5A7D3A"/>
          <w:sz w:val="18"/>
        </w:rPr>
        <w:t>https://pubmed.ncbi.nlm.nih.gov/42809232/</w:t>
      </w:r>
    </w:p>
    <w:p>
      <w:pPr>
        <w:pStyle w:val="Heading1"/>
      </w:pPr>
      <w:r>
        <w:t>Aufgenommen am 06.10.2026</w:t>
      </w:r>
    </w:p>
    <w:p>
      <w:pPr>
        <w:pStyle w:val="Heading2"/>
      </w:pPr>
      <w:r>
        <w:t>Zugang zu sexueller und reproduktiver Gesundheit bei Jugendlichen in Mogadischu: Qualitative Studie</w:t>
      </w:r>
    </w:p>
    <w:p>
      <w:r>
        <w:rPr>
          <w:i/>
          <w:color w:val="666666"/>
          <w:sz w:val="18"/>
        </w:rPr>
        <w:t>Asowe HA et al.  ·  Sex Health  ·  20.10.2026  ·  PMID 42833641</w:t>
      </w:r>
    </w:p>
    <w:p>
      <w:r>
        <w:t>Qualitative Mixed-Methods-Studie zu Zugang und Inanspruchnahme von Sexual- und Reproduktionsgesundheits-Dienstleistungen bei Jugendlichen in Mogadischu, Somalia.</w:t>
      </w:r>
    </w:p>
    <w:p>
      <w:r>
        <w:rPr>
          <w:b/>
        </w:rPr>
        <w:t xml:space="preserve">Ergebnis: </w:t>
      </w:r>
      <w:r>
        <w:t>21 Gesundheitseinrichtungen identifiziert, aber Dienste nicht auf Jugendliche zugeschnitten. Hauptbarrieren: Stigma, soziale Normen, Geschlechterdynamiken (männliche Zustimmung erforderlich), finanzielle und logistische Hindernisse. Dringend Bedarf für jugendfreundliche, geschlechtssensible Dienste und Norm-Veränderungsaktivitäten.</w:t>
      </w:r>
    </w:p>
    <w:p>
      <w:r>
        <w:rPr>
          <w:b/>
          <w:sz w:val="19"/>
        </w:rPr>
        <w:t xml:space="preserve">Übertragbarkeit: </w:t>
      </w:r>
      <w:r>
        <w:rPr>
          <w:sz w:val="19"/>
        </w:rPr>
        <w:t>Humanitarian-setting, Systemkontext sehr unterschiedlich, Befunde zu Zugangsbarrieren aber international relevant</w:t>
      </w:r>
    </w:p>
    <w:p>
      <w:r>
        <w:rPr>
          <w:color w:val="5A7D3A"/>
          <w:sz w:val="18"/>
        </w:rPr>
        <w:t>https://pubmed.ncbi.nlm.nih.gov/42833641/</w:t>
      </w:r>
    </w:p>
    <w:p>
      <w:pPr>
        <w:pStyle w:val="Heading2"/>
      </w:pPr>
      <w:r>
        <w:t>Expert Agreement on Palliative Reasoning and Monitoring in Heart Failure: International Delphi Study</w:t>
      </w:r>
    </w:p>
    <w:p>
      <w:r>
        <w:rPr>
          <w:i/>
          <w:color w:val="666666"/>
          <w:sz w:val="18"/>
        </w:rPr>
        <w:t>De Leeuw JCB et al.  ·  J Pain Symptom Manage  ·  05.10.2026  ·  PMID 42833597</w:t>
      </w:r>
    </w:p>
    <w:p>
      <w:r>
        <w:t>Internationale Delphi-Studie zur Etablierung von Expertenkonsens über palliative Versorgung bei Herzinsuffizienz aus neun europäischen Ländern.</w:t>
      </w:r>
    </w:p>
    <w:p>
      <w:r>
        <w:rPr>
          <w:b/>
        </w:rPr>
        <w:t xml:space="preserve">Ergebnis: </w:t>
      </w:r>
      <w:r>
        <w:t>156 Experten (Runde 1) und 121 (Runde 2, 78,1% Retention) erreichten Konsens über alle Schritte der palliativen Versorgung (I-CVI 0,82–0,95). Von 33 Symptomen erreichtenÂ 76% Übereinstimmung zu Relevanz und Formulierung. Monitoring-Instrument für Symptome, Wünsche und Bedarf entwickelt.</w:t>
      </w:r>
    </w:p>
    <w:p>
      <w:r>
        <w:rPr>
          <w:b/>
          <w:sz w:val="19"/>
        </w:rPr>
        <w:t xml:space="preserve">Übertragbarkeit: </w:t>
      </w:r>
      <w:r>
        <w:rPr>
          <w:sz w:val="19"/>
        </w:rPr>
        <w:t>Niederländische/europäische Leitung, neun europäische Länder, systemvergleichbar</w:t>
      </w:r>
    </w:p>
    <w:p>
      <w:r>
        <w:rPr>
          <w:color w:val="5A7D3A"/>
          <w:sz w:val="18"/>
        </w:rPr>
        <w:t>https://pubmed.ncbi.nlm.nih.gov/42833597/</w:t>
      </w:r>
    </w:p>
    <w:p>
      <w:pPr>
        <w:pStyle w:val="Heading2"/>
      </w:pPr>
      <w:r>
        <w:t>FOCUS-Tool zur Priorisierung von Guideline-Empfehlungen für Shared Decision Making</w:t>
      </w:r>
    </w:p>
    <w:p>
      <w:r>
        <w:rPr>
          <w:i/>
          <w:color w:val="666666"/>
          <w:sz w:val="18"/>
        </w:rPr>
        <w:t>Orduhan C et al.  ·  J Clin Epidemiol  ·  05.10.2026  ·  PMID 42833371</w:t>
      </w:r>
    </w:p>
    <w:p>
      <w:r>
        <w:t>Entwicklung und Test des FOCUS-Tools zur systematischen Identifikation von Guideline-Empfehlungen, die sich für Shared Decision Making eignen.</w:t>
      </w:r>
    </w:p>
    <w:p>
      <w:r>
        <w:rPr>
          <w:b/>
        </w:rPr>
        <w:t xml:space="preserve">Ergebnis: </w:t>
      </w:r>
      <w:r>
        <w:t>Fünf Items definiert: (1) multiple Optionen mit unterschiedlichen Nutzen-Schaden-Profilen, (2) Entscheidung mit Auswirkungen, (3) potenzielle Diskrepanz in Werten/Vorlieben, (4) Behandlungslast und finanzielle Aspekte, (5) Unsicherheit der Evidenz. Mittelwerte ≥3,38 auf 5-Punkt-Skala für Verständlichkeit, Anwendbarkeit und Nützlichkeit. 12 Teilnehmer aus acht Ländern, gute Akzeptanz.</w:t>
      </w:r>
    </w:p>
    <w:p>
      <w:r>
        <w:rPr>
          <w:b/>
          <w:sz w:val="19"/>
        </w:rPr>
        <w:t xml:space="preserve">Übertragbarkeit: </w:t>
      </w:r>
      <w:r>
        <w:rPr>
          <w:sz w:val="19"/>
        </w:rPr>
        <w:t>Deutsche Beteiligung, internationale Guideline-Entwicklung, systemunabhängige Methode</w:t>
      </w:r>
    </w:p>
    <w:p>
      <w:r>
        <w:rPr>
          <w:color w:val="5A7D3A"/>
          <w:sz w:val="18"/>
        </w:rPr>
        <w:t>https://pubmed.ncbi.nlm.nih.gov/42833371/</w:t>
      </w:r>
    </w:p>
    <w:p>
      <w:pPr>
        <w:pStyle w:val="Heading2"/>
      </w:pPr>
      <w:r>
        <w:t>National Ovarian Cancer Audit (NOCA) 2026: Qualitätsverbesserung der Ovarialkarzinom-Versorgung</w:t>
      </w:r>
    </w:p>
    <w:p>
      <w:r>
        <w:rPr>
          <w:i/>
          <w:color w:val="666666"/>
          <w:sz w:val="18"/>
        </w:rPr>
        <w:t>Zachou G et al.  ·  Clin Oncol (R Coll Radiol)  ·  10.09.2026  ·  PMID 42828886</w:t>
      </w:r>
    </w:p>
    <w:p>
      <w:r>
        <w:t>Nationale englisch-walisische Auditberichte zu Struktur-, Prozess- und Outcome-Qualität in der Ovarialkarzinom-Behandlung mit Quality-Improvement-Empfehlungen.</w:t>
      </w:r>
    </w:p>
    <w:p>
      <w:r>
        <w:rPr>
          <w:b/>
        </w:rPr>
        <w:t xml:space="preserve">Ergebnis: </w:t>
      </w:r>
      <w:r>
        <w:t>Daten nicht im Abstract verfügbar, aber Audit mit anschließenden Qualitätsverbesserungs-Interventionen durchgeführt. Fokus auf Standardisierung der Versorgung und Reduktion von Variabilität.</w:t>
      </w:r>
    </w:p>
    <w:p>
      <w:r>
        <w:rPr>
          <w:b/>
          <w:sz w:val="19"/>
        </w:rPr>
        <w:t xml:space="preserve">Übertragbarkeit: </w:t>
      </w:r>
      <w:r>
        <w:rPr>
          <w:sz w:val="19"/>
        </w:rPr>
        <w:t>Englisch-walisisches System, aber Audit-Methodologie und Qualitätsziele auf deutsches System übertragbar</w:t>
      </w:r>
    </w:p>
    <w:p>
      <w:r>
        <w:rPr>
          <w:color w:val="5A7D3A"/>
          <w:sz w:val="18"/>
        </w:rPr>
        <w:t>https://pubmed.ncbi.nlm.nih.gov/42828886/</w:t>
      </w:r>
    </w:p>
    <w:p>
      <w:pPr>
        <w:pStyle w:val="Heading2"/>
      </w:pPr>
      <w:r>
        <w:t>Langfristiges Rezidivrisiko nach Hysterektomie zur Prolaps-Behandlung</w:t>
      </w:r>
    </w:p>
    <w:p>
      <w:r>
        <w:rPr>
          <w:i/>
          <w:color w:val="666666"/>
          <w:sz w:val="18"/>
        </w:rPr>
        <w:t>Latack KR et al.  ·  Int Urogynecol J  ·  01.10.2026  ·  PMID 42821111</w:t>
      </w:r>
    </w:p>
    <w:p>
      <w:r>
        <w:t>Retrospektive Versicherungsanspruchsanalyse zu Prolaps-Retreatment nach Hysterektomie bei Prolaps-Diagnose, stratifiziert nach chirurgischem Zugang und Begleitverfahren.</w:t>
      </w:r>
    </w:p>
    <w:p>
      <w:r>
        <w:rPr>
          <w:b/>
        </w:rPr>
        <w:t xml:space="preserve">Ergebnis: </w:t>
      </w:r>
      <w:r>
        <w:t>7017 Patienten (Durchschnittsalter 51,3 Jahre). Concurrent Prolaps-Verfahren in 82%. Nach 24.129 Personenjahren: 399 Patienten (5,7%) retreated. Inzidenzrate 16,5 pro 1000 Personenjahre (95% CI 14,9–18,2). Vaginal vs. laparoskopisch: kein signifikanter Unterschied nach Adjustierung (aHR 1,39). Mit Colpopexy: abdominaler Zugang deutlich höheres Risiko.</w:t>
      </w:r>
    </w:p>
    <w:p>
      <w:r>
        <w:rPr>
          <w:b/>
          <w:sz w:val="19"/>
        </w:rPr>
        <w:t xml:space="preserve">Übertragbarkeit: </w:t>
      </w:r>
      <w:r>
        <w:rPr>
          <w:sz w:val="19"/>
        </w:rPr>
        <w:t>US-Versicherungsdaten, aber gynäkologische Fragestellung zur Prozessoptimierung systemunabhängig übertragbar</w:t>
      </w:r>
    </w:p>
    <w:p>
      <w:r>
        <w:rPr>
          <w:color w:val="5A7D3A"/>
          <w:sz w:val="18"/>
        </w:rPr>
        <w:t>https://pubmed.ncbi.nlm.nih.gov/42821111/</w:t>
      </w:r>
    </w:p>
    <w:p>
      <w:pPr>
        <w:pStyle w:val="Heading2"/>
      </w:pPr>
      <w:r>
        <w:t>Nachbarschafts-Umgebung und Präeklampsie-Risiko: Machine-Learning-Analyse</w:t>
      </w:r>
    </w:p>
    <w:p>
      <w:r>
        <w:rPr>
          <w:i/>
          <w:color w:val="666666"/>
          <w:sz w:val="18"/>
        </w:rPr>
        <w:t>Paris CF et al.  ·  Pregnancy (Hoboken)  ·  29.09.2026  ·  PMID 42819622</w:t>
      </w:r>
    </w:p>
    <w:p>
      <w:r>
        <w:t>Matched-Case-Control-Studie mit Machine Learning zur Bestimmung der relativen Bedeutung von Nachbarschaftsfaktoren (soziale Vulnerabilität, gebaute Umgebung) für Präeklampsie-Risiko in Philadelphia.</w:t>
      </w:r>
    </w:p>
    <w:p>
      <w:r>
        <w:rPr>
          <w:b/>
        </w:rPr>
        <w:t xml:space="preserve">Ergebnis: </w:t>
      </w:r>
      <w:r>
        <w:t>18.754 Teilnehmer (4.689 Präeklampsie-Fälle, 14.065 Kontrollen). Drei Nachbarschafts-Gesundheits-Vulnerabilitätsfaktoren am wichtigsten: Prävalenz von Adipositas, hohem Blutdruck und kurzer Schlafdauer bei Erwachsenen. Assoziationen mit Nachbarschafts-Hypertonie-Prävalenz besonders relevant für Präeklampsie-Prävention.</w:t>
      </w:r>
    </w:p>
    <w:p>
      <w:r>
        <w:rPr>
          <w:b/>
          <w:sz w:val="19"/>
        </w:rPr>
        <w:t xml:space="preserve">Übertragbarkeit: </w:t>
      </w:r>
      <w:r>
        <w:rPr>
          <w:sz w:val="19"/>
        </w:rPr>
        <w:t>US-Daten aus Philadelphia, aber sozialstrukturelle Fragestellung und Risiko-Identifikation systemunabhängig relevant</w:t>
      </w:r>
    </w:p>
    <w:p>
      <w:r>
        <w:rPr>
          <w:color w:val="5A7D3A"/>
          <w:sz w:val="18"/>
        </w:rPr>
        <w:t>https://pubmed.ncbi.nlm.nih.gov/42819622/</w:t>
      </w:r>
    </w:p>
    <w:p>
      <w:pPr>
        <w:pStyle w:val="Heading1"/>
      </w:pPr>
      <w:r>
        <w:t>Aufgenommen am 05.10.2026</w:t>
      </w:r>
    </w:p>
    <w:p>
      <w:pPr>
        <w:pStyle w:val="Heading2"/>
      </w:pPr>
      <w:r>
        <w:t>TALK-Debriefing-Methode verbessert Interprofessionalität und Patientensicherheit</w:t>
      </w:r>
    </w:p>
    <w:p>
      <w:r>
        <w:rPr>
          <w:i/>
          <w:color w:val="666666"/>
          <w:sz w:val="18"/>
        </w:rPr>
        <w:t>Targino JSO et al.  ·  J Eval Clin Pract  ·  Okt. 2026  ·  PMID 42829905</w:t>
      </w:r>
    </w:p>
    <w:p>
      <w:r>
        <w:t>Qualitative Aktionsforschung mit 12 Gesundheitsfachpersonen untersuchte Auswirkungen der TALK-Debriefing-Methode auf interprofessionelle Kommunikation und Patientensicherheit in brasilianischer Sekundärversorgung.</w:t>
      </w:r>
    </w:p>
    <w:p>
      <w:r>
        <w:rPr>
          <w:b/>
        </w:rPr>
        <w:t xml:space="preserve">Ergebnis: </w:t>
      </w:r>
      <w:r>
        <w:t>TALK-Methode funktionierte als strukturierendes Instrument für reflektive Praxis und reorganisierte interprofessionelle Interaktionen. Teilnehmer berichteten Verbesserungen in Kommunikation, Teamintegration und Versorgungsplanung sowie psychologisch sichere, nicht-punitives Umfeld. Barrieren: Zeitknappheit, Arbeitsbelastung, variable Engagement, begrenzte institutionelle Unterstützung.</w:t>
      </w:r>
    </w:p>
    <w:p>
      <w:r>
        <w:rPr>
          <w:b/>
          <w:sz w:val="19"/>
        </w:rPr>
        <w:t xml:space="preserve">Übertragbarkeit: </w:t>
      </w:r>
      <w:r>
        <w:rPr>
          <w:sz w:val="19"/>
        </w:rPr>
        <w:t>Qualitatives Design, systemunabhängige Fragestellung zu Kommunikation und Teamentwicklung</w:t>
      </w:r>
    </w:p>
    <w:p>
      <w:r>
        <w:rPr>
          <w:color w:val="5A7D3A"/>
          <w:sz w:val="18"/>
        </w:rPr>
        <w:t>https://pubmed.ncbi.nlm.nih.gov/42829905/</w:t>
      </w:r>
    </w:p>
    <w:p>
      <w:pPr>
        <w:pStyle w:val="Heading2"/>
      </w:pPr>
      <w:r>
        <w:t>Ernährungsberatung reduziert Alkoholkonsum bei mild kognitiver Beeinträchtigung</w:t>
      </w:r>
    </w:p>
    <w:p>
      <w:r>
        <w:rPr>
          <w:i/>
          <w:color w:val="666666"/>
          <w:sz w:val="18"/>
        </w:rPr>
        <w:t>Scheuermann JS et al.  ·  BMC Public Health  ·  03.10.2026  ·  PMID 42829430</w:t>
      </w:r>
    </w:p>
    <w:p>
      <w:r>
        <w:t>Sekundäranalyse eines RCT untersuchte, ob Ernährungsberatung (WFPB oder DGE-Richtlinien) den Alkoholkonsum bei 189 Personen mit milder kognitiver Beeinträchtigung über 12 Monate reduziert.</w:t>
      </w:r>
    </w:p>
    <w:p>
      <w:r>
        <w:rPr>
          <w:b/>
        </w:rPr>
        <w:t xml:space="preserve">Ergebnis: </w:t>
      </w:r>
      <w:r>
        <w:t>Beide Interventionen führten zu signifikanter Reduktion des Alkoholkonsums (Cohens d = 0,30 für WFPB; d = 0,39 für DGE). Frauen profitierten substanziell nur von DGE-Beratung (d = 0,33). Höherer Baseline-Alkoholkonsum, höheres Alter und bessere Adhärenz waren Prädiktoren für stärkere Reduktion.</w:t>
      </w:r>
    </w:p>
    <w:p>
      <w:r>
        <w:rPr>
          <w:b/>
          <w:sz w:val="19"/>
        </w:rPr>
        <w:t xml:space="preserve">Übertragbarkeit: </w:t>
      </w:r>
      <w:r>
        <w:rPr>
          <w:sz w:val="19"/>
        </w:rPr>
        <w:t>Deutsche RCT mit deutschen Interventionen (DGE-Richtlinien), Routine-Datenerfassung übertragbar</w:t>
      </w:r>
    </w:p>
    <w:p>
      <w:r>
        <w:rPr>
          <w:color w:val="5A7D3A"/>
          <w:sz w:val="18"/>
        </w:rPr>
        <w:t>https://pubmed.ncbi.nlm.nih.gov/42829430/</w:t>
      </w:r>
    </w:p>
    <w:p>
      <w:pPr>
        <w:pStyle w:val="Heading2"/>
      </w:pPr>
      <w:r>
        <w:t>Telehealth-Coaching für periphere arterielle Verschlusskrankheit kosteneffektiv unter günstigen Bedingungen</w:t>
      </w:r>
    </w:p>
    <w:p>
      <w:r>
        <w:rPr>
          <w:i/>
          <w:color w:val="666666"/>
          <w:sz w:val="18"/>
        </w:rPr>
        <w:t>Heider D et al.  ·  Am J Prev Cardiol  ·  14.07.2026  ·  PMID 42828241</w:t>
      </w:r>
    </w:p>
    <w:p>
      <w:r>
        <w:t>Kosteneffektivitätsanalyse eines 12-Monatigen Telehealth-Coaching- und Remote-Monitoring-Programms (TeGeCoach) für 394 PAD-Patienten basierend auf Krankenkassendaten und Fragebögen.</w:t>
      </w:r>
    </w:p>
    <w:p>
      <w:r>
        <w:rPr>
          <w:b/>
        </w:rPr>
        <w:t xml:space="preserve">Ergebnis: </w:t>
      </w:r>
      <w:r>
        <w:t>Bei WTP-Schwellenwert von 50.000 Euro: ITT 30% Wahrscheinlichkeit kosteneffektiv; mITT 79%; PP 95%. Interventionskosten 672 Euro. Unter PP-Analyse kosteneffektiv, aber ITT-Szenario nicht. Anpassung der Implementierung notwendig.</w:t>
      </w:r>
    </w:p>
    <w:p>
      <w:r>
        <w:rPr>
          <w:b/>
          <w:sz w:val="19"/>
        </w:rPr>
        <w:t xml:space="preserve">Übertragbarkeit: </w:t>
      </w:r>
      <w:r>
        <w:rPr>
          <w:sz w:val="19"/>
        </w:rPr>
        <w:t>Deutsche Krankenversicherungsdaten, praktische Implementierungsfrage für deutsche Versorgung</w:t>
      </w:r>
    </w:p>
    <w:p>
      <w:r>
        <w:rPr>
          <w:color w:val="5A7D3A"/>
          <w:sz w:val="18"/>
        </w:rPr>
        <w:t>https://pubmed.ncbi.nlm.nih.gov/42828241/</w:t>
      </w:r>
    </w:p>
    <w:p>
      <w:pPr>
        <w:pStyle w:val="Heading2"/>
      </w:pPr>
      <w:r>
        <w:t>Wiederholte pulmonale Rehabilitation bei COPD bleibt wirksam trotz kleinerer Gewinne</w:t>
      </w:r>
    </w:p>
    <w:p>
      <w:r>
        <w:rPr>
          <w:i/>
          <w:color w:val="666666"/>
          <w:sz w:val="18"/>
        </w:rPr>
        <w:t>Mohammed J et al.  ·  Can J Respir Ther  ·  30.09.2026  ·  PMID 42828082</w:t>
      </w:r>
    </w:p>
    <w:p>
      <w:r>
        <w:t>Retrospektive Analyse von 429 COPD-Patienten, die zwei Rehabilitationsprogramme (PR1 und PR2) an Ciro (Niederlande) zwischen 2005 und 2022 absolvierten.</w:t>
      </w:r>
    </w:p>
    <w:p>
      <w:r>
        <w:rPr>
          <w:b/>
        </w:rPr>
        <w:t xml:space="preserve">Ergebnis: </w:t>
      </w:r>
      <w:r>
        <w:t>Nach PR1 und PR2 signifikante Verbesserungen: 6MWD (PR1: 37,0 m [29,2–44,8]; PR2: 27,0 m [19,2–34,8]), Quadrizeps-Kraft (PR1: 10,4 Nm; PR2: 8,6 Nm), CAT, SGRQ, HADS und COPM. Gewinne nach PR2 kleiner, aber klinisch bedeutsam. Alle Outcomes zwischen PR1 und PR2 signifikant rückläufig.</w:t>
      </w:r>
    </w:p>
    <w:p>
      <w:r>
        <w:rPr>
          <w:b/>
          <w:sz w:val="19"/>
        </w:rPr>
        <w:t xml:space="preserve">Übertragbarkeit: </w:t>
      </w:r>
      <w:r>
        <w:rPr>
          <w:sz w:val="19"/>
        </w:rPr>
        <w:t>Niederländisches spezialisiertes Rehabilitationszentrum, vergleichbares System, Ergebnisse übertragbar</w:t>
      </w:r>
    </w:p>
    <w:p>
      <w:r>
        <w:rPr>
          <w:color w:val="5A7D3A"/>
          <w:sz w:val="18"/>
        </w:rPr>
        <w:t>https://pubmed.ncbi.nlm.nih.gov/42828082/</w:t>
      </w:r>
    </w:p>
    <w:p>
      <w:pPr>
        <w:pStyle w:val="Heading2"/>
      </w:pPr>
      <w:r>
        <w:t>Theory of Mind: kognitives Endophänotyp bei juveniler myoklonischer Epilepsie?</w:t>
      </w:r>
    </w:p>
    <w:p>
      <w:r>
        <w:rPr>
          <w:i/>
          <w:color w:val="666666"/>
          <w:sz w:val="18"/>
        </w:rPr>
        <w:t>Crespo-Pimentel B et al.  ·  Epilepsia  ·  01.10.2026  ·  PMID 42821310</w:t>
      </w:r>
    </w:p>
    <w:p>
      <w:r>
        <w:t>Prospektive Querschnittsstudie mit 52 Patienten mit juveniler myoklonischer Epilepsie (JME), 13 nicht-betroffenen Geschwistern und 64 gesunden Kontrollen untersuchte soziale Kognition als mögliches Endophänotyp.</w:t>
      </w:r>
    </w:p>
    <w:p>
      <w:r>
        <w:rPr>
          <w:b/>
        </w:rPr>
        <w:t xml:space="preserve">Ergebnis: </w:t>
      </w:r>
      <w:r>
        <w:t>JME-Patienten zeigten reduzierte Leistung bei Aufgaben zu Mentalisieren über Überzeugungen (Faux Pas Test, Reading Mind in the Eyes). Geschwister unterschieden sich nicht signifikant von JME-Patienten oder Kontrollen. Selektive Beeinträchtigung des Mentalisierens über Überzeugungen in JME, aber keine Evidenz für Endophänotyp-Rolle in dieser Stichprobe.</w:t>
      </w:r>
    </w:p>
    <w:p>
      <w:r>
        <w:rPr>
          <w:b/>
          <w:sz w:val="19"/>
        </w:rPr>
        <w:t xml:space="preserve">Übertragbarkeit: </w:t>
      </w:r>
      <w:r>
        <w:rPr>
          <w:sz w:val="19"/>
        </w:rPr>
        <w:t>Österreich-basierte Studie, systemunabhängige neuropsychologische Fragestellung</w:t>
      </w:r>
    </w:p>
    <w:p>
      <w:r>
        <w:rPr>
          <w:color w:val="5A7D3A"/>
          <w:sz w:val="18"/>
        </w:rPr>
        <w:t>https://pubmed.ncbi.nlm.nih.gov/42821310/</w:t>
      </w:r>
    </w:p>
    <w:p>
      <w:pPr>
        <w:pStyle w:val="Heading2"/>
      </w:pPr>
      <w:r>
        <w:t>Schlechte Adhärenz zu evidenzbasierter kardiovaskulärer Prävention bei schweren psychischen Erkrankungen in Norwegen</w:t>
      </w:r>
    </w:p>
    <w:p>
      <w:r>
        <w:rPr>
          <w:i/>
          <w:color w:val="666666"/>
          <w:sz w:val="18"/>
        </w:rPr>
        <w:t>Larsen S et al.  ·  Nord J Psychiatry  ·  30.09.2026  ·  PMID 42813764</w:t>
      </w:r>
    </w:p>
    <w:p>
      <w:r>
        <w:t>Multizenter-Studie mit 230 Patienten (Schizophrenie/bipolare Störung oder Antipsychotika-Nutzer) untersuchte Adhärenz zu evidenzbasierter kardiovaskulärer Prävention mittels Fidelity Scale.</w:t>
      </w:r>
    </w:p>
    <w:p>
      <w:r>
        <w:rPr>
          <w:b/>
        </w:rPr>
        <w:t xml:space="preserve">Ergebnis: </w:t>
      </w:r>
      <w:r>
        <w:t>Seiten zeigten geringe Fidelity-Scores (höher bei Richtlinien als bei Praktiken). Alle Risikofaktoren hochprevalent: tägliches Rauchen/Schnuff 58,1%. Zwischen Fidelity und Patientenergebnissen keine signifikanten Assoziationen nach Adjustierung. Spezialistische Versorgungsanbieter zeigten niedrige Adhärenz zu evidenzbasierter kardiovaskulärer Risikomanagement-Praxis.</w:t>
      </w:r>
    </w:p>
    <w:p>
      <w:r>
        <w:rPr>
          <w:b/>
          <w:sz w:val="19"/>
        </w:rPr>
        <w:t xml:space="preserve">Übertragbarkeit: </w:t>
      </w:r>
      <w:r>
        <w:rPr>
          <w:sz w:val="19"/>
        </w:rPr>
        <w:t>Norwegische spezialisierte psychische Gesundheitsversorgung, vergleichbar mit deutschem System</w:t>
      </w:r>
    </w:p>
    <w:p>
      <w:r>
        <w:rPr>
          <w:color w:val="5A7D3A"/>
          <w:sz w:val="18"/>
        </w:rPr>
        <w:t>https://pubmed.ncbi.nlm.nih.gov/42813764/</w:t>
      </w:r>
    </w:p>
    <w:p>
      <w:pPr>
        <w:pStyle w:val="Heading1"/>
      </w:pPr>
      <w:r>
        <w:t>Aufgenommen am 04.10.2026</w:t>
      </w:r>
    </w:p>
    <w:p>
      <w:pPr>
        <w:pStyle w:val="Heading2"/>
      </w:pPr>
      <w:r>
        <w:t>Längere MOUD-Dauer senkt postpartales Überdosis- und Sterblichkeitsrisiko</w:t>
      </w:r>
    </w:p>
    <w:p>
      <w:r>
        <w:rPr>
          <w:i/>
          <w:color w:val="666666"/>
          <w:sz w:val="18"/>
        </w:rPr>
        <w:t>Kim A et al.  ·  JAMA Netw Open  ·  01.10.2026  ·  PMID 42826020</w:t>
      </w:r>
    </w:p>
    <w:p>
      <w:r>
        <w:t>Retrospektive Kohorte mit Tennessee-Medicaid-Daten zu Schwangerschaften mit Medikamentöser Opioid-Abhängigkeitsbehandlung (MOUD) und postpartalem Überdosis-/Mortalitätsrisiko.</w:t>
      </w:r>
    </w:p>
    <w:p>
      <w:r>
        <w:rPr>
          <w:b/>
        </w:rPr>
        <w:t xml:space="preserve">Ergebnis: </w:t>
      </w:r>
      <w:r>
        <w:t>Unter 9.360 Schwangerschaften betrug die 1-Jahres-Postpartum-Mortalität/-Überdosisrate 1,58% (148 Fälle). Längere MOUD-Dauer während Schwangerschaft assoziiert mit niedrigerem Risiko: adjustierte Hazard Ratio für 132 vs. 1 Tag MOUD-Versorgung 0,52 (95%-KI 0,31–0,88).</w:t>
      </w:r>
    </w:p>
    <w:p>
      <w:r>
        <w:rPr>
          <w:b/>
          <w:sz w:val="19"/>
        </w:rPr>
        <w:t xml:space="preserve">Übertragbarkeit: </w:t>
      </w:r>
      <w:r>
        <w:rPr>
          <w:sz w:val="19"/>
        </w:rPr>
        <w:t>US-Medicaid-Daten; Fragestellung zur kontinuierlichen Opioid-Substitutionsbehandlung systemunabhängig relevant.</w:t>
      </w:r>
    </w:p>
    <w:p>
      <w:r>
        <w:rPr>
          <w:color w:val="5A7D3A"/>
          <w:sz w:val="18"/>
        </w:rPr>
        <w:t>https://pubmed.ncbi.nlm.nih.gov/42826020/</w:t>
      </w:r>
    </w:p>
    <w:p>
      <w:pPr>
        <w:pStyle w:val="Heading2"/>
      </w:pPr>
      <w:r>
        <w:t>Regionale Disparitäten beim direkten Rettungsdienst-Transport zu geriatrischen Notfallstationen</w:t>
      </w:r>
    </w:p>
    <w:p>
      <w:r>
        <w:rPr>
          <w:i/>
          <w:color w:val="666666"/>
          <w:sz w:val="18"/>
        </w:rPr>
        <w:t>Varg S et al.  ·  BMC Geriatr  ·  02.10.2026  ·  PMID 42823763</w:t>
      </w:r>
    </w:p>
    <w:p>
      <w:r>
        <w:t>Schwedische Register-Studie zu geografischen Unterschieden bei direkter Rettungsdienst-Zuweisung älterer Patienten (≥65J.) zu Notaufnahmen versus geriatrischen Spezialstationen.</w:t>
      </w:r>
    </w:p>
    <w:p>
      <w:r>
        <w:rPr>
          <w:b/>
        </w:rPr>
        <w:t xml:space="preserve">Ergebnis: </w:t>
      </w:r>
      <w:r>
        <w:t>Von 8.208 älteren Patienten wurden 7% (603) direkt zu geriatrischen Stationen transportiert. Zwischen Krankenhauseinzugsgebieten stark variierend (4–21%). Nach Adjustierung reduzierte sich Varianz um 41%, aber erhebliche regionale Unterschiede blieben (MOR=1,54).</w:t>
      </w:r>
    </w:p>
    <w:p>
      <w:r>
        <w:rPr>
          <w:b/>
          <w:sz w:val="19"/>
        </w:rPr>
        <w:t xml:space="preserve">Übertragbarkeit: </w:t>
      </w:r>
      <w:r>
        <w:rPr>
          <w:sz w:val="19"/>
        </w:rPr>
        <w:t>Schweden (Steuerfinanzierung); Prozessqualität und Zugangssteuerung in Primärversorgung auf deutsche Kontexte nur eingeschränkt übertragbar.</w:t>
      </w:r>
    </w:p>
    <w:p>
      <w:r>
        <w:rPr>
          <w:color w:val="5A7D3A"/>
          <w:sz w:val="18"/>
        </w:rPr>
        <w:t>https://pubmed.ncbi.nlm.nih.gov/42823763/</w:t>
      </w:r>
    </w:p>
    <w:p>
      <w:pPr>
        <w:pStyle w:val="Heading2"/>
      </w:pPr>
      <w:r>
        <w:t>Aktualisiertes WHO-STEPS-Modul zur Mundhygiene-Surveillance in der Bevölkerung</w:t>
      </w:r>
    </w:p>
    <w:p>
      <w:r>
        <w:rPr>
          <w:i/>
          <w:color w:val="666666"/>
          <w:sz w:val="18"/>
        </w:rPr>
        <w:t>Rendell N et al.  ·  Bull World Health Organ  ·  01.10.2026  ·  PMID 42820175</w:t>
      </w:r>
    </w:p>
    <w:p>
      <w:r>
        <w:t>WHO-Entwicklung eines aktualisierten Moduls zur Routine-Überwachung von Mundhygieneproblemen in Bevölkerungsumfragen zu nichtübertragbaren Erkrankungen.</w:t>
      </w:r>
    </w:p>
    <w:p>
      <w:r>
        <w:rPr>
          <w:b/>
        </w:rPr>
        <w:t xml:space="preserve">Ergebnis: </w:t>
      </w:r>
      <w:r>
        <w:t>Neues STEPS-Modul ergänzt bisherige Selbstangaben durch klinische Bewertungskomponente. Kann von Zahn- und Nicht-Zahnfachpersonal nach kurzer Schulung durchgeführt werden. Praktisch skalierbar zur Schließung persistierender Überwachungslücken.</w:t>
      </w:r>
    </w:p>
    <w:p>
      <w:r>
        <w:rPr>
          <w:b/>
          <w:sz w:val="19"/>
        </w:rPr>
        <w:t xml:space="preserve">Übertragbarkeit: </w:t>
      </w:r>
      <w:r>
        <w:rPr>
          <w:sz w:val="19"/>
        </w:rPr>
        <w:t>WHO-Empfehlung für globale Anwendbarkeit; für deutsche Public-Health-Surveillance relevant.</w:t>
      </w:r>
    </w:p>
    <w:p>
      <w:r>
        <w:rPr>
          <w:color w:val="5A7D3A"/>
          <w:sz w:val="18"/>
        </w:rPr>
        <w:t>https://pubmed.ncbi.nlm.nih.gov/42820175/</w:t>
      </w:r>
    </w:p>
    <w:p>
      <w:pPr>
        <w:pStyle w:val="Heading2"/>
      </w:pPr>
      <w:r>
        <w:t>Standardisierte Entlassungskriterien von Intensivstationen: Pilotimplementierung</w:t>
      </w:r>
    </w:p>
    <w:p>
      <w:r>
        <w:rPr>
          <w:i/>
          <w:color w:val="666666"/>
          <w:sz w:val="18"/>
        </w:rPr>
        <w:t>Hiller M et al.  ·  BMC Health Serv Res  ·  28.09.2026  ·  PMID 42811355</w:t>
      </w:r>
    </w:p>
    <w:p>
      <w:r>
        <w:t>Deutsche prospektive Pilotstudie zur Implementierbarkeit und klinischen Nutzbarkeit eines standardisierten Satzes von ICU-Entlassungskriterien in zwei Kliniken.</w:t>
      </w:r>
    </w:p>
    <w:p>
      <w:r>
        <w:rPr>
          <w:b/>
        </w:rPr>
        <w:t xml:space="preserve">Ergebnis: </w:t>
      </w:r>
      <w:r>
        <w:t>Elf patientenspezifische und organisationsspezifische Kriterien zeigten &gt;80% Completion bei Entlassungsentscheidungen und wurden als Kern-Set definiert. Organisationsspezifische Kriterien sollten je Klinik, Patientengruppen und Empfängerabteilungen angepasst werden.</w:t>
      </w:r>
    </w:p>
    <w:p>
      <w:r>
        <w:rPr>
          <w:b/>
          <w:sz w:val="19"/>
        </w:rPr>
        <w:t xml:space="preserve">Übertragbarkeit: </w:t>
      </w:r>
      <w:r>
        <w:rPr>
          <w:sz w:val="19"/>
        </w:rPr>
        <w:t>Deutsche Routinedaten aus zwei ICU-Stationen; direkt auf deutsches Versorgungssystem übertragbar.</w:t>
      </w:r>
    </w:p>
    <w:p>
      <w:r>
        <w:rPr>
          <w:color w:val="5A7D3A"/>
          <w:sz w:val="18"/>
        </w:rPr>
        <w:t>https://pubmed.ncbi.nlm.nih.gov/42811355/</w:t>
      </w:r>
    </w:p>
    <w:p>
      <w:pPr>
        <w:pStyle w:val="Heading2"/>
      </w:pPr>
      <w:r>
        <w:t>Arbeitgeberperspektiven auf Arbeitsplatzinklusion bei psychischen Erkrankungen</w:t>
      </w:r>
    </w:p>
    <w:p>
      <w:r>
        <w:rPr>
          <w:i/>
          <w:color w:val="666666"/>
          <w:sz w:val="18"/>
        </w:rPr>
        <w:t>Krumm S et al.  ·  BMC Health Serv Res  ·  28.09.2026  ·  PMID 42811348</w:t>
      </w:r>
    </w:p>
    <w:p>
      <w:r>
        <w:t>Qualitative Interview-Studie mit 29 deutschen Arbeitgebern zu Sichtweisen auf Inklusion von Arbeitnehmern mit psychischen Problemen.</w:t>
      </w:r>
    </w:p>
    <w:p>
      <w:r>
        <w:rPr>
          <w:b/>
        </w:rPr>
        <w:t xml:space="preserve">Ergebnis: </w:t>
      </w:r>
      <w:r>
        <w:t>Arbeitgeber beschrieben ambivalente Orientierungen: Normalisierungstrends einerseits, aber Verunsicherung bei Arbeitsorganisation, Teamdynamiken und Vorhersehbarkeit andererseits. Offenbarung, Eigenverantwortung und gegenseitiges Vertrauen wurden als zentral für Unterstützung betont.</w:t>
      </w:r>
    </w:p>
    <w:p>
      <w:r>
        <w:rPr>
          <w:b/>
          <w:sz w:val="19"/>
        </w:rPr>
        <w:t xml:space="preserve">Übertragbarkeit: </w:t>
      </w:r>
      <w:r>
        <w:rPr>
          <w:sz w:val="19"/>
        </w:rPr>
        <w:t>Deutsche Qualitätsstudie; direkt für deutsche Arbeitsmarkt- und Versorgungspolitik relevant.</w:t>
      </w:r>
    </w:p>
    <w:p>
      <w:r>
        <w:rPr>
          <w:color w:val="5A7D3A"/>
          <w:sz w:val="18"/>
        </w:rPr>
        <w:t>https://pubmed.ncbi.nlm.nih.gov/42811348/</w:t>
      </w:r>
    </w:p>
    <w:p>
      <w:pPr>
        <w:pStyle w:val="Heading2"/>
      </w:pPr>
      <w:r>
        <w:t>Radiotherapie-Personalnotstand UK: Reforming der Zertifizierung zur Schließung der Lücke</w:t>
      </w:r>
    </w:p>
    <w:p>
      <w:r>
        <w:rPr>
          <w:i/>
          <w:color w:val="666666"/>
          <w:sz w:val="18"/>
        </w:rPr>
        <w:t>Vulpe H et al.  ·  Eur J Cancer  ·  16.09.2026  ·  PMID 42810149</w:t>
      </w:r>
    </w:p>
    <w:p>
      <w:r>
        <w:t>Politische Analyse zur Personalknappheit in der klinischen Onkologie/Strahlentherapie im UK und Vorschlag für Regulierungsreform zur internationalen Rekrutierung.</w:t>
      </w:r>
    </w:p>
    <w:p>
      <w:r>
        <w:rPr>
          <w:b/>
        </w:rPr>
        <w:t xml:space="preserve">Ergebnis: </w:t>
      </w:r>
      <w:r>
        <w:t>17% Unterbesetzung in klinischer Onkologie heute, 26% prognostiziert bis 2030. UK-Dualausbildung (Radiotherapie + Systemtherapie) behindert Rekrutierung international trainierter Radiation Oncologists aus Systemen mit separaten Fachrichtungen.</w:t>
      </w:r>
    </w:p>
    <w:p>
      <w:r>
        <w:rPr>
          <w:b/>
          <w:sz w:val="19"/>
        </w:rPr>
        <w:t xml:space="preserve">Übertragbarkeit: </w:t>
      </w:r>
      <w:r>
        <w:rPr>
          <w:sz w:val="19"/>
        </w:rPr>
        <w:t>UK-Healthcare-System mit NHS; Regulierungsfragen systemabhängig, aber Workforceplanung grundsätzlich relevant.</w:t>
      </w:r>
    </w:p>
    <w:p>
      <w:r>
        <w:rPr>
          <w:color w:val="5A7D3A"/>
          <w:sz w:val="18"/>
        </w:rPr>
        <w:t>https://pubmed.ncbi.nlm.nih.gov/42810149/</w:t>
      </w:r>
    </w:p>
    <w:p>
      <w:pPr>
        <w:pStyle w:val="Heading2"/>
      </w:pPr>
      <w:r>
        <w:t>Geschlechter- und Diversitätsfaktoren in psychiatrischer Krankenhausbehandlung: Studienprotokoll PSY-DIVER</w:t>
      </w:r>
    </w:p>
    <w:p>
      <w:r>
        <w:rPr>
          <w:i/>
          <w:color w:val="666666"/>
          <w:sz w:val="18"/>
        </w:rPr>
        <w:t>Peters SJ et al.  ·  BMC Psychiatry  ·  24.09.2026  ·  PMID 42806324</w:t>
      </w:r>
    </w:p>
    <w:p>
      <w:r>
        <w:t>Deutsches Studienprotokoll zur Untersuchung von Geschlechts- und Diversitätsfaktoren (Alter, Migration, sexuelle Orientierung, Religion, SES) in der stationären psychiatrischen Versorgung.</w:t>
      </w:r>
    </w:p>
    <w:p>
      <w:r>
        <w:rPr>
          <w:b/>
        </w:rPr>
        <w:t xml:space="preserve">Ergebnis: </w:t>
      </w:r>
      <w:r>
        <w:t>Geplantes Mixed-Methods-Design mit Routinedaten-Analyse (500.000 stationäre Fälle 2015–2024), 31 Interviews und Online-Befragungen, Delphi-Prozess. NLP-gestützte Extraktion von Diversitätsvariablen aus klinischen Texten.</w:t>
      </w:r>
    </w:p>
    <w:p>
      <w:r>
        <w:rPr>
          <w:b/>
          <w:sz w:val="19"/>
        </w:rPr>
        <w:t xml:space="preserve">Übertragbarkeit: </w:t>
      </w:r>
      <w:r>
        <w:rPr>
          <w:sz w:val="19"/>
        </w:rPr>
        <w:t>Deutsche Studienplanung, neun psychiatrische LVR-Kliniken; hochgradig auf deutsches System übertragbar.</w:t>
      </w:r>
    </w:p>
    <w:p>
      <w:r>
        <w:rPr>
          <w:color w:val="5A7D3A"/>
          <w:sz w:val="18"/>
        </w:rPr>
        <w:t>https://pubmed.ncbi.nlm.nih.gov/42806324/</w:t>
      </w:r>
    </w:p>
    <w:p>
      <w:pPr>
        <w:pStyle w:val="Heading1"/>
      </w:pPr>
      <w:r>
        <w:t>Aufgenommen am 03.10.2026</w:t>
      </w:r>
    </w:p>
    <w:p>
      <w:pPr>
        <w:pStyle w:val="Heading2"/>
      </w:pPr>
      <w:r>
        <w:t>Rural medical students in China: nur 23% planen längerfristiges Bleiben im Landdienst</w:t>
      </w:r>
    </w:p>
    <w:p>
      <w:r>
        <w:rPr>
          <w:i/>
          <w:color w:val="666666"/>
          <w:sz w:val="18"/>
        </w:rPr>
        <w:t>Zhang X et al.  ·  BMC Health Serv Res  ·  21.09.2026  ·  PMID 42823771</w:t>
      </w:r>
    </w:p>
    <w:p>
      <w:r>
        <w:t>Qualitative Studie zu Bleibechancen ländlich ausgebildeter Medizinstudierender in chinesischen Stadtgesundheitszentren nach Pflichtdienst.</w:t>
      </w:r>
    </w:p>
    <w:p>
      <w:r>
        <w:rPr>
          <w:b/>
        </w:rPr>
        <w:t xml:space="preserve">Ergebnis: </w:t>
      </w:r>
      <w:r>
        <w:t>Von 26 befragten Studierenden wollten nur 23,1% (6/26) über die vorgeschriebene Dienstzeit hinaus bleiben. Führungsunterstützung erwies sich als prominentester Faktor für Unterschiede zwischen Bleibern und Weggehern. Work-Family-Balance war Erleichterungsfaktor. Karrieremobilitätsmechanismen wurden als unterentwickelt wahrgenommen.</w:t>
      </w:r>
    </w:p>
    <w:p>
      <w:r>
        <w:rPr>
          <w:b/>
          <w:sz w:val="19"/>
        </w:rPr>
        <w:t xml:space="preserve">Übertragbarkeit: </w:t>
      </w:r>
      <w:r>
        <w:rPr>
          <w:sz w:val="19"/>
        </w:rPr>
        <w:t>Nur bedingt: ländliche Kontexte in China; Fachkräftemangel aber global relevant.</w:t>
      </w:r>
    </w:p>
    <w:p>
      <w:r>
        <w:rPr>
          <w:color w:val="5A7D3A"/>
          <w:sz w:val="18"/>
        </w:rPr>
        <w:t>https://pubmed.ncbi.nlm.nih.gov/42823771/</w:t>
      </w:r>
    </w:p>
    <w:p>
      <w:pPr>
        <w:pStyle w:val="Heading2"/>
      </w:pPr>
      <w:r>
        <w:t>Specialist-led interprofessional weaning program reduces failed weaning in high-risk ICU patients</w:t>
      </w:r>
    </w:p>
    <w:p>
      <w:r>
        <w:rPr>
          <w:i/>
          <w:color w:val="666666"/>
          <w:sz w:val="18"/>
        </w:rPr>
        <w:t>Trudzinski FC et al.  ·  Crit Care  ·  30.09.2026  ·  PMID 42823746</w:t>
      </w:r>
    </w:p>
    <w:p>
      <w:r>
        <w:t>Deutsche Studie zur Wirksamkeit eines spezialisierten, interprofessionellen Beatmungsentwöhnungsprogramms bei intensivpflichtigen Patienten mit hohemRisiko.</w:t>
      </w:r>
    </w:p>
    <w:p>
      <w:r>
        <w:rPr>
          <w:b/>
        </w:rPr>
        <w:t xml:space="preserve">Ergebnis: </w:t>
      </w:r>
      <w:r>
        <w:t>In der propensity-score-matched Analyse wiesen Interventionspatienten höhere Quoten erfolgreicher Beatmungsentwöhnung auf (58,3% vs. 46,4%, OR 2,90; 95%-KI 1,61–5,24; p&lt;0,001). Im unadjustierten primären Analyseplan erreichte der Unterschied keine statistische Signifikanz (OR 1,46; p=0,057). Die Machbarkeit wurde demonstriert, mit 16,3% der Patienten in spezialisierte Weaning-Zentren verlegt.</w:t>
      </w:r>
    </w:p>
    <w:p>
      <w:r>
        <w:rPr>
          <w:b/>
          <w:sz w:val="19"/>
        </w:rPr>
        <w:t xml:space="preserve">Übertragbarkeit: </w:t>
      </w:r>
      <w:r>
        <w:rPr>
          <w:sz w:val="19"/>
        </w:rPr>
        <w:t>Deutsche Daten, ICU-Verweildauer und Beatmungsdauer sind zentrale Versorgungsergebnisse.</w:t>
      </w:r>
    </w:p>
    <w:p>
      <w:r>
        <w:rPr>
          <w:color w:val="5A7D3A"/>
          <w:sz w:val="18"/>
        </w:rPr>
        <w:t>https://pubmed.ncbi.nlm.nih.gov/42823746/</w:t>
      </w:r>
    </w:p>
    <w:p>
      <w:pPr>
        <w:pStyle w:val="Heading2"/>
      </w:pPr>
      <w:r>
        <w:t>Globale ökonomische Last der Schizophrenie: 243 Milliarden USD im Jahr 2019</w:t>
      </w:r>
    </w:p>
    <w:p>
      <w:r>
        <w:rPr>
          <w:i/>
          <w:color w:val="666666"/>
          <w:sz w:val="18"/>
        </w:rPr>
        <w:t>Welter LS et al.  ·  Int J Ment Health Syst  ·  29.09.2026  ·  PMID 42823740</w:t>
      </w:r>
    </w:p>
    <w:p>
      <w:r>
        <w:t>Health-Economic-Modeling-Studie zur globalen sozioökonomischen Last der Schizophrenie 2019 über 204 Länder (direkte, indirekte und informale Pflegekosten).</w:t>
      </w:r>
    </w:p>
    <w:p>
      <w:r>
        <w:rPr>
          <w:b/>
        </w:rPr>
        <w:t xml:space="preserve">Ergebnis: </w:t>
      </w:r>
      <w:r>
        <w:t>22,1 Millionen Erwachsene (0,39% Prävalenz) lebten mit Schizophrenie 2019. Gesamtkosten: 243,2 Milliarden USD (Kaufkraftparität): 47% direkte Kosten, 29% indirekt (Produktivitätsverluste), 24% informale Pflege. Obere-Mittel-Länder trugen proportional zu BIP am meisten, Hocheinkommensländer in absoluten und Pro-Kopf-Kosten am meisten. Regionale Heterogenität erheblich.</w:t>
      </w:r>
    </w:p>
    <w:p>
      <w:r>
        <w:rPr>
          <w:b/>
          <w:sz w:val="19"/>
        </w:rPr>
        <w:t xml:space="preserve">Übertragbarkeit: </w:t>
      </w:r>
      <w:r>
        <w:rPr>
          <w:sz w:val="19"/>
        </w:rPr>
        <w:t>Globale Modellierung; für Versorgungsforschung Deutschland relevant zur Kostenlast-Abschätzung.</w:t>
      </w:r>
    </w:p>
    <w:p>
      <w:r>
        <w:rPr>
          <w:color w:val="5A7D3A"/>
          <w:sz w:val="18"/>
        </w:rPr>
        <w:t>https://pubmed.ncbi.nlm.nih.gov/42823740/</w:t>
      </w:r>
    </w:p>
    <w:p>
      <w:pPr>
        <w:pStyle w:val="Heading2"/>
      </w:pPr>
      <w:r>
        <w:t>Muskel-Selbstmanagement und virtuelle Physiotherapie in Saudi-Arabien: Kulturelle Anpassungen erforderlich</w:t>
      </w:r>
    </w:p>
    <w:p>
      <w:r>
        <w:rPr>
          <w:i/>
          <w:color w:val="666666"/>
          <w:sz w:val="18"/>
        </w:rPr>
        <w:t>AlMuhana N et al.  ·  BMC Health Serv Res  ·  28.09.2026  ·  PMID 42823682</w:t>
      </w:r>
    </w:p>
    <w:p>
      <w:r>
        <w:t>Qualitative Studie (8 Fokusgruppen, n=36) zu Muskel-Selbstmanagement und Akzeptanz virtueller Physiotherapie in Saudi-Arabien.</w:t>
      </w:r>
    </w:p>
    <w:p>
      <w:r>
        <w:rPr>
          <w:b/>
        </w:rPr>
        <w:t xml:space="preserve">Ergebnis: </w:t>
      </w:r>
      <w:r>
        <w:t>Patienten praktizieren selbstgesteuertes Management wegen verzögerter professioneller Versorgung. Barrieren: strukturelle, psychologische, relationale Faktoren. Neu: Kulturelle Lücke – Patienten brauchten Anleitung zum Anpassen von Salah (islamisches Gebet) bei Muskelschmerzen. Hybrida Versorgung wurde bevorzugt (virtuelle Nachsorge nach In-Person-Assessment), nicht virtuell von Anfang an.</w:t>
      </w:r>
    </w:p>
    <w:p>
      <w:r>
        <w:rPr>
          <w:b/>
          <w:sz w:val="19"/>
        </w:rPr>
        <w:t xml:space="preserve">Übertragbarkeit: </w:t>
      </w:r>
      <w:r>
        <w:rPr>
          <w:sz w:val="19"/>
        </w:rPr>
        <w:t>Saudi-Arabien; systemische Übertragbarkeit limitiert, aber Befunde zu Selbstmanagement und virtueller Versorgung aussagekräftig.</w:t>
      </w:r>
    </w:p>
    <w:p>
      <w:r>
        <w:rPr>
          <w:color w:val="5A7D3A"/>
          <w:sz w:val="18"/>
        </w:rPr>
        <w:t>https://pubmed.ncbi.nlm.nih.gov/42823682/</w:t>
      </w:r>
    </w:p>
    <w:p>
      <w:pPr>
        <w:pStyle w:val="Heading2"/>
      </w:pPr>
      <w:r>
        <w:t>mHealth-gestützte Integrated Care für ältere Vorhofflimmernpatienten: Kein Vorteil bei optimaler Baseline</w:t>
      </w:r>
    </w:p>
    <w:p>
      <w:r>
        <w:rPr>
          <w:i/>
          <w:color w:val="666666"/>
          <w:sz w:val="18"/>
        </w:rPr>
        <w:t>Lip GYH et al.  ·  Lancet Reg Health Eur  ·  30.08.2026  ·  PMID 42819749</w:t>
      </w:r>
    </w:p>
    <w:p>
      <w:r>
        <w:t>AFFIRMO cluster-RCT in 6 europäischen Ländern zu iABC-System (Integrated Care mit CGA) vs. usual care bei älteren multimorbiden Vorhofflimmernpatienten.</w:t>
      </w:r>
    </w:p>
    <w:p>
      <w:r>
        <w:rPr>
          <w:b/>
        </w:rPr>
        <w:t xml:space="preserve">Ergebnis: </w:t>
      </w:r>
      <w:r>
        <w:t>1.260 Patienten (Alter 74 Jahre, CHA₂DS₂-VASc 4). Primärer Endpunkt ungeplante Hospitalisierung: 17,1% (Intervention) vs. 18,2% (usual care), OR 0,95 (95%-KI 0,61–1,49; p=0,84). App-Nutzung suboptimal (68,5% nur 1/3 der Beobachtungszeit). Günstige Baseline-Compliance (97,3% Antikoagulation).</w:t>
      </w:r>
    </w:p>
    <w:p>
      <w:r>
        <w:rPr>
          <w:b/>
          <w:sz w:val="19"/>
        </w:rPr>
        <w:t xml:space="preserve">Übertragbarkeit: </w:t>
      </w:r>
      <w:r>
        <w:rPr>
          <w:sz w:val="19"/>
        </w:rPr>
        <w:t>Mehrländer-Studie mit europäischem Kontext, aber System steuerfinanziert; begrenzte Übertragbarkeit auf deutsches Sozialversicherungssystem.</w:t>
      </w:r>
    </w:p>
    <w:p>
      <w:r>
        <w:rPr>
          <w:color w:val="5A7D3A"/>
          <w:sz w:val="18"/>
        </w:rPr>
        <w:t>https://pubmed.ncbi.nlm.nih.gov/42819749/</w:t>
      </w:r>
    </w:p>
    <w:p>
      <w:pPr>
        <w:pStyle w:val="Heading2"/>
      </w:pPr>
      <w:r>
        <w:t>Blutbasierte Screening-Programme am Arbeitsplatz: Ökonomische Ergebnisse inkonsistent</w:t>
      </w:r>
    </w:p>
    <w:p>
      <w:r>
        <w:rPr>
          <w:i/>
          <w:color w:val="666666"/>
          <w:sz w:val="18"/>
        </w:rPr>
        <w:t>Swadźba D et al.  ·  BMC Health Serv Res  ·  29.09.2026  ·  PMID 42816856</w:t>
      </w:r>
    </w:p>
    <w:p>
      <w:r>
        <w:t>Systematischer Review (56 Studien, überwiegend US-Beobachtungsdaten) zu wirtschaftlichen und Produktivitätsergebnissen von Workplace-Health-Programmen mit Blutscreening.</w:t>
      </w:r>
    </w:p>
    <w:p>
      <w:r>
        <w:rPr>
          <w:b/>
        </w:rPr>
        <w:t xml:space="preserve">Ergebnis: </w:t>
      </w:r>
      <w:r>
        <w:t>Gesundheitskosten: 21 von 29 Studien zeigten günstige Ergebnisse. Return-on-Investment: einheitlich positiv (20 Studien), ohne Abschwächung mit Studienqualität. Absenteeismus: 23 Studien, inkonsistent. Präsentismus/Fluktuation: selten gemessen. Günstiger Effekt nur bei strukturiert begleiteten Programmen, nicht Screening allein.</w:t>
      </w:r>
    </w:p>
    <w:p>
      <w:r>
        <w:rPr>
          <w:b/>
          <w:sz w:val="19"/>
        </w:rPr>
        <w:t xml:space="preserve">Übertragbarkeit: </w:t>
      </w:r>
      <w:r>
        <w:rPr>
          <w:sz w:val="19"/>
        </w:rPr>
        <w:t>Überwiegend US-Daten; Fragestellung aber systemunabhängig relevant für Betriebliche Gesundheitsförderung.</w:t>
      </w:r>
    </w:p>
    <w:p>
      <w:r>
        <w:rPr>
          <w:color w:val="5A7D3A"/>
          <w:sz w:val="18"/>
        </w:rPr>
        <w:t>https://pubmed.ncbi.nlm.nih.gov/42816856/</w:t>
      </w:r>
    </w:p>
    <w:p>
      <w:pPr>
        <w:pStyle w:val="Heading2"/>
      </w:pPr>
      <w:r>
        <w:t>Palliativmedizin bei fortgeschrittenem Krebs: MA-Versicherte nutzen mehr, aber bekommen weniger Chemotherapie</w:t>
      </w:r>
    </w:p>
    <w:p>
      <w:r>
        <w:rPr>
          <w:i/>
          <w:color w:val="666666"/>
          <w:sz w:val="18"/>
        </w:rPr>
        <w:t>Hu X et al.  ·  JAMA Netw Open  ·  01.09.2026  ·  PMID 42814462</w:t>
      </w:r>
    </w:p>
    <w:p>
      <w:r>
        <w:t>Kohortenstudie mit SEER/Medicare-Daten zu Palliativmedizin-, Systemtherapie- und Hospiz-Nutzung bei fortgeschrittenem Krebs (Mammakarzinom, CRC, Lungenkarzinom, Pankreaskarzinom, Prostatakarzinom) in Medicare Advantage (MA) vs. Traditional Medicare (TM), 2016–2021.</w:t>
      </w:r>
    </w:p>
    <w:p>
      <w:r>
        <w:rPr>
          <w:b/>
        </w:rPr>
        <w:t xml:space="preserve">Ergebnis: </w:t>
      </w:r>
      <w:r>
        <w:t>135.402 Patienten (32,3% MA, 67,7% TM). MA-Patienten: höhere 6-Monats-Kumulativ-Inzidenz Palliativmedizin (13,3% vs. 9,3%; aHR 1,39 [95%-KI 1,35–1,44]; p&lt;0,001), vor allem HMO-Pläne (aHR 1,66). Nach Oncologist-Matching: PA-Unterschied aufgelöst (aHR 1,05; p=0,19), aber MA-Patienten hatten weniger Systemtherapie (−5,4 Prozentpunkte) und mehr Hospiz (+3,4 Prozentpunkte), persistent nach Matching.</w:t>
      </w:r>
    </w:p>
    <w:p>
      <w:r>
        <w:rPr>
          <w:b/>
          <w:sz w:val="19"/>
        </w:rPr>
        <w:t xml:space="preserve">Übertragbarkeit: </w:t>
      </w:r>
      <w:r>
        <w:rPr>
          <w:sz w:val="19"/>
        </w:rPr>
        <w:t>US-Daten; Frage zur Versorgungssteuerung systemabhängig, aber Palliativmedizin-Integration relevant.</w:t>
      </w:r>
    </w:p>
    <w:p>
      <w:r>
        <w:rPr>
          <w:color w:val="5A7D3A"/>
          <w:sz w:val="18"/>
        </w:rPr>
        <w:t>https://pubmed.ncbi.nlm.nih.gov/42814462/</w:t>
      </w:r>
    </w:p>
    <w:p>
      <w:pPr>
        <w:pStyle w:val="Heading1"/>
      </w:pPr>
      <w:r>
        <w:t>Aufgenommen am 02.10.2026</w:t>
      </w:r>
    </w:p>
    <w:p>
      <w:pPr>
        <w:pStyle w:val="Heading2"/>
      </w:pPr>
      <w:r>
        <w:t>Kosteffektivität konservativer Sauerstofftherapie bei beatmeten Intensivpatienten</w:t>
      </w:r>
    </w:p>
    <w:p>
      <w:r>
        <w:rPr>
          <w:i/>
          <w:color w:val="666666"/>
          <w:sz w:val="18"/>
        </w:rPr>
        <w:t>Zhu Z et al.  ·  Value Health  ·  01.10.2026  ·  PMID 42822832</w:t>
      </w:r>
    </w:p>
    <w:p>
      <w:r>
        <w:t>Eine ökonomische Evaluation der UK-ROX-Studie verglich konservative versus übliche Sauerstofftherapie bei invasiv beatmeten Patienten hinsichtlich Kosten, Lebensqualität und QALY-Gewinne über 90 Tage.</w:t>
      </w:r>
    </w:p>
    <w:p>
      <w:r>
        <w:rPr>
          <w:b/>
        </w:rPr>
        <w:t xml:space="preserve">Ergebnis: </w:t>
      </w:r>
      <w:r>
        <w:t>Konservative Sauerstofftherapie war kostensparend (inkrementelle Kosten −968 £, 95% KI −2279–342 £) mit ähnlichen QALY-Gewinnen (inkrementell 0,001, 95% KI −0,002–0,003); das inkrementelle Nettomonetäre Benefit betrug 979 £, beide Schätzungen aber mit erheblicher Unsicherheit.</w:t>
      </w:r>
    </w:p>
    <w:p>
      <w:r>
        <w:rPr>
          <w:b/>
          <w:sz w:val="19"/>
        </w:rPr>
        <w:t xml:space="preserve">Übertragbarkeit: </w:t>
      </w:r>
      <w:r>
        <w:rPr>
          <w:sz w:val="19"/>
        </w:rPr>
        <w:t>UK-Daten; Fragestellung zu ICU-Managementprozessen und Kosteneffektivität systemunabhängig bedeutsam</w:t>
      </w:r>
    </w:p>
    <w:p>
      <w:r>
        <w:rPr>
          <w:color w:val="5A7D3A"/>
          <w:sz w:val="18"/>
        </w:rPr>
        <w:t>https://pubmed.ncbi.nlm.nih.gov/42822832/</w:t>
      </w:r>
    </w:p>
    <w:p>
      <w:pPr>
        <w:pStyle w:val="Heading2"/>
      </w:pPr>
      <w:r>
        <w:t>Sonelokimab bei moderater bis schwerer Hidradenitis suppurativa</w:t>
      </w:r>
    </w:p>
    <w:p>
      <w:r>
        <w:rPr>
          <w:i/>
          <w:color w:val="666666"/>
          <w:sz w:val="18"/>
        </w:rPr>
        <w:t>Kimball AB et al.  ·  J Am Acad Dermatol  ·  01.10.2026  ·  PMID 42822776</w:t>
      </w:r>
    </w:p>
    <w:p>
      <w:r>
        <w:t>Phase-2-Studie (MIRA) zur Wirksamkeit und Sicherheit des IL-17A/F-inhibierenden Nanobody Sonelokimab versus Placebo bei 234 Patienten mit Hidradenitis suppurativa.</w:t>
      </w:r>
    </w:p>
    <w:p>
      <w:r>
        <w:rPr>
          <w:b/>
        </w:rPr>
        <w:t xml:space="preserve">Ergebnis: </w:t>
      </w:r>
      <w:r>
        <w:t>Sonelokimab 120 mg erreichte HiSCR75 bei 43% (p&lt;0,001) und 240 mg bei 35% (p=0,007) versus Placebo 15%; Placebo-adjustierte Response bei Woche 12 und Erhalt oder Verbesserung bis Woche 24; keine neuen Sicherheitssignale.</w:t>
      </w:r>
    </w:p>
    <w:p>
      <w:r>
        <w:rPr>
          <w:b/>
          <w:sz w:val="19"/>
        </w:rPr>
        <w:t xml:space="preserve">Übertragbarkeit: </w:t>
      </w:r>
      <w:r>
        <w:rPr>
          <w:sz w:val="19"/>
        </w:rPr>
        <w:t>Internationale Studie; neue therapeutische Option, Fragestellung zur klinischen Wirksamkeit systemunabhängig</w:t>
      </w:r>
    </w:p>
    <w:p>
      <w:r>
        <w:rPr>
          <w:color w:val="5A7D3A"/>
          <w:sz w:val="18"/>
        </w:rPr>
        <w:t>https://pubmed.ncbi.nlm.nih.gov/42822776/</w:t>
      </w:r>
    </w:p>
    <w:p>
      <w:pPr>
        <w:pStyle w:val="Heading2"/>
      </w:pPr>
      <w:r>
        <w:t>Insulindosierung im Alltag: Kohlenhydratberechnung bei Typ-1-Diabetes</w:t>
      </w:r>
    </w:p>
    <w:p>
      <w:r>
        <w:rPr>
          <w:i/>
          <w:color w:val="666666"/>
          <w:sz w:val="18"/>
        </w:rPr>
        <w:t>Everett EM et al.  ·  Endocr Pract  ·  01.10.2026  ·  PMID 42822598</w:t>
      </w:r>
    </w:p>
    <w:p>
      <w:r>
        <w:t>Versorgungsforschungsstudie mit 903 Erwachsenen mit Typ-1-Diabetes zur Charakterisierung realer Insulindosierungsstrategien, Abweichungen zwischen Patientenangaben und dokumentierten Vorgaben sowie Nutzung von Smartphone-Apps zur Kohlenhydratberechnung.</w:t>
      </w:r>
    </w:p>
    <w:p>
      <w:r>
        <w:rPr>
          <w:b/>
        </w:rPr>
        <w:t xml:space="preserve">Ergebnis: </w:t>
      </w:r>
      <w:r>
        <w:t>54% berichteten Kohlenhydratberechnung, 39% erfahrungsbasierte Schätzung, 2% Festdosierung; HbA1c unterschied sich nicht zwischen Strategien; 51% nutzten Apps niemals; Hauptbarrieren waren Memorisation häufiger Lebensmittel und wahrgenommene Zeitbelastung.</w:t>
      </w:r>
    </w:p>
    <w:p>
      <w:r>
        <w:rPr>
          <w:b/>
          <w:sz w:val="19"/>
        </w:rPr>
        <w:t xml:space="preserve">Übertragbarkeit: </w:t>
      </w:r>
      <w:r>
        <w:rPr>
          <w:sz w:val="19"/>
        </w:rPr>
        <w:t>USA, aber Versorgungsforschung zu praktischen Diabetesmanagement-Strategien und Patient-Reported-Outcomes übertragbar</w:t>
      </w:r>
    </w:p>
    <w:p>
      <w:r>
        <w:rPr>
          <w:color w:val="5A7D3A"/>
          <w:sz w:val="18"/>
        </w:rPr>
        <w:t>https://pubmed.ncbi.nlm.nih.gov/42822598/</w:t>
      </w:r>
    </w:p>
    <w:p>
      <w:pPr>
        <w:pStyle w:val="Heading2"/>
      </w:pPr>
      <w:r>
        <w:t>Virtual Nursing in der Notaufnahme: Dokumentation und Unterbrechungen</w:t>
      </w:r>
    </w:p>
    <w:p>
      <w:r>
        <w:rPr>
          <w:i/>
          <w:color w:val="666666"/>
          <w:sz w:val="18"/>
        </w:rPr>
        <w:t>Khairat S et al.  ·  J Am Med Inform Assoc  ·  01.10.2026  ·  PMID 42821433</w:t>
      </w:r>
    </w:p>
    <w:p>
      <w:r>
        <w:t>Nicht-randomisierte Kohortenstudie zur Auswirkung von Virtual Nursing auf Dokumentationsvollständigkeit, Aufnahmeuntersuchungsdauer und Arbeitsunterbrechungen bei stationär aufgenommenen Patienten.</w:t>
      </w:r>
    </w:p>
    <w:p>
      <w:r>
        <w:rPr>
          <w:b/>
        </w:rPr>
        <w:t xml:space="preserve">Ergebnis: </w:t>
      </w:r>
      <w:r>
        <w:t>Virtual Nursing war mit 3,16 Minuten längerer Aufnahmedauer verbunden, aber signifikant mehr abgeschlossenen Aufnahmeuntersuchungsaufgaben und signifikant weniger Unterbrechungen im Vergleich zu persönlichen Aufnahmen.</w:t>
      </w:r>
    </w:p>
    <w:p>
      <w:r>
        <w:rPr>
          <w:b/>
          <w:sz w:val="19"/>
        </w:rPr>
        <w:t xml:space="preserve">Übertragbarkeit: </w:t>
      </w:r>
      <w:r>
        <w:rPr>
          <w:sz w:val="19"/>
        </w:rPr>
        <w:t>USA; Versorgungsprozess und Workflow-Optimierung systemunabhängig relevant</w:t>
      </w:r>
    </w:p>
    <w:p>
      <w:r>
        <w:rPr>
          <w:color w:val="5A7D3A"/>
          <w:sz w:val="18"/>
        </w:rPr>
        <w:t>https://pubmed.ncbi.nlm.nih.gov/42821433/</w:t>
      </w:r>
    </w:p>
    <w:p>
      <w:pPr>
        <w:pStyle w:val="Heading2"/>
      </w:pPr>
      <w:r>
        <w:t>Tuberkulöse Spondylodiszitis in Deutschland: Epidemiologie und Verlauf</w:t>
      </w:r>
    </w:p>
    <w:p>
      <w:r>
        <w:rPr>
          <w:i/>
          <w:color w:val="666666"/>
          <w:sz w:val="18"/>
        </w:rPr>
        <w:t>Lang S et al.  ·  Global Spine J  ·  01.10.2026  ·  PMID 42820646</w:t>
      </w:r>
    </w:p>
    <w:p>
      <w:r>
        <w:t>Bevölkerungsgestützte DRG-Analyse zur stationären Last, Behandlungsmuster und Krankenhaussterblichkeit der spinalen Tuberkulose in Deutschland 2019–2025 während demografischen Wandels.</w:t>
      </w:r>
    </w:p>
    <w:p>
      <w:r>
        <w:rPr>
          <w:b/>
        </w:rPr>
        <w:t xml:space="preserve">Ergebnis: </w:t>
      </w:r>
      <w:r>
        <w:t>Stabile Hospitalisierungsraten (ASR 0,11–0,14/100.000; APC −3,1%, p=0,14); überwiegend männliche Patienten (70,3%), Alter 18–39 Jahre (56–69%); Krankenhausfallletalität &lt;0,5%; keine Erhöhung trotz 43% Anstieg der ausländischen Bevölkerung; operative DRG-Zuweisung variabel (13,5–42,2%).</w:t>
      </w:r>
    </w:p>
    <w:p>
      <w:r>
        <w:rPr>
          <w:b/>
          <w:sz w:val="19"/>
        </w:rPr>
        <w:t xml:space="preserve">Übertragbarkeit: </w:t>
      </w:r>
      <w:r>
        <w:rPr>
          <w:sz w:val="19"/>
        </w:rPr>
        <w:t>Deutsche Routinedaten; epidemiologisch und systemisch direkt anwendbar</w:t>
      </w:r>
    </w:p>
    <w:p>
      <w:r>
        <w:rPr>
          <w:color w:val="5A7D3A"/>
          <w:sz w:val="18"/>
        </w:rPr>
        <w:t>https://pubmed.ncbi.nlm.nih.gov/42820646/</w:t>
      </w:r>
    </w:p>
    <w:p>
      <w:pPr>
        <w:pStyle w:val="Heading2"/>
      </w:pPr>
      <w:r>
        <w:t>Psychische Anpassung an Stigma bei Hauterkrankungen im jungen Erwachsenenalter</w:t>
      </w:r>
    </w:p>
    <w:p>
      <w:r>
        <w:rPr>
          <w:i/>
          <w:color w:val="666666"/>
          <w:sz w:val="18"/>
        </w:rPr>
        <w:t>Stuhlmann CFZ et al.  ·  Br J Health Psychol  ·  Nov. 2026  ·  PMID 42820641</w:t>
      </w:r>
    </w:p>
    <w:p>
      <w:r>
        <w:t>Querschnittstudie mit 195 jungen Erwachsenen (Psoriasis 55%, atopische Dermatitis 23%, Hidradenitis suppurativa 22%) zu indirekten Effekten internalisierter Stigma in der Beziehung zwischen sozialer Stigma und psychosozialer Anpassung.</w:t>
      </w:r>
    </w:p>
    <w:p>
      <w:r>
        <w:rPr>
          <w:b/>
        </w:rPr>
        <w:t xml:space="preserve">Ergebnis: </w:t>
      </w:r>
      <w:r>
        <w:t>Signifikante indirekte Effekte internalisierter Stigma auf Beziehungen zwischen sozialer Stigma und allen Anpassungsergebnissen (p's&lt;0,01, R²=0,10–0,64); internalisierte Stigma als zentraler Treiber psychischer Belastung, Sozialsymptome und Aktivitätsreduktion.</w:t>
      </w:r>
    </w:p>
    <w:p>
      <w:r>
        <w:rPr>
          <w:b/>
          <w:sz w:val="19"/>
        </w:rPr>
        <w:t xml:space="preserve">Übertragbarkeit: </w:t>
      </w:r>
      <w:r>
        <w:rPr>
          <w:sz w:val="19"/>
        </w:rPr>
        <w:t>Deutschland (Hamburg); hochgradig übertragbar auf deutsches Versorgungssystem</w:t>
      </w:r>
    </w:p>
    <w:p>
      <w:r>
        <w:rPr>
          <w:color w:val="5A7D3A"/>
          <w:sz w:val="18"/>
        </w:rPr>
        <w:t>https://pubmed.ncbi.nlm.nih.gov/42820641/</w:t>
      </w:r>
    </w:p>
    <w:p>
      <w:pPr>
        <w:pStyle w:val="Heading1"/>
      </w:pPr>
      <w:r>
        <w:t>Aufgenommen am 01.10.2026</w:t>
      </w:r>
    </w:p>
    <w:p>
      <w:pPr>
        <w:pStyle w:val="Heading2"/>
      </w:pPr>
      <w:r>
        <w:t>Psychometric validation of German Self-efficacy Scale in hip arthroplasty patients</w:t>
      </w:r>
    </w:p>
    <w:p>
      <w:r>
        <w:rPr>
          <w:i/>
          <w:color w:val="666666"/>
          <w:sz w:val="18"/>
        </w:rPr>
        <w:t>Mooiweer Y et al.  ·  Z Evid Fortbild Qual Gesundhwes  ·  30.09.2026  ·  PMID 42816197</w:t>
      </w:r>
    </w:p>
    <w:p>
      <w:r>
        <w:t>Studie validierte die German Self-efficacy Expectation Scale (SES-G) als Messinstrument für Selbsteffizienz bei Patienten mit Hüftgelenksersatz.</w:t>
      </w:r>
    </w:p>
    <w:p>
      <w:r>
        <w:rPr>
          <w:b/>
        </w:rPr>
        <w:t xml:space="preserve">Ergebnis: </w:t>
      </w:r>
      <w:r>
        <w:t>Exploratory Faktor-Analyse zeigte 3 Komponenten, erklärt 75% der Varianz; interne Konsistenz (MacDonald's Omega = 0,81) und Test-Retest-Reliabilität (ICC 0,71) waren gut; 80% der Hypothesen zur Konstruktvalidität bestätigt. SES-G ist valides und reliables Instrument.</w:t>
      </w:r>
    </w:p>
    <w:p>
      <w:r>
        <w:rPr>
          <w:b/>
          <w:sz w:val="19"/>
        </w:rPr>
        <w:t xml:space="preserve">Übertragbarkeit: </w:t>
      </w:r>
      <w:r>
        <w:rPr>
          <w:sz w:val="19"/>
        </w:rPr>
        <w:t>Deutschland, validierte Messskala für deutschsprachige Patienten</w:t>
      </w:r>
    </w:p>
    <w:p>
      <w:r>
        <w:rPr>
          <w:color w:val="5A7D3A"/>
          <w:sz w:val="18"/>
        </w:rPr>
        <w:t>https://pubmed.ncbi.nlm.nih.gov/42816197/</w:t>
      </w:r>
    </w:p>
    <w:p>
      <w:pPr>
        <w:pStyle w:val="Heading2"/>
      </w:pPr>
      <w:r>
        <w:t>Quality improvement für Familienplanung im Wochenbett in Äthiopien</w:t>
      </w:r>
    </w:p>
    <w:p>
      <w:r>
        <w:rPr>
          <w:i/>
          <w:color w:val="666666"/>
          <w:sz w:val="18"/>
        </w:rPr>
        <w:t>Tesfaye B et al.  ·  BMJ Open Qual  ·  30.09.2026  ·  PMID 42816055</w:t>
      </w:r>
    </w:p>
    <w:p>
      <w:r>
        <w:t>Qualitätsverbesserungsprojekt mit PDSA-Zyklen zur Steigerung der unmittelbaren postpartalen Familienplanung in einem äthiopischen Lehrkrankenhaus.</w:t>
      </w:r>
    </w:p>
    <w:p>
      <w:r>
        <w:rPr>
          <w:b/>
        </w:rPr>
        <w:t xml:space="preserve">Ergebnis: </w:t>
      </w:r>
      <w:r>
        <w:t>Uptake der postpartalen Familienplanung stieg von 10,2% auf 45,8% über 14 Wochen; Implantate waren die häufigste Methode (54,2%); Hürden waren mangelhafte Beratung, begrenzte Fortbildung und schlechte Dokumentation.</w:t>
      </w:r>
    </w:p>
    <w:p>
      <w:r>
        <w:rPr>
          <w:b/>
          <w:sz w:val="19"/>
        </w:rPr>
        <w:t xml:space="preserve">Übertragbarkeit: </w:t>
      </w:r>
      <w:r>
        <w:rPr>
          <w:sz w:val="19"/>
        </w:rPr>
        <w:t>Nur bedingt übertragbar, Gesundheitssystem mit stark unterschiedlicher Ressourcenlage</w:t>
      </w:r>
    </w:p>
    <w:p>
      <w:r>
        <w:rPr>
          <w:color w:val="5A7D3A"/>
          <w:sz w:val="18"/>
        </w:rPr>
        <w:t>https://pubmed.ncbi.nlm.nih.gov/42816055/</w:t>
      </w:r>
    </w:p>
    <w:p>
      <w:pPr>
        <w:pStyle w:val="Heading2"/>
      </w:pPr>
      <w:r>
        <w:t>Generative KI-Adoption in psychotherapeutischer Praxis</w:t>
      </w:r>
    </w:p>
    <w:p>
      <w:r>
        <w:rPr>
          <w:i/>
          <w:color w:val="666666"/>
          <w:sz w:val="18"/>
        </w:rPr>
        <w:t>Blease C et al.  ·  JMIR Ment Health  ·  30.09.2026  ·  PMID 42815888</w:t>
      </w:r>
    </w:p>
    <w:p>
      <w:r>
        <w:t>Internationale Querschnittsstudie zu aktueller Nutzung von Generative-AI-Tools (ChatGPT, Gemini, Copilot) durch Psychotherapeuten in 30 Ländern.</w:t>
      </w:r>
    </w:p>
    <w:p>
      <w:r>
        <w:rPr>
          <w:b/>
        </w:rPr>
        <w:t xml:space="preserve">Ergebnis: </w:t>
      </w:r>
      <w:r>
        <w:t>54,6% (n=418/766) nutzen mindestens ein GenAI-Tool klinisch; ChatGPT am häufigsten (84,7%); Top-Anwendungen: Behandlungsplanung (41,9%), Administrative Aufgaben (41,4%), Psychoedukation (39,7%); 82,8% berichten Arbeitsbelastungsreduktion; nur 18,1% erhielten institutionelle Förderung; 81,1% erhielten keine AI-Fortbildung.</w:t>
      </w:r>
    </w:p>
    <w:p>
      <w:r>
        <w:rPr>
          <w:b/>
          <w:sz w:val="19"/>
        </w:rPr>
        <w:t xml:space="preserve">Übertragbarkeit: </w:t>
      </w:r>
      <w:r>
        <w:rPr>
          <w:sz w:val="19"/>
        </w:rPr>
        <w:t>Systemunabhängig, Fachfrage zu Technologieeinsatz in Praxis global relevant</w:t>
      </w:r>
    </w:p>
    <w:p>
      <w:r>
        <w:rPr>
          <w:color w:val="5A7D3A"/>
          <w:sz w:val="18"/>
        </w:rPr>
        <w:t>https://pubmed.ncbi.nlm.nih.gov/42815888/</w:t>
      </w:r>
    </w:p>
    <w:p>
      <w:pPr>
        <w:pStyle w:val="Heading2"/>
      </w:pPr>
      <w:r>
        <w:t>Discrete Choice Experiment zu Präferenzen für Carrier Screening in Singapur</w:t>
      </w:r>
    </w:p>
    <w:p>
      <w:r>
        <w:rPr>
          <w:i/>
          <w:color w:val="666666"/>
          <w:sz w:val="18"/>
        </w:rPr>
        <w:t>Blythe R et al.  ·  Patient  ·  30.09.2026  ·  PMID 42814378</w:t>
      </w:r>
    </w:p>
    <w:p>
      <w:r>
        <w:t>Stated-Preference-Studie mit 500 Singapurern zu bevorzugten Merkmalen eines nationalen Carrier-Screening-Programms für genetische Erkrankungen.</w:t>
      </w:r>
    </w:p>
    <w:p>
      <w:r>
        <w:rPr>
          <w:b/>
        </w:rPr>
        <w:t xml:space="preserve">Ergebnis: </w:t>
      </w:r>
      <w:r>
        <w:t>Bevorzugte niedrigere Kosten, breitere Krankheitspanels und kürzere Wartezeiten; vorhergesagte Uptake 85-90% kostenlos, 61-69% bei Zuzahlung von $1.200; nationale Budgetauswirkungen &lt;$13,1 Mio./Jahr abhängig von Programmdesign.</w:t>
      </w:r>
    </w:p>
    <w:p>
      <w:r>
        <w:rPr>
          <w:b/>
          <w:sz w:val="19"/>
        </w:rPr>
        <w:t xml:space="preserve">Übertragbarkeit: </w:t>
      </w:r>
      <w:r>
        <w:rPr>
          <w:sz w:val="19"/>
        </w:rPr>
        <w:t>Singapur, transferierbar für Screening-Programmgestaltung in ähnlichen Systemen</w:t>
      </w:r>
    </w:p>
    <w:p>
      <w:r>
        <w:rPr>
          <w:color w:val="5A7D3A"/>
          <w:sz w:val="18"/>
        </w:rPr>
        <w:t>https://pubmed.ncbi.nlm.nih.gov/42814378/</w:t>
      </w:r>
    </w:p>
    <w:p>
      <w:pPr>
        <w:pStyle w:val="Heading2"/>
      </w:pPr>
      <w:r>
        <w:t>Migräne-Versorgungslücke: qualitative Patientenperspektive</w:t>
      </w:r>
    </w:p>
    <w:p>
      <w:r>
        <w:rPr>
          <w:i/>
          <w:color w:val="666666"/>
          <w:sz w:val="18"/>
        </w:rPr>
        <w:t>Göbel CH et al.  ·  Pain Ther  ·  30.09.2026  ·  PMID 42814346</w:t>
      </w:r>
    </w:p>
    <w:p>
      <w:r>
        <w:t>Qualitative reflexive thematische Analyse von 446 Instagram/Facebook-Kommentaren zur Wahrnehmung von Migräne-Versorgung über 12 Jahre.</w:t>
      </w:r>
    </w:p>
    <w:p>
      <w:r>
        <w:rPr>
          <w:b/>
        </w:rPr>
        <w:t xml:space="preserve">Ergebnis: </w:t>
      </w:r>
      <w:r>
        <w:t>Patienten bestätigen medizinische Fortschritte (Migräne-spezifische Therapien, CGRP-Inhibitoren, spezialisierte Services), erleben diese aber als unvollständig umgesetzt; persistente Barrieren: Diagnoseverzögerung, ungleicher Zugang zu Spezialisten, Rückerstattungsbeschränkungen, Stigma, begrenzte gesellschaftliche Anerkennung. Kernkonzept: Migraine Care Gap zwischen biomedizinischer Innovation und Versorgungspraxis.</w:t>
      </w:r>
    </w:p>
    <w:p>
      <w:r>
        <w:rPr>
          <w:b/>
          <w:sz w:val="19"/>
        </w:rPr>
        <w:t xml:space="preserve">Übertragbarkeit: </w:t>
      </w:r>
      <w:r>
        <w:rPr>
          <w:sz w:val="19"/>
        </w:rPr>
        <w:t>Deutschland, Versorgungsforschung zu Patientenerleben von Innovationstransfer</w:t>
      </w:r>
    </w:p>
    <w:p>
      <w:r>
        <w:rPr>
          <w:color w:val="5A7D3A"/>
          <w:sz w:val="18"/>
        </w:rPr>
        <w:t>https://pubmed.ncbi.nlm.nih.gov/42814346/</w:t>
      </w:r>
    </w:p>
    <w:p>
      <w:pPr>
        <w:pStyle w:val="Heading2"/>
      </w:pPr>
      <w:r>
        <w:t>Kontextfaktoren und depressive Symptome: Postleitzahl-Datenverknüpfung in Deutschland</w:t>
      </w:r>
    </w:p>
    <w:p>
      <w:r>
        <w:rPr>
          <w:i/>
          <w:color w:val="666666"/>
          <w:sz w:val="18"/>
        </w:rPr>
        <w:t>Schoenweger P et al.  ·  Eur Arch Psychiatry Clin Neurosci  ·  30.09.2026  ·  PMID 42814112</w:t>
      </w:r>
    </w:p>
    <w:p>
      <w:r>
        <w:t>Querschnittsstudie, die individuelle POKAL-Umfragedaten (n=2.323) mit deutschen Routinedaten auf Postleitzahl-Ebene zu Depression verknüpfte.</w:t>
      </w:r>
    </w:p>
    <w:p>
      <w:r>
        <w:rPr>
          <w:b/>
        </w:rPr>
        <w:t xml:space="preserve">Ergebnis: </w:t>
      </w:r>
      <w:r>
        <w:t>Kontextfaktoren verbesserten Modellfit (AICc=13.640,80 vs. 13.718,24 nur Demografie); Area-level Deprivation zeigte beste einzelne Anpassung; Datenverknüpfung ist ressourcenschonend und technisch umsetzbar in German health research infrastructure. Räumliche Auflösung entscheidend für Assoziation.</w:t>
      </w:r>
    </w:p>
    <w:p>
      <w:r>
        <w:rPr>
          <w:b/>
          <w:sz w:val="19"/>
        </w:rPr>
        <w:t xml:space="preserve">Übertragbarkeit: </w:t>
      </w:r>
      <w:r>
        <w:rPr>
          <w:sz w:val="19"/>
        </w:rPr>
        <w:t>Deutsche Routinedaten, gesetzlich Versicherte, Versorgungsforschungs-Infrastruktur</w:t>
      </w:r>
    </w:p>
    <w:p>
      <w:r>
        <w:rPr>
          <w:color w:val="5A7D3A"/>
          <w:sz w:val="18"/>
        </w:rPr>
        <w:t>https://pubmed.ncbi.nlm.nih.gov/42814112/</w:t>
      </w:r>
    </w:p>
    <w:p>
      <w:pPr>
        <w:pStyle w:val="Heading1"/>
      </w:pPr>
      <w:r>
        <w:t>Aufgenommen am 30.09.2026</w:t>
      </w:r>
    </w:p>
    <w:p>
      <w:pPr>
        <w:pStyle w:val="Heading2"/>
      </w:pPr>
      <w:r>
        <w:t>Digitalisierung und Krankenhausperformance: Einfluss der elektronischen Dokumentation</w:t>
      </w:r>
    </w:p>
    <w:p>
      <w:r>
        <w:rPr>
          <w:i/>
          <w:color w:val="666666"/>
          <w:sz w:val="18"/>
        </w:rPr>
        <w:t>Remus P et al.  ·  J Med Internet Res  ·  29.09.2026  ·  PMID 42809839</w:t>
      </w:r>
    </w:p>
    <w:p>
      <w:r>
        <w:t>Longitudinale Analyse der Zusammenhänge zwischen technischer Digitalisierungsreife und finanziellen, operativen und Personalindikatoren in 70 niederländischen Krankenhäusern (2017–2023).</w:t>
      </w:r>
    </w:p>
    <w:p>
      <w:r>
        <w:rPr>
          <w:b/>
        </w:rPr>
        <w:t xml:space="preserve">Ergebnis: </w:t>
      </w:r>
      <w:r>
        <w:t>Fortgeschrittene digitale Reife war nicht signifikant mit verbesserter Profitabilität, Patientenvolumen oder Mitarbeiterfluktuation assoziiert (alle p&gt;0,05 nach Bonferroni-Korrektur); die Daten stützen das IT-Produktivitätsparadox.</w:t>
      </w:r>
    </w:p>
    <w:p>
      <w:r>
        <w:rPr>
          <w:b/>
          <w:sz w:val="19"/>
        </w:rPr>
        <w:t xml:space="preserve">Übertragbarkeit: </w:t>
      </w:r>
      <w:r>
        <w:rPr>
          <w:sz w:val="19"/>
        </w:rPr>
        <w:t>Niederlande, Sozialversicherungssystem mit Beitragsfinanzierung, vergleichbar mit Deutschland.</w:t>
      </w:r>
    </w:p>
    <w:p>
      <w:r>
        <w:rPr>
          <w:color w:val="5A7D3A"/>
          <w:sz w:val="18"/>
        </w:rPr>
        <w:t>https://pubmed.ncbi.nlm.nih.gov/42809839/</w:t>
      </w:r>
    </w:p>
    <w:p>
      <w:pPr>
        <w:pStyle w:val="Heading2"/>
      </w:pPr>
      <w:r>
        <w:t>Zeitbelastung (Time Toxicity) in der Krebsversorgung: Systematische Übersicht</w:t>
      </w:r>
    </w:p>
    <w:p>
      <w:r>
        <w:rPr>
          <w:i/>
          <w:color w:val="666666"/>
          <w:sz w:val="18"/>
        </w:rPr>
        <w:t>Wee IJY et al.  ·  Support Care Cancer  ·  29.09.2026  ·  PMID 42809115</w:t>
      </w:r>
    </w:p>
    <w:p>
      <w:r>
        <w:t>Systematische Übersicht von 56 Studien zur Definition und Messung der Zeitbelastung in der Krebsbehandlung (Inception bis März 2026).</w:t>
      </w:r>
    </w:p>
    <w:p>
      <w:r>
        <w:rPr>
          <w:b/>
        </w:rPr>
        <w:t xml:space="preserve">Ergebnis: </w:t>
      </w:r>
      <w:r>
        <w:t>Definitionen waren heterogen; 55,4 % definierten Zeitbelastung als direkte Gesundheitszeiten (Klinikbesuche, Behandlungen), 35,7 % als Zeit ohne Gesundheitswesen; nur 0 Studien nutzten Patientenperspektiven; systematisch sind noch prozessorientierte und patientenzentrierte Dimensionen unterrepräsentiert.</w:t>
      </w:r>
    </w:p>
    <w:p>
      <w:r>
        <w:rPr>
          <w:b/>
          <w:sz w:val="19"/>
        </w:rPr>
        <w:t xml:space="preserve">Übertragbarkeit: </w:t>
      </w:r>
      <w:r>
        <w:rPr>
          <w:sz w:val="19"/>
        </w:rPr>
        <w:t>Systemübergreifend relevant; Konzeptualisierung und Messqualität unabhängig von Landkontext.</w:t>
      </w:r>
    </w:p>
    <w:p>
      <w:r>
        <w:rPr>
          <w:color w:val="5A7D3A"/>
          <w:sz w:val="18"/>
        </w:rPr>
        <w:t>https://pubmed.ncbi.nlm.nih.gov/42809115/</w:t>
      </w:r>
    </w:p>
    <w:p>
      <w:pPr>
        <w:pStyle w:val="Heading2"/>
      </w:pPr>
      <w:r>
        <w:t>Kompetenzbasiertes Curriculum Allgemeinmedizin im Block-Praktikum: Lückenanalyse</w:t>
      </w:r>
    </w:p>
    <w:p>
      <w:r>
        <w:rPr>
          <w:i/>
          <w:color w:val="666666"/>
          <w:sz w:val="18"/>
        </w:rPr>
        <w:t>Schüle D et al.  ·  GMS J Med Educ  ·  15.09.2026  ·  PMID 42807621</w:t>
      </w:r>
    </w:p>
    <w:p>
      <w:r>
        <w:t>Gemischte Methoden-Studie an einem deutschen Universitätskrankenhaus zur Bewertung und Neukonzeption eines zweiwöchigen Allgemeinmedizin-Blockpraktikums anhand von NKLM 2.0 und EPAs.</w:t>
      </w:r>
    </w:p>
    <w:p>
      <w:r>
        <w:rPr>
          <w:b/>
        </w:rPr>
        <w:t xml:space="preserve">Ergebnis: </w:t>
      </w:r>
      <w:r>
        <w:t>Aktuelles Praktikum erreichte Gesamtnote 1,8 (SD 1,06), erhöhte das Interesse an Allgemeinmedizin aber nicht signifikant; fehlten: interprofessionelle Zusammenarbeit, Führungskompetenzen; vorgeschlagen wurde sechswöchiges longitudinales Modell mit Simulation und Hospitationen.</w:t>
      </w:r>
    </w:p>
    <w:p>
      <w:r>
        <w:rPr>
          <w:b/>
          <w:sz w:val="19"/>
        </w:rPr>
        <w:t xml:space="preserve">Übertragbarkeit: </w:t>
      </w:r>
      <w:r>
        <w:rPr>
          <w:sz w:val="19"/>
        </w:rPr>
        <w:t>Deutschland, Fokus auf medizinische Ausbildung und Lehrqualität.</w:t>
      </w:r>
    </w:p>
    <w:p>
      <w:r>
        <w:rPr>
          <w:color w:val="5A7D3A"/>
          <w:sz w:val="18"/>
        </w:rPr>
        <w:t>https://pubmed.ncbi.nlm.nih.gov/42807621/</w:t>
      </w:r>
    </w:p>
    <w:p>
      <w:pPr>
        <w:pStyle w:val="Heading2"/>
      </w:pPr>
      <w:r>
        <w:t>VISIONARA: Dezentrales kompetenzbasiertes Lernmodell in Hausarztpraxen</w:t>
      </w:r>
    </w:p>
    <w:p>
      <w:r>
        <w:rPr>
          <w:i/>
          <w:color w:val="666666"/>
          <w:sz w:val="18"/>
        </w:rPr>
        <w:t>Lübbert J et al.  ·  GMS J Med Educ  ·  15.09.2026  ·  PMID 42807235</w:t>
      </w:r>
    </w:p>
    <w:p>
      <w:r>
        <w:t>Konzeptentwicklung und geplante Pilotierung eines Programms für akademische Lehrpraxen (MRC-Framework), das strukturiertes kompetenzbasiertes Lernen direkt in den Versorgungsalltag der Allgemeinmedizin integriert.</w:t>
      </w:r>
    </w:p>
    <w:p>
      <w:r>
        <w:rPr>
          <w:b/>
        </w:rPr>
        <w:t xml:space="preserve">Ergebnis: </w:t>
      </w:r>
      <w:r>
        <w:t>Konzeptphase abgeschlossen; geplante Pilotphase wird Machbarkeit, Akzeptanz und Integrierbarkeit in Routinepraxen prüfen sowie personelle Ressourcen, Patientenzustimmung und logistische Hürden evaluieren.</w:t>
      </w:r>
    </w:p>
    <w:p>
      <w:r>
        <w:rPr>
          <w:b/>
          <w:sz w:val="19"/>
        </w:rPr>
        <w:t xml:space="preserve">Übertragbarkeit: </w:t>
      </w:r>
      <w:r>
        <w:rPr>
          <w:sz w:val="19"/>
        </w:rPr>
        <w:t>Deutschland, Modell für Primärversorgung und ärztliche Ausbildung direkt vor Ort.</w:t>
      </w:r>
    </w:p>
    <w:p>
      <w:r>
        <w:rPr>
          <w:color w:val="5A7D3A"/>
          <w:sz w:val="18"/>
        </w:rPr>
        <w:t>https://pubmed.ncbi.nlm.nih.gov/42807235/</w:t>
      </w:r>
    </w:p>
    <w:p>
      <w:pPr>
        <w:pStyle w:val="Heading2"/>
      </w:pPr>
      <w:r>
        <w:t>Facharztprüfung Allgemeinmedizin: Perspektiven von Prüfenden</w:t>
      </w:r>
    </w:p>
    <w:p>
      <w:r>
        <w:rPr>
          <w:i/>
          <w:color w:val="666666"/>
          <w:sz w:val="18"/>
        </w:rPr>
        <w:t>Dreher AC et al.  ·  GMS J Med Educ  ·  15.09.2026  ·  PMID 42807223</w:t>
      </w:r>
    </w:p>
    <w:p>
      <w:r>
        <w:t>Qualitative Explorationsstudie mit 12 Prüfenden aus 6 Bundesländern zu Stärken, Schwächen und Weiterentwicklungspotenzial der mündlichen Facharztprüfung.</w:t>
      </w:r>
    </w:p>
    <w:p>
      <w:r>
        <w:rPr>
          <w:b/>
        </w:rPr>
        <w:t xml:space="preserve">Ergebnis: </w:t>
      </w:r>
      <w:r>
        <w:t>Prüfende beschrieben Stärken: Mindeststandard-Sicherung, Effizienz; Schwächen: begrenzte Aussagekraft für komplexe Handlungskompetenzen; Verbesserungen: Prüfendenschulungen, gemeinsame Erwartungshorizonte, praktische Prüfungskomponenten, longitudinale Assessments.</w:t>
      </w:r>
    </w:p>
    <w:p>
      <w:r>
        <w:rPr>
          <w:b/>
          <w:sz w:val="19"/>
        </w:rPr>
        <w:t xml:space="preserve">Übertragbarkeit: </w:t>
      </w:r>
      <w:r>
        <w:rPr>
          <w:sz w:val="19"/>
        </w:rPr>
        <w:t>Deutschland, direkt auf Facharztausbildung und Qualitätssicherung bezogen.</w:t>
      </w:r>
    </w:p>
    <w:p>
      <w:r>
        <w:rPr>
          <w:color w:val="5A7D3A"/>
          <w:sz w:val="18"/>
        </w:rPr>
        <w:t>https://pubmed.ncbi.nlm.nih.gov/42807223/</w:t>
      </w:r>
    </w:p>
    <w:p>
      <w:pPr>
        <w:pStyle w:val="Heading2"/>
      </w:pPr>
      <w:r>
        <w:t>Früherkennung und Reha bei Muskelskelettstörungen reduzieren Arbeitsunfähigkeit?</w:t>
      </w:r>
    </w:p>
    <w:p>
      <w:r>
        <w:rPr>
          <w:i/>
          <w:color w:val="666666"/>
          <w:sz w:val="18"/>
        </w:rPr>
        <w:t>Bornhöft L et al.  ·  BMC Health Serv Res  ·  26.09.2026  ·  PMID 42806350</w:t>
      </w:r>
    </w:p>
    <w:p>
      <w:r>
        <w:t>Ökonomische Analyse eines randomisierten Vergleichs zwischen teambasierter Primärversorgungsrehabilitation und Standardversorgung für Patienten mit erhöhtem Fehlzeitrisiko in Schweden (N=526).</w:t>
      </w:r>
    </w:p>
    <w:p>
      <w:r>
        <w:rPr>
          <w:b/>
        </w:rPr>
        <w:t xml:space="preserve">Ergebnis: </w:t>
      </w:r>
      <w:r>
        <w:t>Team-Rehabilitation und Standardversorgung führten zu ähnlichen QALYs über ein Jahr; die Wahrscheinlichkeit der Kosteneffektivität lag bei etwa 50 % (schwedische Schwellenwerte 43.000–86.000 €/QALY); Selektion bedürftiger Patienten muss verbessert werden.</w:t>
      </w:r>
    </w:p>
    <w:p>
      <w:r>
        <w:rPr>
          <w:b/>
          <w:sz w:val="19"/>
        </w:rPr>
        <w:t xml:space="preserve">Übertragbarkeit: </w:t>
      </w:r>
      <w:r>
        <w:rPr>
          <w:sz w:val="19"/>
        </w:rPr>
        <w:t>Schweden, steuerfinanziert und hausarztgesteuert, aber Prozesse und Arbeitsfähigkeit sind übertragbar.</w:t>
      </w:r>
    </w:p>
    <w:p>
      <w:r>
        <w:rPr>
          <w:color w:val="5A7D3A"/>
          <w:sz w:val="18"/>
        </w:rPr>
        <w:t>https://pubmed.ncbi.nlm.nih.gov/42806350/</w:t>
      </w:r>
    </w:p>
    <w:p>
      <w:pPr>
        <w:pStyle w:val="Heading1"/>
      </w:pPr>
      <w:r>
        <w:t>Aufgenommen am 29.09.2026</w:t>
      </w:r>
    </w:p>
    <w:p>
      <w:pPr>
        <w:pStyle w:val="Heading2"/>
      </w:pPr>
      <w:r>
        <w:t>Kosteneffektivität eines Diabetes-Präventionsprogramms in Kanada</w:t>
      </w:r>
    </w:p>
    <w:p>
      <w:r>
        <w:rPr>
          <w:i/>
          <w:color w:val="666666"/>
          <w:sz w:val="18"/>
        </w:rPr>
        <w:t>Gupta N et al.  ·  CMAJ  ·  27.09.2026  ·  PMID 42805627</w:t>
      </w:r>
    </w:p>
    <w:p>
      <w:r>
        <w:t>Gesundheitsökonomisches Modell zum NHS-England-DPP in Quebec und Ontario über 35 Jahre.</w:t>
      </w:r>
    </w:p>
    <w:p>
      <w:r>
        <w:rPr>
          <w:b/>
        </w:rPr>
        <w:t xml:space="preserve">Ergebnis: </w:t>
      </w:r>
      <w:r>
        <w:t>DPP sparte 244 CAD pro Teilnehmer in Quebec und 242 CAD in Ontario (95% UI -1.017 bis 408). Gewinn: 0,060 QALYs pro Person (95% UI 0,024-0,094). In 74,8% der Simulationen war DPP kostengünstiger und wirksamer.</w:t>
      </w:r>
    </w:p>
    <w:p>
      <w:r>
        <w:rPr>
          <w:b/>
          <w:sz w:val="19"/>
        </w:rPr>
        <w:t xml:space="preserve">Übertragbarkeit: </w:t>
      </w:r>
      <w:r>
        <w:rPr>
          <w:sz w:val="19"/>
        </w:rPr>
        <w:t>Kanada ähnlich deutschem Sozialversicherungssystem, vergleichbare Kostenkalkulation möglich.</w:t>
      </w:r>
    </w:p>
    <w:p>
      <w:r>
        <w:rPr>
          <w:color w:val="5A7D3A"/>
          <w:sz w:val="18"/>
        </w:rPr>
        <w:t>https://pubmed.ncbi.nlm.nih.gov/42805627/</w:t>
      </w:r>
    </w:p>
    <w:p>
      <w:pPr>
        <w:pStyle w:val="Heading2"/>
      </w:pPr>
      <w:r>
        <w:t>Physiotherapie nach COVID-19 in der niederländischen Primärversorgung: Inanspruchnahme und Trends</w:t>
      </w:r>
    </w:p>
    <w:p>
      <w:r>
        <w:rPr>
          <w:i/>
          <w:color w:val="666666"/>
          <w:sz w:val="18"/>
        </w:rPr>
        <w:t>Veldkamp R et al.  ·  JMIR Public Health Surveill  ·  28.09.2026  ·  PMID 42804191</w:t>
      </w:r>
    </w:p>
    <w:p>
      <w:r>
        <w:t>Retrospektive Kohortenstudie zur Inanspruchnahme von Physiotherapie nach COVID-19 in niederländischen Hausarztpraxen über 2,5 Jahre der Pandemie.</w:t>
      </w:r>
    </w:p>
    <w:p>
      <w:r>
        <w:rPr>
          <w:b/>
        </w:rPr>
        <w:t xml:space="preserve">Ergebnis: </w:t>
      </w:r>
      <w:r>
        <w:t>Unter 71.152 Behandlungsverläufen hatten abgeschlossene Fälle eine mediane Dauer von 24 Wochen mit 28 Konsultationen. Die Physiotherapie-Inanspruchnahme sank signifikant über die Zeit (p&lt;0,001), mit maximalen Konsultationen bei 60-79-Jährigen und 1,5 Wochen längerer Behandlung bei Frauen (p&lt;0,001). In 83% waren Baseline-Werte auf Outcome-Messungen erfasst (6-Minuten-Gehtest: 420 m [340-490]).</w:t>
      </w:r>
    </w:p>
    <w:p>
      <w:r>
        <w:rPr>
          <w:b/>
          <w:sz w:val="19"/>
        </w:rPr>
        <w:t xml:space="preserve">Übertragbarkeit: </w:t>
      </w:r>
      <w:r>
        <w:rPr>
          <w:sz w:val="19"/>
        </w:rPr>
        <w:t>Niederländische Routinedaten aus Primärversorgung, direkt auf deutsches System übertragbar.</w:t>
      </w:r>
    </w:p>
    <w:p>
      <w:r>
        <w:rPr>
          <w:color w:val="5A7D3A"/>
          <w:sz w:val="18"/>
        </w:rPr>
        <w:t>https://pubmed.ncbi.nlm.nih.gov/42804191/</w:t>
      </w:r>
    </w:p>
    <w:p>
      <w:pPr>
        <w:pStyle w:val="Heading2"/>
      </w:pPr>
      <w:r>
        <w:t>Telepharmacy-Services und Notfallaufnahme-Inanspruchnahme: Systematische Übersicht</w:t>
      </w:r>
    </w:p>
    <w:p>
      <w:r>
        <w:rPr>
          <w:i/>
          <w:color w:val="666666"/>
          <w:sz w:val="18"/>
        </w:rPr>
        <w:t>Barwick AL et al.  ·  J Telemed Telecare  ·  28.09.2026  ·  PMID 42804181</w:t>
      </w:r>
    </w:p>
    <w:p>
      <w:r>
        <w:t>Metaanalyse von 17 RCTs zur Wirksamkeit von Telepharmacy-Interventionen auf Notaufnahme-Besuche und Wiederaufnahmen.</w:t>
      </w:r>
    </w:p>
    <w:p>
      <w:r>
        <w:rPr>
          <w:b/>
        </w:rPr>
        <w:t xml:space="preserve">Ergebnis: </w:t>
      </w:r>
      <w:r>
        <w:t>Telepharmacy war mit einer 6% absoluten Reduktion von 30-Tage-Notaufnahme-Besuchen assoziiert (Risikodifferenz=0,06, 95% CI: 0,02-0,10; p=0,005). Keine signifikante Reduktion bei ungeplanten Wiederaufnahmen.</w:t>
      </w:r>
    </w:p>
    <w:p>
      <w:r>
        <w:rPr>
          <w:b/>
          <w:sz w:val="19"/>
        </w:rPr>
        <w:t xml:space="preserve">Übertragbarkeit: </w:t>
      </w:r>
      <w:r>
        <w:rPr>
          <w:sz w:val="19"/>
        </w:rPr>
        <w:t>Heterogene RCTs international, Fragestellung zum Einsatz von Telemedizin systemunabhängig relevant.</w:t>
      </w:r>
    </w:p>
    <w:p>
      <w:r>
        <w:rPr>
          <w:color w:val="5A7D3A"/>
          <w:sz w:val="18"/>
        </w:rPr>
        <w:t>https://pubmed.ncbi.nlm.nih.gov/42804181/</w:t>
      </w:r>
    </w:p>
    <w:p>
      <w:pPr>
        <w:pStyle w:val="Heading2"/>
      </w:pPr>
      <w:r>
        <w:t>Intra-Session-Reliabilität des Imagined Timed Up and Go Tests bei älteren Erwachsenen</w:t>
      </w:r>
    </w:p>
    <w:p>
      <w:r>
        <w:rPr>
          <w:i/>
          <w:color w:val="666666"/>
          <w:sz w:val="18"/>
        </w:rPr>
        <w:t>Inamura T et al.  ·  Physiother Theory Pract  ·  28.09.2026  ·  PMID 42802900</w:t>
      </w:r>
    </w:p>
    <w:p>
      <w:r>
        <w:t>Reliabilitätsstudie (85 Probanden) zum Imagined Timed Up and Go Test zur Erfassung von Schätzfehlern der physischen Leistung.</w:t>
      </w:r>
    </w:p>
    <w:p>
      <w:r>
        <w:rPr>
          <w:b/>
        </w:rPr>
        <w:t xml:space="preserve">Ergebnis: </w:t>
      </w:r>
      <w:r>
        <w:t>Intra-Rater-Reliabilität moderat (ICC_A,1: 0,69-0,73); simultane Inter-Rater-Reliabilität exzellent (ICC_2,2≈0,994; ICC_2,1: 0,982-0,984). Intra-Rater MDC95: 2,3 s (35,1%); Inter-Rater MDC95: 0,3 s (4,9%). Probanden übersch ätzen ihre Fähigkeiten (TUG 6,0 s vs. ITUG 4,0 s).</w:t>
      </w:r>
    </w:p>
    <w:p>
      <w:r>
        <w:rPr>
          <w:b/>
          <w:sz w:val="19"/>
        </w:rPr>
        <w:t xml:space="preserve">Übertragbarkeit: </w:t>
      </w:r>
      <w:r>
        <w:rPr>
          <w:sz w:val="19"/>
        </w:rPr>
        <w:t>Japanische Daten, klinische Metriken systemunabhängig, Validierung vor Routineeinsatz relevant.</w:t>
      </w:r>
    </w:p>
    <w:p>
      <w:r>
        <w:rPr>
          <w:color w:val="5A7D3A"/>
          <w:sz w:val="18"/>
        </w:rPr>
        <w:t>https://pubmed.ncbi.nlm.nih.gov/42802900/</w:t>
      </w:r>
    </w:p>
    <w:p>
      <w:pPr>
        <w:pStyle w:val="Heading2"/>
      </w:pPr>
      <w:r>
        <w:t>Krankenhaus-Management-Modelle und Krebsergebnisse in São Paulo</w:t>
      </w:r>
    </w:p>
    <w:p>
      <w:r>
        <w:rPr>
          <w:i/>
          <w:color w:val="666666"/>
          <w:sz w:val="18"/>
        </w:rPr>
        <w:t>Delpino FM et al.  ·  Int J Health Plann Manage  ·  26.09.2026  ·  PMID 42800063</w:t>
      </w:r>
    </w:p>
    <w:p>
      <w:r>
        <w:t>Staggered Difference-in-Differences-Analyse zu 652.734 Brust-, Prostata- und Darmkrebs-Fällen (2000-2023) unter Vergleich von Social Health Organisations vs. direkt verwalteten Häusern.</w:t>
      </w:r>
    </w:p>
    <w:p>
      <w:r>
        <w:rPr>
          <w:b/>
        </w:rPr>
        <w:t xml:space="preserve">Ergebnis: </w:t>
      </w:r>
      <w:r>
        <w:t>SHO-Adoption assoziiert mit unpräzisen Änderungen: Diagnose-bis-Behandlung -155,3 Tage (95% CI -350,0 bis 39,4); Konsultation-bis-Diagnose -96,3 Tage (95% CI -237,7 bis 45,1); 30-Tage-Mortalität +0,8 Prozentpunkte (95% CI -4,0 bis 5,5). Kontrolle und Gewichtung materialverändernd.</w:t>
      </w:r>
    </w:p>
    <w:p>
      <w:r>
        <w:rPr>
          <w:b/>
          <w:sz w:val="19"/>
        </w:rPr>
        <w:t xml:space="preserve">Übertragbarkeit: </w:t>
      </w:r>
      <w:r>
        <w:rPr>
          <w:sz w:val="19"/>
        </w:rPr>
        <w:t>Brasilien, unterschiedliches Ressourcen-Setting; Fragestellung zu Managementmodellen kontextabhängig.</w:t>
      </w:r>
    </w:p>
    <w:p>
      <w:r>
        <w:rPr>
          <w:color w:val="5A7D3A"/>
          <w:sz w:val="18"/>
        </w:rPr>
        <w:t>https://pubmed.ncbi.nlm.nih.gov/42800063/</w:t>
      </w:r>
    </w:p>
    <w:p>
      <w:pPr>
        <w:pStyle w:val="Heading1"/>
      </w:pPr>
      <w:r>
        <w:t>Aufgenommen am 28.09.2026</w:t>
      </w:r>
    </w:p>
    <w:p>
      <w:pPr>
        <w:pStyle w:val="Heading2"/>
      </w:pPr>
      <w:r>
        <w:t>Wirksamkeit familienorientierter Intervention für Kinder psychisch erkrankter Eltern</w:t>
      </w:r>
    </w:p>
    <w:p>
      <w:r>
        <w:rPr>
          <w:i/>
          <w:color w:val="666666"/>
          <w:sz w:val="18"/>
        </w:rPr>
        <w:t>Paumen T et al.  ·  Child Adolesc Psychiatry Ment Health  ·  25.09.2026  ·  PMID 42800877</w:t>
      </w:r>
    </w:p>
    <w:p>
      <w:r>
        <w:t>Cluster-randomisierte Studie zur Wirksamkeit des CHIMPS-Programms (psychodynamische transdiagnostische Familienintervention) auf psychische Gesundheit und Lebensqualität bei 215 Kindern psychisch erkrankter Eltern in Deutschland und der Schweiz.</w:t>
      </w:r>
    </w:p>
    <w:p>
      <w:r>
        <w:rPr>
          <w:b/>
        </w:rPr>
        <w:t xml:space="preserve">Ergebnis: </w:t>
      </w:r>
      <w:r>
        <w:t>Odds Ratio 0,52 (95%-KI: 0,25-1,09) für diagnostische Remission in der Interventionsgruppe versus Kontrollgruppe – statistisch nicht signifikant. Keine klinisch relevanten Unterschiede in Sekundäroutcomes (Verhaltensauffälligkeiten, Lebensqualität). Geringe Erreichbarkeit und Adhärenz der Zielgruppe erschwerten Umsetzung.</w:t>
      </w:r>
    </w:p>
    <w:p>
      <w:r>
        <w:rPr>
          <w:b/>
          <w:sz w:val="19"/>
        </w:rPr>
        <w:t xml:space="preserve">Übertragbarkeit: </w:t>
      </w:r>
      <w:r>
        <w:rPr>
          <w:sz w:val="19"/>
        </w:rPr>
        <w:t>Deutsche Daten aus Universitätskliniken, gesetzlich versicherte Population</w:t>
      </w:r>
    </w:p>
    <w:p>
      <w:r>
        <w:rPr>
          <w:color w:val="5A7D3A"/>
          <w:sz w:val="18"/>
        </w:rPr>
        <w:t>https://pubmed.ncbi.nlm.nih.gov/42800877/</w:t>
      </w:r>
    </w:p>
    <w:p>
      <w:pPr>
        <w:pStyle w:val="Heading2"/>
      </w:pPr>
      <w:r>
        <w:t>Tamil-Validierung des Diabetes Quality-of-Life Brief Clinical Inventory</w:t>
      </w:r>
    </w:p>
    <w:p>
      <w:r>
        <w:rPr>
          <w:i/>
          <w:color w:val="666666"/>
          <w:sz w:val="18"/>
        </w:rPr>
        <w:t>Darshana N et al.  ·  BMC Health Serv Res  ·  14.09.2026  ·  PMID 42791544</w:t>
      </w:r>
    </w:p>
    <w:p>
      <w:r>
        <w:t>Kulturelle Adaptation und Validierung eines Instruments zur Messung der diabetesspezifischen Lebensqualität bei tamilsprachigen Erwachsenen mit Typ-2-Diabetes in Sri Lanka (n=165).</w:t>
      </w:r>
    </w:p>
    <w:p>
      <w:r>
        <w:rPr>
          <w:b/>
        </w:rPr>
        <w:t xml:space="preserve">Ergebnis: </w:t>
      </w:r>
      <w:r>
        <w:t>Cronbachs α=0,682, signifikante negative Korrelation mit WHOQOL-BREF (r=-0,559, p&lt;0,001), signifikant niedrigere Lebensqualität bei Patienten mit Mikrovaskularisierungskomplikationen (p=0,040). KMO=0,729, Faktorenanalyse erklärt 72% der Gesamtvarianz.</w:t>
      </w:r>
    </w:p>
    <w:p>
      <w:r>
        <w:rPr>
          <w:b/>
          <w:sz w:val="19"/>
        </w:rPr>
        <w:t xml:space="preserve">Übertragbarkeit: </w:t>
      </w:r>
      <w:r>
        <w:rPr>
          <w:sz w:val="19"/>
        </w:rPr>
        <w:t>Nur begrenzt: Südasiatische Bevölkerung, anderes Gesundheitssystem</w:t>
      </w:r>
    </w:p>
    <w:p>
      <w:r>
        <w:rPr>
          <w:color w:val="5A7D3A"/>
          <w:sz w:val="18"/>
        </w:rPr>
        <w:t>https://pubmed.ncbi.nlm.nih.gov/42791544/</w:t>
      </w:r>
    </w:p>
    <w:p>
      <w:pPr>
        <w:pStyle w:val="Heading2"/>
      </w:pPr>
      <w:r>
        <w:t>Gesundheitskompetenz und Versorgungsintegration bei Kindern mit Spezialversorgungsbedarfen</w:t>
      </w:r>
    </w:p>
    <w:p>
      <w:r>
        <w:rPr>
          <w:i/>
          <w:color w:val="666666"/>
          <w:sz w:val="18"/>
        </w:rPr>
        <w:t>Skoss R et al.  ·  BMC Health Serv Res  ·  11.08.2026  ·  PMID 42791541</w:t>
      </w:r>
    </w:p>
    <w:p>
      <w:r>
        <w:t>Querschnittstudie zur Beziehung zwischen Gesundheitskompetenz von Eltern, Erfahrungen mit Versorgungsintegration und Elternbelastung bei 126 australischen Eltern von Kindern mit Spezialversorgungsbedarfen.</w:t>
      </w:r>
    </w:p>
    <w:p>
      <w:r>
        <w:rPr>
          <w:b/>
        </w:rPr>
        <w:t xml:space="preserve">Ergebnis: </w:t>
      </w:r>
      <w:r>
        <w:t>Clusteranalyse identifizierte drei Gesundheitskompetenz-Profile; höhere Kompetenz assoziiert mit besseren Erfahrungen bei Versorgungsintegration und niedrigerem Elternstress. Mehrheitlich Eltern mit Behinderungs-(53,7%) und Atemwegserkrankungen (38,9%) vertreten.</w:t>
      </w:r>
    </w:p>
    <w:p>
      <w:r>
        <w:rPr>
          <w:b/>
          <w:sz w:val="19"/>
        </w:rPr>
        <w:t xml:space="preserve">Übertragbarkeit: </w:t>
      </w:r>
      <w:r>
        <w:rPr>
          <w:sz w:val="19"/>
        </w:rPr>
        <w:t>Steuerfinanziert, englischsprachig – begrenzte Übertragbarkeit auf deutsches SV-System</w:t>
      </w:r>
    </w:p>
    <w:p>
      <w:r>
        <w:rPr>
          <w:color w:val="5A7D3A"/>
          <w:sz w:val="18"/>
        </w:rPr>
        <w:t>https://pubmed.ncbi.nlm.nih.gov/42791541/</w:t>
      </w:r>
    </w:p>
    <w:p>
      <w:pPr>
        <w:pStyle w:val="Heading2"/>
      </w:pPr>
      <w:r>
        <w:t>Zivilgesellschaftliche Organisationen in Gesundheitsversorgung für Migranten auf der Balkanroute</w:t>
      </w:r>
    </w:p>
    <w:p>
      <w:r>
        <w:rPr>
          <w:i/>
          <w:color w:val="666666"/>
          <w:sz w:val="18"/>
        </w:rPr>
        <w:t>Link F et al.  ·  Int J Equity Health  ·  24.09.2026  ·  PMID 42791536</w:t>
      </w:r>
    </w:p>
    <w:p>
      <w:r>
        <w:t>Qualitative Studie mit 15 CSO-Mitarbeitern aus 11 Ländern (März–Mai 2024) zu Barrieren, Erleichterungen und Rollen von Zivilgesellschaft bei Gesundheitsversorgung für Menschen in Migrationsprozessen.</w:t>
      </w:r>
    </w:p>
    <w:p>
      <w:r>
        <w:rPr>
          <w:b/>
        </w:rPr>
        <w:t xml:space="preserve">Ergebnis: </w:t>
      </w:r>
      <w:r>
        <w:t>Vier Hauptkategorien identifiziert: fragmentierte Migrationspolitik, begrenzte Systemkapazitäten, Diskriminierung und Rechtsbarrieren. CSO erfüllen kritische Lückenfüllungsfunktion durch Mediation und Advocacy; jedoch chronische Finanzierungsunsicherheit, Personalengpässe und ethische Spannungen. Vertrauen zwischen CSO, Gesundheitssystem und Behörden essentiell.</w:t>
      </w:r>
    </w:p>
    <w:p>
      <w:r>
        <w:rPr>
          <w:b/>
          <w:sz w:val="19"/>
        </w:rPr>
        <w:t xml:space="preserve">Übertragbarkeit: </w:t>
      </w:r>
      <w:r>
        <w:rPr>
          <w:sz w:val="19"/>
        </w:rPr>
        <w:t>Europäischer Kontext (11 Länder), Mehrländer-Perspektive – Migrationsstrukturen relevant</w:t>
      </w:r>
    </w:p>
    <w:p>
      <w:r>
        <w:rPr>
          <w:color w:val="5A7D3A"/>
          <w:sz w:val="18"/>
        </w:rPr>
        <w:t>https://pubmed.ncbi.nlm.nih.gov/42791536/</w:t>
      </w:r>
    </w:p>
    <w:p>
      <w:pPr>
        <w:pStyle w:val="Heading2"/>
      </w:pPr>
      <w:r>
        <w:t>Präklinische Halswirbelimmobilisierung und Mortalität bei Traumapatienten</w:t>
      </w:r>
    </w:p>
    <w:p>
      <w:r>
        <w:rPr>
          <w:i/>
          <w:color w:val="666666"/>
          <w:sz w:val="18"/>
        </w:rPr>
        <w:t>Häske D et al.  ·  World J Emerg Surg  ·  22.09.2026  ·  PMID 42786484</w:t>
      </w:r>
    </w:p>
    <w:p>
      <w:r>
        <w:t>Retrospektive Beobachtungsstudie aus deutschem Traumaregister (TraumaRegister DGU, 2020–2022) mit Propensity-Score-Matching zu Effekt präklinischer Halswirbelimmobilisierung auf Krankenhausmortalität und neurologische Outcomes (n=31.055, davon 16.922 gematched).</w:t>
      </w:r>
    </w:p>
    <w:p>
      <w:r>
        <w:rPr>
          <w:b/>
        </w:rPr>
        <w:t xml:space="preserve">Ergebnis: </w:t>
      </w:r>
      <w:r>
        <w:t>Mortalität gematched: 12,0% mit Immobilisierung vs. 13,6% ohne (p=0,001), kein klinisch bedeutsamer Unterschied. Bei bestätigter Halswirbelverletztung (n=1.362): Mortalität 17,9% vs. 18,2% (p=0,888), Glasgow Outcome Scale zeigt kein signifikanten Unterschied. GCS-Verbesserung Einsatzstelle-Hospital marginal höher mit Immobilisierung (15,7% vs. 12,8%, p&lt;0,001).</w:t>
      </w:r>
    </w:p>
    <w:p>
      <w:r>
        <w:rPr>
          <w:b/>
          <w:sz w:val="19"/>
        </w:rPr>
        <w:t xml:space="preserve">Übertragbarkeit: </w:t>
      </w:r>
      <w:r>
        <w:rPr>
          <w:sz w:val="19"/>
        </w:rPr>
        <w:t>Deutsche Routinedaten aus standardisiertem Traumaregister, System vergleichbar</w:t>
      </w:r>
    </w:p>
    <w:p>
      <w:r>
        <w:rPr>
          <w:color w:val="5A7D3A"/>
          <w:sz w:val="18"/>
        </w:rPr>
        <w:t>https://pubmed.ncbi.nlm.nih.gov/42786484/</w:t>
      </w:r>
    </w:p>
    <w:p>
      <w:pPr>
        <w:pStyle w:val="Heading2"/>
      </w:pPr>
      <w:r>
        <w:t>Empagliflozin-Effekte auf kardiovaskuläre Outcomes in sociodemografischen Subgruppen</w:t>
      </w:r>
    </w:p>
    <w:p>
      <w:r>
        <w:rPr>
          <w:i/>
          <w:color w:val="666666"/>
          <w:sz w:val="18"/>
        </w:rPr>
        <w:t>Cromer SJ et al.  ·  Diabetes Care  ·  21.09.2026  ·  PMID 42765974</w:t>
      </w:r>
    </w:p>
    <w:p>
      <w:r>
        <w:t>Real-World-Analyse aus US-Medicare-Daten (2014–2020) zur Heterogenität der Effekte von Empagliflozin auf MACE, Herzinsuffizienz-Hospitalisierung und Mortalität bei älteren Erwachsenen mit Typ-2-Diabetes (n propensity-matched: 16.922).</w:t>
      </w:r>
    </w:p>
    <w:p>
      <w:r>
        <w:rPr>
          <w:b/>
        </w:rPr>
        <w:t xml:space="preserve">Ergebnis: </w:t>
      </w:r>
      <w:r>
        <w:t>Empagliflozin vs. DPP4-Inhibitoren: MACE HR 0,77 (99,9%-KI 0,69–0,85, IRD –10,3), HHF HR 0,72 (0,67–0,79, IRD –18,3), Mortalität HR 0,66 (0,57–0,76, IRD –8,6). Konsistente Effekte über sociodemografische Gruppen, höherer absoluter Nutzen mit prävalenter kardiovaskulärer Erkrankung.</w:t>
      </w:r>
    </w:p>
    <w:p>
      <w:r>
        <w:rPr>
          <w:b/>
          <w:sz w:val="19"/>
        </w:rPr>
        <w:t xml:space="preserve">Übertragbarkeit: </w:t>
      </w:r>
      <w:r>
        <w:rPr>
          <w:sz w:val="19"/>
        </w:rPr>
        <w:t>US-Daten – Fragestellung aber systemunabhängig, kardiometabolisch relevant</w:t>
      </w:r>
    </w:p>
    <w:p>
      <w:r>
        <w:rPr>
          <w:color w:val="5A7D3A"/>
          <w:sz w:val="18"/>
        </w:rPr>
        <w:t>https://pubmed.ncbi.nlm.nih.gov/42765974/</w:t>
      </w:r>
    </w:p>
    <w:p>
      <w:pPr>
        <w:pStyle w:val="Heading1"/>
      </w:pPr>
      <w:r>
        <w:t>Aufgenommen am 27.09.2026</w:t>
      </w:r>
    </w:p>
    <w:p>
      <w:pPr>
        <w:pStyle w:val="Heading2"/>
      </w:pPr>
      <w:r>
        <w:t>Geschlechtsspezifische Depressionsdiagnostik: Validierung des DESY-PC in der Primärversorgung</w:t>
      </w:r>
    </w:p>
    <w:p>
      <w:r>
        <w:rPr>
          <w:i/>
          <w:color w:val="666666"/>
          <w:sz w:val="18"/>
        </w:rPr>
        <w:t>Schäffler L et al.  ·  Eur Arch Psychiatry Clin Neurosci  ·  26.09.2026  ·  PMID 42799905</w:t>
      </w:r>
    </w:p>
    <w:p>
      <w:r>
        <w:t>Sekundäranalyse einer diagnostischen Querschnittsstudie mit 431 Primärversorgungspatienten (61% Frauen) zur Testgüte des neuen DESY-PC-Fragebogens versus PHQ-9 mit strukturiertem klinischem Interview als Goldstandard.</w:t>
      </w:r>
    </w:p>
    <w:p>
      <w:r>
        <w:rPr>
          <w:b/>
        </w:rPr>
        <w:t xml:space="preserve">Ergebnis: </w:t>
      </w:r>
      <w:r>
        <w:t>DESY-PC zeigte vergleichbare diagnostische Genauigkeit bei Frauen (AUC 0,85, 95% CI 0,80-0,91) und Männern (AUC 0,90, 95% CI 0,83-0,97, p=0,340). Sensitivität und Spezifität waren ausgeglichen (Cut-off 16: Sensitivität Frauen 74%, Männer 83%, p=0,422; Spezifität Frauen 82%, Männer 87%, p=0,220). Messinvarianz über Geschlechter bestätigt.</w:t>
      </w:r>
    </w:p>
    <w:p>
      <w:r>
        <w:rPr>
          <w:b/>
          <w:sz w:val="19"/>
        </w:rPr>
        <w:t xml:space="preserve">Übertragbarkeit: </w:t>
      </w:r>
      <w:r>
        <w:rPr>
          <w:sz w:val="19"/>
        </w:rPr>
        <w:t>Deutsche Akademische Primärversorgungspraxis in München; Screening-Instrument systemunabhängig</w:t>
      </w:r>
    </w:p>
    <w:p>
      <w:r>
        <w:rPr>
          <w:color w:val="5A7D3A"/>
          <w:sz w:val="18"/>
        </w:rPr>
        <w:t>https://pubmed.ncbi.nlm.nih.gov/42799905/</w:t>
      </w:r>
    </w:p>
    <w:p>
      <w:pPr>
        <w:pStyle w:val="Heading2"/>
      </w:pPr>
      <w:r>
        <w:t>Psychische Gesundheitsdiagnosen bei Kindern und Jugendlichen vor und während COVID-19 in Niedersachsen</w:t>
      </w:r>
    </w:p>
    <w:p>
      <w:r>
        <w:rPr>
          <w:i/>
          <w:color w:val="666666"/>
          <w:sz w:val="18"/>
        </w:rPr>
        <w:t>Jobski K et al.  ·  Children (Basel)  ·  14.09.2026  ·  PMID 42794265</w:t>
      </w:r>
    </w:p>
    <w:p>
      <w:r>
        <w:t>Trends-Analyse mit Routinedaten der AOK Niedersachsen 2018-2022 bei etwa 500.000 Versicherten unter 18 Jahren zur Inzidenz und Prävalenz von Angststörungen, depressiven Störungen, Essstörungen und ADHS.</w:t>
      </w:r>
    </w:p>
    <w:p>
      <w:r>
        <w:rPr>
          <w:b/>
        </w:rPr>
        <w:t xml:space="preserve">Ergebnis: </w:t>
      </w:r>
      <w:r>
        <w:t>2021 höchste Inzidenz für Angststörungen (34,7/1.000), gefolgt von ADHS (18,0/1.000), Depression (13,7/1.000) und Essstörungen (2,7/1.000). Vergleich 2019 zu 2021: Inzidenzen stiegen alle, besonders bei Mädchen 15-17 Jahre (Angst +23%, Depression +25%, ADHS +54%, Essstörungen +90%). 2022 Rückgang, aber Prävalenz bei Mädchen nicht auf Vor-Pandemie-Niveau.</w:t>
      </w:r>
    </w:p>
    <w:p>
      <w:r>
        <w:rPr>
          <w:b/>
          <w:sz w:val="19"/>
        </w:rPr>
        <w:t xml:space="preserve">Übertragbarkeit: </w:t>
      </w:r>
      <w:r>
        <w:rPr>
          <w:sz w:val="19"/>
        </w:rPr>
        <w:t>Deutsche Routinedaten, gesetzlich versicherte Kinder und Jugendliche Niedersachsen</w:t>
      </w:r>
    </w:p>
    <w:p>
      <w:r>
        <w:rPr>
          <w:color w:val="5A7D3A"/>
          <w:sz w:val="18"/>
        </w:rPr>
        <w:t>https://pubmed.ncbi.nlm.nih.gov/42794265/</w:t>
      </w:r>
    </w:p>
    <w:p>
      <w:pPr>
        <w:pStyle w:val="Heading2"/>
      </w:pPr>
      <w:r>
        <w:t>Schlaganfallzertifizierung und Prozessqualität in der akuten ischämischen Schlaganfallbehandlung</w:t>
      </w:r>
    </w:p>
    <w:p>
      <w:r>
        <w:rPr>
          <w:i/>
          <w:color w:val="666666"/>
          <w:sz w:val="18"/>
        </w:rPr>
        <w:t>Boehl M et al.  ·  Neurol Res Pract  ·  25.09.2026  ·  PMID 42791587</w:t>
      </w:r>
    </w:p>
    <w:p>
      <w:r>
        <w:t>Retrospektive Registeranalyse zur Assoziation zwischen Schlaganfalleinheitszertifizierung und Qualitätsindikatoren der intravenösen Thrombolyse in Hessen 2021-2024.</w:t>
      </w:r>
    </w:p>
    <w:p>
      <w:r>
        <w:rPr>
          <w:b/>
        </w:rPr>
        <w:t xml:space="preserve">Ergebnis: </w:t>
      </w:r>
      <w:r>
        <w:t>Zertifizierte Schlaganfalleinheiten führten signifikant häufiger Thrombolyse durch (primär 4,5 h: OR 2,32, 95% CI 1,65-3,27 für pSU; OR 2,19, 95% CI 1,57-3,07 für cSU). Door-to-needle ≤60 min wurden häufiger erreicht (pSU OR 3,13, 95% CI 2,13-4,61; cSU OR 2,60, 95% CI 1,80-3,75). Zertifizierung ist mit besseren Prozessqualitätsindikatoren assoziiert.</w:t>
      </w:r>
    </w:p>
    <w:p>
      <w:r>
        <w:rPr>
          <w:b/>
          <w:sz w:val="19"/>
        </w:rPr>
        <w:t xml:space="preserve">Übertragbarkeit: </w:t>
      </w:r>
      <w:r>
        <w:rPr>
          <w:sz w:val="19"/>
        </w:rPr>
        <w:t>Deutsche Routinedaten aus Hessen, gesetzlich versicherte Schlaganfallpatienten</w:t>
      </w:r>
    </w:p>
    <w:p>
      <w:r>
        <w:rPr>
          <w:color w:val="5A7D3A"/>
          <w:sz w:val="18"/>
        </w:rPr>
        <w:t>https://pubmed.ncbi.nlm.nih.gov/42791587/</w:t>
      </w:r>
    </w:p>
    <w:p>
      <w:pPr>
        <w:pStyle w:val="Heading2"/>
      </w:pPr>
      <w:r>
        <w:t>Patient-reported Experience und psychische Gesundheit: Unterschiede zwischen Immigrant*innen und norwegischer Bevölkerung in der Psychiatrie</w:t>
      </w:r>
    </w:p>
    <w:p>
      <w:r>
        <w:rPr>
          <w:i/>
          <w:color w:val="666666"/>
          <w:sz w:val="18"/>
        </w:rPr>
        <w:t>Ellingsen-Dalskau LH et al.  ·  BMC Health Serv Res  ·  12.09.2026  ·  PMID 42791573</w:t>
      </w:r>
    </w:p>
    <w:p>
      <w:r>
        <w:t>Nationale Befragung (2020-2022) von 8.184 Patienten in norwegischen psychiatrischen Stationen mit gemischten Methoden zu Unterschieden in Patientenerfahrung und Zwangsmaßnahmen zwischen Immigrant*innen und Mehrheitsbevölkerung.</w:t>
      </w:r>
    </w:p>
    <w:p>
      <w:r>
        <w:rPr>
          <w:b/>
        </w:rPr>
        <w:t xml:space="preserve">Ergebnis: </w:t>
      </w:r>
      <w:r>
        <w:t>Einige Immigrant*innengruppen berichteten höhere Zwangsanwendung und geringere Verbesserung der psychischen Gesundheit; qualitative Analyse zeigte unterschiedliche Erwartungen, Vertrauen, Kommunikation und Informationszugang als Einflussfaktoren. Insgesamt ähnliche Erfahrungswerte, aber kontextabhängige Unterschiede.</w:t>
      </w:r>
    </w:p>
    <w:p>
      <w:r>
        <w:rPr>
          <w:b/>
          <w:sz w:val="19"/>
        </w:rPr>
        <w:t xml:space="preserve">Übertragbarkeit: </w:t>
      </w:r>
      <w:r>
        <w:rPr>
          <w:sz w:val="19"/>
        </w:rPr>
        <w:t>Norwegen, Skandinavien mit ähnlichem Sozialversicherungssystem; Patientenperspektive übertragbar</w:t>
      </w:r>
    </w:p>
    <w:p>
      <w:r>
        <w:rPr>
          <w:color w:val="5A7D3A"/>
          <w:sz w:val="18"/>
        </w:rPr>
        <w:t>https://pubmed.ncbi.nlm.nih.gov/42791573/</w:t>
      </w:r>
    </w:p>
    <w:p>
      <w:pPr>
        <w:pStyle w:val="Heading2"/>
      </w:pPr>
      <w:r>
        <w:t>Bedeutung von Präsenzberatung in TIA-Kliniken aus Patienten- und Fachperspektive</w:t>
      </w:r>
    </w:p>
    <w:p>
      <w:r>
        <w:rPr>
          <w:i/>
          <w:color w:val="666666"/>
          <w:sz w:val="18"/>
        </w:rPr>
        <w:t>Heath J et al.  ·  BMC Health Serv Res  ·  14.09.2026  ·  PMID 42791572</w:t>
      </w:r>
    </w:p>
    <w:p>
      <w:r>
        <w:t>Qualitative Interviews mit 15 Patienten und 12 Fachpersonen in England zur Evaluation von virtuellen versus Face-to-Face-TIA-Kliniken während und nach COVID-19.</w:t>
      </w:r>
    </w:p>
    <w:p>
      <w:r>
        <w:rPr>
          <w:b/>
        </w:rPr>
        <w:t xml:space="preserve">Ergebnis: </w:t>
      </w:r>
      <w:r>
        <w:t>Patienten betonten die Wichtigkeit von Präsenzkontakt ('being seen'); zwei Kernthemen identifiziert: (1) bessere Kommunikationsmöglichkeiten und (2) Gefühl, von einem multiprofessionellen Team versorgt zu werden. Fachpersonen sahen virtuelle Kliniken positiver als Patienten; eine Hybrid-Lösung könnte optimal sein.</w:t>
      </w:r>
    </w:p>
    <w:p>
      <w:r>
        <w:rPr>
          <w:b/>
          <w:sz w:val="19"/>
        </w:rPr>
        <w:t xml:space="preserve">Übertragbarkeit: </w:t>
      </w:r>
      <w:r>
        <w:rPr>
          <w:sz w:val="19"/>
        </w:rPr>
        <w:t>Großbritannien (NHS), aber Fragestellung zu Patientenperspektive systemunabhängig</w:t>
      </w:r>
    </w:p>
    <w:p>
      <w:r>
        <w:rPr>
          <w:color w:val="5A7D3A"/>
          <w:sz w:val="18"/>
        </w:rPr>
        <w:t>https://pubmed.ncbi.nlm.nih.gov/42791572/</w:t>
      </w:r>
    </w:p>
    <w:p>
      <w:pPr>
        <w:pStyle w:val="Heading2"/>
      </w:pPr>
      <w:r>
        <w:t>Patient-Journey-Mapping für allogene Stammzelltransplantation: Holistische Versorgungsbedarfe</w:t>
      </w:r>
    </w:p>
    <w:p>
      <w:r>
        <w:rPr>
          <w:i/>
          <w:color w:val="666666"/>
          <w:sz w:val="18"/>
        </w:rPr>
        <w:t>Nan J et al.  ·  BMC Health Serv Res  ·  13.08.2026  ·  PMID 42786489</w:t>
      </w:r>
    </w:p>
    <w:p>
      <w:r>
        <w:t>Qualitative Studie mit 16 allogenen-HSCT-Patienten (November-Dezember 2025) zur Kartierung der Gesundheitsmanagement-Reise über vier Phasen (Screening, Transplantation, Erhaltungstherapie, Langzeit-Follow-up).</w:t>
      </w:r>
    </w:p>
    <w:p>
      <w:r>
        <w:rPr>
          <w:b/>
        </w:rPr>
        <w:t xml:space="preserve">Ergebnis: </w:t>
      </w:r>
      <w:r>
        <w:t>31 Themen über drei Dimensionen identifiziert (Aufgabenausführung, emotionaler Zustand, Schmerzpunkte). Symptombelastung verschoben sich dynamisch: psychische Belastung und Entscheidungslähmung in Phase 1, akute physische Symptome in Phase 2, chronische funktionelle Rückgänge in Phase 4. Durchgehend kritische Schmerzpunkte: fragmentierte Übergänge, Misalignment von Information zu Bedarf, fehlendes Selbstmanagement-Support, finanzielle Last.</w:t>
      </w:r>
    </w:p>
    <w:p>
      <w:r>
        <w:rPr>
          <w:b/>
          <w:sz w:val="19"/>
        </w:rPr>
        <w:t xml:space="preserve">Übertragbarkeit: </w:t>
      </w:r>
      <w:r>
        <w:rPr>
          <w:sz w:val="19"/>
        </w:rPr>
        <w:t>China, aber patient-centered Journey-Mapping-Methodik systemunabhängig übertragbar</w:t>
      </w:r>
    </w:p>
    <w:p>
      <w:r>
        <w:rPr>
          <w:color w:val="5A7D3A"/>
          <w:sz w:val="18"/>
        </w:rPr>
        <w:t>https://pubmed.ncbi.nlm.nih.gov/42786489/</w:t>
      </w:r>
    </w:p>
    <w:p>
      <w:pPr>
        <w:pStyle w:val="Heading1"/>
      </w:pPr>
      <w:r>
        <w:t>Aufgenommen am 26.09.2026</w:t>
      </w:r>
    </w:p>
    <w:p>
      <w:pPr>
        <w:pStyle w:val="Heading2"/>
      </w:pPr>
      <w:r>
        <w:t>Strukturiertes Shared Decision-Making in der Krankenhausversorgung</w:t>
      </w:r>
    </w:p>
    <w:p>
      <w:r>
        <w:rPr>
          <w:i/>
          <w:color w:val="666666"/>
          <w:sz w:val="18"/>
        </w:rPr>
        <w:t>Salas-Gama K et al.  ·  J Healthc Qual Res  ·  25.09.2026  ·  PMID 42790349</w:t>
      </w:r>
    </w:p>
    <w:p>
      <w:r>
        <w:t>Entwicklung und pilotweise Implementierung eines sechsstufigen Shared-Decision-Making-Modells zur Integration in Krankenhausabläufe mit Evaluation von Machbarkeit, Akzeptabilität und Outcome.</w:t>
      </w:r>
    </w:p>
    <w:p>
      <w:r>
        <w:rPr>
          <w:b/>
        </w:rPr>
        <w:t xml:space="preserve">Ergebnis: </w:t>
      </w:r>
      <w:r>
        <w:t>Bei Adipositas berichteten SDM-Teilnehmer höheres Patientenwissen (80,0% vs. 48,8%; p&lt;0,001) und größere Entscheidungszufriedenheit (28,0 vs. 24,2; p=0,022). Bei chronischer Nierenkrankheit zeigte sich signifikant höheres Wissen (91,1% vs. 37,1%; p&lt;0,001). Machbarkeitsschwellen wurden in beiden Indikationen erreicht.</w:t>
      </w:r>
    </w:p>
    <w:p>
      <w:r>
        <w:rPr>
          <w:b/>
          <w:sz w:val="19"/>
        </w:rPr>
        <w:t xml:space="preserve">Übertragbarkeit: </w:t>
      </w:r>
      <w:r>
        <w:rPr>
          <w:sz w:val="19"/>
        </w:rPr>
        <w:t>Spanien, Pilotprojekt im Krankenhaus - methodische Übertragbarkeit auf deutsches Setting gegeben</w:t>
      </w:r>
    </w:p>
    <w:p>
      <w:r>
        <w:rPr>
          <w:color w:val="5A7D3A"/>
          <w:sz w:val="18"/>
        </w:rPr>
        <w:t>https://pubmed.ncbi.nlm.nih.gov/42790349/</w:t>
      </w:r>
    </w:p>
    <w:p>
      <w:pPr>
        <w:pStyle w:val="Heading2"/>
      </w:pPr>
      <w:r>
        <w:t>Surgery on Foot-Protokoll: Patientenerfahrung bei Kolorektalkarzinom</w:t>
      </w:r>
    </w:p>
    <w:p>
      <w:r>
        <w:rPr>
          <w:i/>
          <w:color w:val="666666"/>
          <w:sz w:val="18"/>
        </w:rPr>
        <w:t>van Gool ISM et al.  ·  J Surg Oncol  ·  25.09.2026  ·  PMID 42788955</w:t>
      </w:r>
    </w:p>
    <w:p>
      <w:r>
        <w:t>Qualitative Studie zu Patientenerfahrungen mit dem Surgery-on-Foot-Protokoll, bei dem Patienten am OP-Tag (statt Vortagnacht) aufgenommen und zur OP gehen.</w:t>
      </w:r>
    </w:p>
    <w:p>
      <w:r>
        <w:rPr>
          <w:b/>
        </w:rPr>
        <w:t xml:space="preserve">Ergebnis: </w:t>
      </w:r>
      <w:r>
        <w:t>14 Patienten befragt; Gesamterfahrung positiv. Faktoren für Kontrollgefühl: persönlicher Umgang, involvierte Ärzte und Anwesenheit von Bezugspersonen. Einige Patienten berichteten Angst und Unbehagen bezüglich Krankenhausumgebung. Protokoll wirkte sich positiv auf patientenzentrierte Aspekte aus.</w:t>
      </w:r>
    </w:p>
    <w:p>
      <w:r>
        <w:rPr>
          <w:b/>
          <w:sz w:val="19"/>
        </w:rPr>
        <w:t xml:space="preserve">Übertragbarkeit: </w:t>
      </w:r>
      <w:r>
        <w:rPr>
          <w:sz w:val="19"/>
        </w:rPr>
        <w:t>Niederlande (akademisches Krankenhaus), vergleichbares Versorgungssystem mit Deutschland</w:t>
      </w:r>
    </w:p>
    <w:p>
      <w:r>
        <w:rPr>
          <w:color w:val="5A7D3A"/>
          <w:sz w:val="18"/>
        </w:rPr>
        <w:t>https://pubmed.ncbi.nlm.nih.gov/42788955/</w:t>
      </w:r>
    </w:p>
    <w:p>
      <w:pPr>
        <w:pStyle w:val="Heading2"/>
      </w:pPr>
      <w:r>
        <w:t>Transformatives Governance-Modell für Gesundheit - Evaluierung des Programms Alles ist Gezondheid</w:t>
      </w:r>
    </w:p>
    <w:p>
      <w:r>
        <w:rPr>
          <w:i/>
          <w:color w:val="666666"/>
          <w:sz w:val="18"/>
        </w:rPr>
        <w:t>Bekker MPM et al.  ·  TSG  ·  16.09.2026  ·  PMID 42787321</w:t>
      </w:r>
    </w:p>
    <w:p>
      <w:r>
        <w:t>Mehrfachfallstudie zur Evaluierung eines niederländischen Programms für domeinoverstijgende Gesundheitsnetze; Entwicklung eines heuristischen Transformativen-Governance-Modells basierend auf Interviews, Beobachtungen und Workshops.</w:t>
      </w:r>
    </w:p>
    <w:p>
      <w:r>
        <w:rPr>
          <w:b/>
        </w:rPr>
        <w:t xml:space="preserve">Ergebnis: </w:t>
      </w:r>
      <w:r>
        <w:t>Fünf Small Wins und fünf Veränderungsmechanismen identifiziert, die sich nicht-linear gegenseitig verstärken. Konflikteskalation und -management essentiell für Anpassung von Normen und Regeln. Modell zeigt, wie Transformationsprozesse durch nationale Plattform und Zusammenarbeit ermöglicht werden.</w:t>
      </w:r>
    </w:p>
    <w:p>
      <w:r>
        <w:rPr>
          <w:b/>
          <w:sz w:val="19"/>
        </w:rPr>
        <w:t xml:space="preserve">Übertragbarkeit: </w:t>
      </w:r>
      <w:r>
        <w:rPr>
          <w:sz w:val="19"/>
        </w:rPr>
        <w:t>Niederlande, Sozialversicherungssystem - hohe Übertragbarkeit auf Deutschland</w:t>
      </w:r>
    </w:p>
    <w:p>
      <w:r>
        <w:rPr>
          <w:color w:val="5A7D3A"/>
          <w:sz w:val="18"/>
        </w:rPr>
        <w:t>https://pubmed.ncbi.nlm.nih.gov/42787321/</w:t>
      </w:r>
    </w:p>
    <w:p>
      <w:pPr>
        <w:pStyle w:val="Heading2"/>
      </w:pPr>
      <w:r>
        <w:t>Komplexität von Beatmungsentwöhnung in der Intensivmedizin</w:t>
      </w:r>
    </w:p>
    <w:p>
      <w:r>
        <w:rPr>
          <w:i/>
          <w:color w:val="666666"/>
          <w:sz w:val="18"/>
        </w:rPr>
        <w:t>Sterr F et al.  ·  Nurs Crit Care  ·  Nov. 2026  ·  PMID 42786673</w:t>
      </w:r>
    </w:p>
    <w:p>
      <w:r>
        <w:t>Qualitative Studie mit 29 Intensivpflegefachkräften zur Identifikation von Charakteristika und Mechanismen der Beatmungsentwöhnung als komplexe Intervention.</w:t>
      </w:r>
    </w:p>
    <w:p>
      <w:r>
        <w:rPr>
          <w:b/>
        </w:rPr>
        <w:t xml:space="preserve">Ergebnis: </w:t>
      </w:r>
      <w:r>
        <w:t>Vier Hauptthemen identifiziert: Komplexität der Beatmungsentwöhnung, Outcomes, Interventionen sowie Verknüpfungen und Wechselwirkungen. Analyse zeigt, dass Beatmungsentwöhnung durch Interaktion verschiedener Interventionen, Outcomes und kontextueller Faktoren geprägt ist und theoretisch-konzeptuell organisiert werden muss.</w:t>
      </w:r>
    </w:p>
    <w:p>
      <w:r>
        <w:rPr>
          <w:b/>
          <w:sz w:val="19"/>
        </w:rPr>
        <w:t xml:space="preserve">Übertragbarkeit: </w:t>
      </w:r>
      <w:r>
        <w:rPr>
          <w:sz w:val="19"/>
        </w:rPr>
        <w:t>Deutschland, qualitative Analyse von Intensivpflegeprozessen - systemunabhängig übertragbar</w:t>
      </w:r>
    </w:p>
    <w:p>
      <w:r>
        <w:rPr>
          <w:color w:val="5A7D3A"/>
          <w:sz w:val="18"/>
        </w:rPr>
        <w:t>https://pubmed.ncbi.nlm.nih.gov/42786673/</w:t>
      </w:r>
    </w:p>
    <w:p>
      <w:pPr>
        <w:pStyle w:val="Heading2"/>
      </w:pPr>
      <w:r>
        <w:t>Vertrauen in Gesundheitssystem und Vermeidung von Gesundheitsleistungen</w:t>
      </w:r>
    </w:p>
    <w:p>
      <w:r>
        <w:rPr>
          <w:i/>
          <w:color w:val="666666"/>
          <w:sz w:val="18"/>
        </w:rPr>
        <w:t>Uçar M et al.  ·  BMC Health Serv Res  ·  31.08.2026  ·  PMID 42786500</w:t>
      </w:r>
    </w:p>
    <w:p>
      <w:r>
        <w:t>Querschnittsuntersuchung zum Zusammenhang zwischen medizinischem Vertrauen, Systemvertrauen und Verzögerungsverhalten bei der Inanspruchnahme sowie Einstellung zu Krebsscreening in der Primärversorgung.</w:t>
      </w:r>
    </w:p>
    <w:p>
      <w:r>
        <w:rPr>
          <w:b/>
        </w:rPr>
        <w:t xml:space="preserve">Ergebnis: </w:t>
      </w:r>
      <w:r>
        <w:t>Medizinisches Misstrauen und Systemvertrauen waren positiv mit Verzögerungsverhalten assoziiert und negativ mit Screening-Einstellungen (p&lt;0,001). Medizinisches Misstrauen zeigte stärkste unabhängige Assoziation mit Verzögerungsverhalten (β=0,59) und Screening-Einstellung (β=-0,79).</w:t>
      </w:r>
    </w:p>
    <w:p>
      <w:r>
        <w:rPr>
          <w:b/>
          <w:sz w:val="19"/>
        </w:rPr>
        <w:t xml:space="preserve">Übertragbarkeit: </w:t>
      </w:r>
      <w:r>
        <w:rPr>
          <w:sz w:val="19"/>
        </w:rPr>
        <w:t>Türkei, aber Fragestellung zum Vertrauensaufbau systemunabhängig relevant</w:t>
      </w:r>
    </w:p>
    <w:p>
      <w:r>
        <w:rPr>
          <w:color w:val="5A7D3A"/>
          <w:sz w:val="18"/>
        </w:rPr>
        <w:t>https://pubmed.ncbi.nlm.nih.gov/42786500/</w:t>
      </w:r>
    </w:p>
    <w:p>
      <w:pPr>
        <w:pStyle w:val="Heading2"/>
      </w:pPr>
      <w:r>
        <w:t>Versorgungslücken in der Rehabilitation von unter 60-Jährigen in Deutschland</w:t>
      </w:r>
    </w:p>
    <w:p>
      <w:r>
        <w:rPr>
          <w:i/>
          <w:color w:val="666666"/>
          <w:sz w:val="18"/>
        </w:rPr>
        <w:t>Armbruster C et al.  ·  BMC Health Serv Res  ·  24.09.2026  ·  PMID 42786497</w:t>
      </w:r>
    </w:p>
    <w:p>
      <w:r>
        <w:t>Exploratory Expertenbefragung zu Versorgungslücken und Machbarkeit einer indikationsübergreifenden, ambulanten Rehabilitationsversorgung für Patienten unter 60 Jahren mit komplexen Beeinträchtigungen.</w:t>
      </w:r>
    </w:p>
    <w:p>
      <w:r>
        <w:rPr>
          <w:b/>
        </w:rPr>
        <w:t xml:space="preserve">Ergebnis: </w:t>
      </w:r>
      <w:r>
        <w:t>136 Experten aus sechs Fachbereichen nahmen teil; überwiegende Mehrheit sah hohe Versorgungslücken in aktuellen Rehabilitationsdiensten. Experten bewerteten indikationsübergreifende, ambulante Rehabilitation positiv bezüglich Nutzen und Notwendigkeit, um bestehende Versorgungslücken zu schließen.</w:t>
      </w:r>
    </w:p>
    <w:p>
      <w:r>
        <w:rPr>
          <w:b/>
          <w:sz w:val="19"/>
        </w:rPr>
        <w:t xml:space="preserve">Übertragbarkeit: </w:t>
      </w:r>
      <w:r>
        <w:rPr>
          <w:sz w:val="19"/>
        </w:rPr>
        <w:t>Deutsche Expertenbefragung, direkt auf deutsches Versorgungssystem anwendbar</w:t>
      </w:r>
    </w:p>
    <w:p>
      <w:r>
        <w:rPr>
          <w:color w:val="5A7D3A"/>
          <w:sz w:val="18"/>
        </w:rPr>
        <w:t>https://pubmed.ncbi.nlm.nih.gov/42786497/</w:t>
      </w:r>
    </w:p>
    <w:p>
      <w:pPr>
        <w:pStyle w:val="Heading1"/>
      </w:pPr>
      <w:r>
        <w:t>Aufgenommen am 25.09.2026</w:t>
      </w:r>
    </w:p>
    <w:p>
      <w:pPr>
        <w:pStyle w:val="Heading2"/>
      </w:pPr>
      <w:r>
        <w:t>Morbiditäten und Infektionen bei MS-Patienten in niederländischen Hausarztpraxen</w:t>
      </w:r>
    </w:p>
    <w:p>
      <w:r>
        <w:rPr>
          <w:i/>
          <w:color w:val="666666"/>
          <w:sz w:val="18"/>
        </w:rPr>
        <w:t>Lemmens CMC et al.  ·  Mult Scler Relat Disord  ·  14.09.2026  ·  PMID 42785001</w:t>
      </w:r>
    </w:p>
    <w:p>
      <w:r>
        <w:t>Retrospektive Fall-Kontroll-Studie zu Begleiterkrankungen und Infektionsraten bei MS-Patienten versus Kontrollpersonen in niederländischen Primärversorgungspraxen (Nivel-Datenbank 2019).</w:t>
      </w:r>
    </w:p>
    <w:p>
      <w:r>
        <w:rPr>
          <w:b/>
        </w:rPr>
        <w:t xml:space="preserve">Ergebnis: </w:t>
      </w:r>
      <w:r>
        <w:t>MS-Patienten zeigten höhere Lebenszeitprävalenz chronischer Erkrankungen (insbesondere Osteoporose, Schlaganfall, Epilepsie); jährliche Infektionsrate OR 1,86 (95%-KI 1,73–1,99). CCI-Scores ≥2 und ≥1 Infektionsepisode waren mit erhöhter 5-Jahres-Mortalität assoziiert (aHR 3,30 bzw. 1,68).</w:t>
      </w:r>
    </w:p>
    <w:p>
      <w:r>
        <w:rPr>
          <w:b/>
          <w:sz w:val="19"/>
        </w:rPr>
        <w:t xml:space="preserve">Übertragbarkeit: </w:t>
      </w:r>
      <w:r>
        <w:rPr>
          <w:sz w:val="19"/>
        </w:rPr>
        <w:t>Niederlande, Primärversorgungsdaten; vergleichbares Sozialversicherungssystem</w:t>
      </w:r>
    </w:p>
    <w:p>
      <w:r>
        <w:rPr>
          <w:color w:val="5A7D3A"/>
          <w:sz w:val="18"/>
        </w:rPr>
        <w:t>https://pubmed.ncbi.nlm.nih.gov/42785001/</w:t>
      </w:r>
    </w:p>
    <w:p>
      <w:pPr>
        <w:pStyle w:val="Heading2"/>
      </w:pPr>
      <w:r>
        <w:t>Patientenperspektiven auf Apotheker-gesteuertes Hypertonie-Management nach Notaufnahme</w:t>
      </w:r>
    </w:p>
    <w:p>
      <w:r>
        <w:rPr>
          <w:i/>
          <w:color w:val="666666"/>
          <w:sz w:val="18"/>
        </w:rPr>
        <w:t>Kuhn D et al.  ·  Am J Health Syst Pharm  ·  24.09.2026  ·  PMID 42781767</w:t>
      </w:r>
    </w:p>
    <w:p>
      <w:r>
        <w:t>Qualitative Studie mit 11 Patienten aus urban-akademischer Notaufnahme zur Akzeptanz von Apotheker-gesteuerter Hypertonie-Nachbetreuung nach Entlassung.</w:t>
      </w:r>
    </w:p>
    <w:p>
      <w:r>
        <w:rPr>
          <w:b/>
        </w:rPr>
        <w:t xml:space="preserve">Ergebnis: </w:t>
      </w:r>
      <w:r>
        <w:t>Vier Themen: (1) begrenzte Hypertonie-Kommunikation, Wissenslücken; (2) Technologie mindert Barrieren; (3) Apotheker-Expertise akzeptiert, aber Unsicherheit zu Qualifikation/Verschreibungsrecht; (4) Wert von Kontinuität und Arzt-Apotheker-Zusammenarbeit.</w:t>
      </w:r>
    </w:p>
    <w:p>
      <w:r>
        <w:rPr>
          <w:b/>
          <w:sz w:val="19"/>
        </w:rPr>
        <w:t xml:space="preserve">Übertragbarkeit: </w:t>
      </w:r>
      <w:r>
        <w:rPr>
          <w:sz w:val="19"/>
        </w:rPr>
        <w:t>USA, aber Fragestellung zu Prozessen/Patientenperspektive teilweise übertragbar</w:t>
      </w:r>
    </w:p>
    <w:p>
      <w:r>
        <w:rPr>
          <w:color w:val="5A7D3A"/>
          <w:sz w:val="18"/>
        </w:rPr>
        <w:t>https://pubmed.ncbi.nlm.nih.gov/42781767/</w:t>
      </w:r>
    </w:p>
    <w:p>
      <w:pPr>
        <w:pStyle w:val="Heading2"/>
      </w:pPr>
      <w:r>
        <w:t>Referenzpreise beeinflussen Kostenanalysen in gesundheitsökonomischen Evaluationen</w:t>
      </w:r>
    </w:p>
    <w:p>
      <w:r>
        <w:rPr>
          <w:i/>
          <w:color w:val="666666"/>
          <w:sz w:val="18"/>
        </w:rPr>
        <w:t>Hoelen TA et al.  ·  Int J Technol Assess Health Care  ·  24.09.2026  ·  PMID 42779108</w:t>
      </w:r>
    </w:p>
    <w:p>
      <w:r>
        <w:t>Empirischer Vergleich der Auswirkungen nationaler Preisrichtlinien auf Kostenanalysen von Gesundheitstechnologien anhand idiopathischer Skoliose in Niederlanden und Großbritannien.</w:t>
      </w:r>
    </w:p>
    <w:p>
      <w:r>
        <w:rPr>
          <w:b/>
        </w:rPr>
        <w:t xml:space="preserve">Ergebnis: </w:t>
      </w:r>
      <w:r>
        <w:t>Niederländische Kostenestimate stiegen um 18% nach Richtlinien-Update 2014–2024; UK-Kosten waren 69% höher als in NL. Zwölf niederländische Kostenposten änderten sich um &gt;10%, vier britische – deutliche Methodenvariation zwischen Ländern.</w:t>
      </w:r>
    </w:p>
    <w:p>
      <w:r>
        <w:rPr>
          <w:b/>
          <w:sz w:val="19"/>
        </w:rPr>
        <w:t xml:space="preserve">Übertragbarkeit: </w:t>
      </w:r>
      <w:r>
        <w:rPr>
          <w:sz w:val="19"/>
        </w:rPr>
        <w:t>Niederlande, Vereinigtes Königreich; zentrale Erkenntnisse zu Übertragbarkeitsgrenzen</w:t>
      </w:r>
    </w:p>
    <w:p>
      <w:r>
        <w:rPr>
          <w:color w:val="5A7D3A"/>
          <w:sz w:val="18"/>
        </w:rPr>
        <w:t>https://pubmed.ncbi.nlm.nih.gov/42779108/</w:t>
      </w:r>
    </w:p>
    <w:p>
      <w:pPr>
        <w:pStyle w:val="Heading2"/>
      </w:pPr>
      <w:r>
        <w:t>Regionale Demenz-Strategie durch Delphi-Prozess: Sachsen-Anhalt</w:t>
      </w:r>
    </w:p>
    <w:p>
      <w:r>
        <w:rPr>
          <w:i/>
          <w:color w:val="666666"/>
          <w:sz w:val="18"/>
        </w:rPr>
        <w:t>Schiller C et al.  ·  BMC Health Serv Res  ·  22.09.2026  ·  PMID 42778917</w:t>
      </w:r>
    </w:p>
    <w:p>
      <w:r>
        <w:t>Partizipative, zweiphasige Methode (Delphi + deliberative Dialoge) zur Entwicklung einer regionalen Demenz-Strategie mit 406 Teilnehmern (Betroffene, Angehörige, Fachkräfte, Politiker).</w:t>
      </w:r>
    </w:p>
    <w:p>
      <w:r>
        <w:rPr>
          <w:b/>
        </w:rPr>
        <w:t xml:space="preserve">Ergebnis: </w:t>
      </w:r>
      <w:r>
        <w:t>88 initiale Ziele; 47 erreichten Konsens in Runde 1, 21 weitere in Runde 2, 7 durch Dialoge validiert. Finale Strategie: 40 strategische Ziele in vier Themenbereichen. Identifizierte Hürden: Fachkräftemangel, Bürokratie, Angehörigen-Belastung.</w:t>
      </w:r>
    </w:p>
    <w:p>
      <w:r>
        <w:rPr>
          <w:b/>
          <w:sz w:val="19"/>
        </w:rPr>
        <w:t xml:space="preserve">Übertragbarkeit: </w:t>
      </w:r>
      <w:r>
        <w:rPr>
          <w:sz w:val="19"/>
        </w:rPr>
        <w:t>Deutschland (Sachsen-Anhalt); direkter Übertrag auf Versorgungsplanung</w:t>
      </w:r>
    </w:p>
    <w:p>
      <w:r>
        <w:rPr>
          <w:color w:val="5A7D3A"/>
          <w:sz w:val="18"/>
        </w:rPr>
        <w:t>https://pubmed.ncbi.nlm.nih.gov/42778917/</w:t>
      </w:r>
    </w:p>
    <w:p>
      <w:pPr>
        <w:pStyle w:val="Heading2"/>
      </w:pPr>
      <w:r>
        <w:t>Ökonomische Evaluation von Prävention gegen Langzeiterkrankschreibung</w:t>
      </w:r>
    </w:p>
    <w:p>
      <w:r>
        <w:rPr>
          <w:i/>
          <w:color w:val="666666"/>
          <w:sz w:val="18"/>
        </w:rPr>
        <w:t>Klasen S et al.  ·  J Occup Rehabil  ·  23.09.2026  ·  PMID 42778834</w:t>
      </w:r>
    </w:p>
    <w:p>
      <w:r>
        <w:t>Gesundheitsökonomische Analyse einer Früh-Interventionsstrategie gegen Langzeitausfallrisiko basierend auf RCT-Daten mit 12-Monats-Follow-up in Niederlanden.</w:t>
      </w:r>
    </w:p>
    <w:p>
      <w:r>
        <w:rPr>
          <w:b/>
        </w:rPr>
        <w:t xml:space="preserve">Ergebnis: </w:t>
      </w:r>
      <w:r>
        <w:t>Aus Arbeitgeber-Perspektive dominant (€–3,92/Punkt Selbstempfundene-Gesundheit-Verbesserung mit Kostenersparnis durch reduzierte Krankschreibung). Aus Gesellschafts- und Gesundheitswesen-Perspektive: ICER €39,19–39,77/Punkt.</w:t>
      </w:r>
    </w:p>
    <w:p>
      <w:r>
        <w:rPr>
          <w:b/>
          <w:sz w:val="19"/>
        </w:rPr>
        <w:t xml:space="preserve">Übertragbarkeit: </w:t>
      </w:r>
      <w:r>
        <w:rPr>
          <w:sz w:val="19"/>
        </w:rPr>
        <w:t>Niederlande, Sozialversicherungssystem, Arbeitsmedizin-Fokus</w:t>
      </w:r>
    </w:p>
    <w:p>
      <w:r>
        <w:rPr>
          <w:color w:val="5A7D3A"/>
          <w:sz w:val="18"/>
        </w:rPr>
        <w:t>https://pubmed.ncbi.nlm.nih.gov/42778834/</w:t>
      </w:r>
    </w:p>
    <w:p>
      <w:pPr>
        <w:pStyle w:val="Heading2"/>
      </w:pPr>
      <w:r>
        <w:t>Kosteneffektivität von endoskopischer Schlauchmagen-Bildung in Singapur</w:t>
      </w:r>
    </w:p>
    <w:p>
      <w:r>
        <w:rPr>
          <w:i/>
          <w:color w:val="666666"/>
          <w:sz w:val="18"/>
        </w:rPr>
        <w:t>Chay J et al.  ·  Surg Obes Relat Dis  ·  28.08.2026  ·  PMID 42767913</w:t>
      </w:r>
    </w:p>
    <w:p>
      <w:r>
        <w:t>Markov-Modell zur Lebenszeitanalyse von endoskopischer Schlauchmagen-Bildung plus Lebensstiländerung versus alleinige Lebensstiländerung bei Adipositas.</w:t>
      </w:r>
    </w:p>
    <w:p>
      <w:r>
        <w:rPr>
          <w:b/>
        </w:rPr>
        <w:t xml:space="preserve">Ergebnis: </w:t>
      </w:r>
      <w:r>
        <w:t>ICER SG$24.580/QALY (US$18.410). Für Patienten ohne T2D: SG$19.320/QALY; mit T2D: SG$37.320/QALY. Bei Schwelle SG$75.000/QALY kosteneffektiv in 98,8% probabilistischer Sensitivitätsanalysen.</w:t>
      </w:r>
    </w:p>
    <w:p>
      <w:r>
        <w:rPr>
          <w:b/>
          <w:sz w:val="19"/>
        </w:rPr>
        <w:t xml:space="preserve">Übertragbarkeit: </w:t>
      </w:r>
      <w:r>
        <w:rPr>
          <w:sz w:val="19"/>
        </w:rPr>
        <w:t>Nur bedingt: Singapur-Kontext, andere Kostenstrukturen; Fragestellung aber systemunabhängig</w:t>
      </w:r>
    </w:p>
    <w:p>
      <w:r>
        <w:rPr>
          <w:color w:val="5A7D3A"/>
          <w:sz w:val="18"/>
        </w:rPr>
        <w:t>https://pubmed.ncbi.nlm.nih.gov/42767913/</w:t>
      </w:r>
    </w:p>
    <w:p>
      <w:pPr>
        <w:pStyle w:val="Heading1"/>
      </w:pPr>
      <w:r>
        <w:t>Aufgenommen am 24.09.2026</w:t>
      </w:r>
    </w:p>
    <w:p>
      <w:pPr>
        <w:pStyle w:val="Heading2"/>
      </w:pPr>
      <w:r>
        <w:t>Rauchen und schwere Erkrankungen: 10-Jahres-Assoziation mit Nikotinentwöhnung</w:t>
      </w:r>
    </w:p>
    <w:p>
      <w:r>
        <w:rPr>
          <w:i/>
          <w:color w:val="666666"/>
          <w:sz w:val="18"/>
        </w:rPr>
        <w:t>Imai E et al.  ·  J Epidemiol  ·  19.09.2026  ·  PMID 42778372</w:t>
      </w:r>
    </w:p>
    <w:p>
      <w:r>
        <w:t>Prospektive Kohortenstudie mit 17.779 japanischen Rauchern zur Assoziation von Herzinfarkt, Schlaganfall, Krebs und Chirurgie mit langfristiger Rauchentwöhnung.</w:t>
      </w:r>
    </w:p>
    <w:p>
      <w:r>
        <w:rPr>
          <w:b/>
        </w:rPr>
        <w:t xml:space="preserve">Ergebnis: </w:t>
      </w:r>
      <w:r>
        <w:t>26,9 % der Raucher (n=4.789) beendeten das Rauchen über 10 Jahre. Major-disease-Diagnosen zeigten starke Assoziation mit Entwöhnung (OR 5,39; 95%-KI 4,80–6,05); Herzinfarkt OR 6,87 (95%-KI 5,18–9,12), Schlaganfall OR 4,03 (95%-KI 3,40–4,78), Lungenkrebs OR 7,41 (95%-KI 4,44–12,51).</w:t>
      </w:r>
    </w:p>
    <w:p>
      <w:r>
        <w:rPr>
          <w:b/>
          <w:sz w:val="19"/>
        </w:rPr>
        <w:t xml:space="preserve">Übertragbarkeit: </w:t>
      </w:r>
      <w:r>
        <w:rPr>
          <w:sz w:val="19"/>
        </w:rPr>
        <w:t>Japan – Fragestellung systemunabhängig; vergleichbare Verhaltensforschung übertragbar</w:t>
      </w:r>
    </w:p>
    <w:p>
      <w:r>
        <w:rPr>
          <w:color w:val="5A7D3A"/>
          <w:sz w:val="18"/>
        </w:rPr>
        <w:t>https://pubmed.ncbi.nlm.nih.gov/42778372/</w:t>
      </w:r>
    </w:p>
    <w:p>
      <w:pPr>
        <w:pStyle w:val="Heading2"/>
      </w:pPr>
      <w:r>
        <w:t>Gemeindeverankerung und Verbleib von Ärzten in unterversorgten Regionen</w:t>
      </w:r>
    </w:p>
    <w:p>
      <w:r>
        <w:rPr>
          <w:i/>
          <w:color w:val="666666"/>
          <w:sz w:val="18"/>
        </w:rPr>
        <w:t>Pathman DE et al.  ·  JAMA Netw Open  ·  01.09.2026  ·  PMID 42776525</w:t>
      </w:r>
    </w:p>
    <w:p>
      <w:r>
        <w:t>Querschnittsstudie mit 1.074 Ärzten in ländlichen und urbanen Health Professional Shortage Areas (HPSA) zur Assoziation von Gemeindeintegration mit beabsichtigtem Verbleib.</w:t>
      </w:r>
    </w:p>
    <w:p>
      <w:r>
        <w:rPr>
          <w:b/>
        </w:rPr>
        <w:t xml:space="preserve">Ergebnis: </w:t>
      </w:r>
      <w:r>
        <w:t>75,5 % der Ärzte in ländlichen und 71,2 % in urbanen HPSA planten Verbleib &gt;2 Jahre (p=0,14). Beide Dimensionen (Gemeindeintegration β=0,58–0,69; Gemeindebedarfserfüllung β=0,56–0,61) waren unabhängig assoziiert mit Verbleib; keine signifikanten ländlich-urbanen Unterschiede.</w:t>
      </w:r>
    </w:p>
    <w:p>
      <w:r>
        <w:rPr>
          <w:b/>
          <w:sz w:val="19"/>
        </w:rPr>
        <w:t xml:space="preserve">Übertragbarkeit: </w:t>
      </w:r>
      <w:r>
        <w:rPr>
          <w:sz w:val="19"/>
        </w:rPr>
        <w:t>USA-Daten – Fragestellung zu Ärztebindung aber systemunabhängig relevant</w:t>
      </w:r>
    </w:p>
    <w:p>
      <w:r>
        <w:rPr>
          <w:color w:val="5A7D3A"/>
          <w:sz w:val="18"/>
        </w:rPr>
        <w:t>https://pubmed.ncbi.nlm.nih.gov/42776525/</w:t>
      </w:r>
    </w:p>
    <w:p>
      <w:pPr>
        <w:pStyle w:val="Heading2"/>
      </w:pPr>
      <w:r>
        <w:t>Unkomplizierte Harnwegsinfekte: Apothekerverschreibung in der Gemeindepharmzie</w:t>
      </w:r>
    </w:p>
    <w:p>
      <w:r>
        <w:rPr>
          <w:i/>
          <w:color w:val="666666"/>
          <w:sz w:val="18"/>
        </w:rPr>
        <w:t>Budden M et al.  ·  Int J Clin Pharm  ·  23.09.2026  ·  PMID 42776432</w:t>
      </w:r>
    </w:p>
    <w:p>
      <w:r>
        <w:t>Große Kohortenstudie (n=14.680 Follow-up) zu Wirksamkeit und Sicherheit von strukturierter Apothekerverschreibung für unkomplizierte Harnwegsinfekte in Australien.</w:t>
      </w:r>
    </w:p>
    <w:p>
      <w:r>
        <w:rPr>
          <w:b/>
        </w:rPr>
        <w:t xml:space="preserve">Ergebnis: </w:t>
      </w:r>
      <w:r>
        <w:t>Symptomauflösung nach 7 Tagen bei 79,4 % der Patienten, weitere 17,9 % mit Teilbesserung. Antibiotika in 92,6 % verschrieben, Überweisungen in 6,9 %, Nebenwirkungen in 5,0 % (meist milde gastrointestinale Symptome).</w:t>
      </w:r>
    </w:p>
    <w:p>
      <w:r>
        <w:rPr>
          <w:b/>
          <w:sz w:val="19"/>
        </w:rPr>
        <w:t xml:space="preserve">Übertragbarkeit: </w:t>
      </w:r>
      <w:r>
        <w:rPr>
          <w:sz w:val="19"/>
        </w:rPr>
        <w:t>Australien – vergleichbar zu Apotheker-Extended-Services in Sozialversicherungssystemen</w:t>
      </w:r>
    </w:p>
    <w:p>
      <w:r>
        <w:rPr>
          <w:color w:val="5A7D3A"/>
          <w:sz w:val="18"/>
        </w:rPr>
        <w:t>https://pubmed.ncbi.nlm.nih.gov/42776432/</w:t>
      </w:r>
    </w:p>
    <w:p>
      <w:pPr>
        <w:pStyle w:val="Heading2"/>
      </w:pPr>
      <w:r>
        <w:t>Augenärztliche Versorgung in deutschen Seniorenheimen: TOVIS-Studie</w:t>
      </w:r>
    </w:p>
    <w:p>
      <w:r>
        <w:rPr>
          <w:i/>
          <w:color w:val="666666"/>
          <w:sz w:val="18"/>
        </w:rPr>
        <w:t>Ach T et al.  ·  Z Gerontol Geriatr  ·  23.09.2026  ·  PMID 42776232</w:t>
      </w:r>
    </w:p>
    <w:p>
      <w:r>
        <w:t>Narrative Übersicht mit Fokus auf Versorgungslücken bei Augenerkrankungen in deutschen Pflegeheimen und Teleophthalmologie-Modell TOVIS (n=109 Bewohner).</w:t>
      </w:r>
    </w:p>
    <w:p>
      <w:r>
        <w:rPr>
          <w:b/>
        </w:rPr>
        <w:t xml:space="preserve">Ergebnis: </w:t>
      </w:r>
      <w:r>
        <w:t>OVIS-Studie: 61 % der Bewohner hatten behandlungsbedürftige ophthalmologische Befunde (Katarakt 53 %, AMD 39 %); letzte Augenarztvisite durchschnittlich 4 Jahre zurück. TOVIS-Pilotstudie: 48,5 % visusrelevante Katarakt, 34,1 % AMD, 60,6 % unzureichend angepasste Brille; nur 26,9 % der empfohlenen Nachuntersuchungen tatsächlich wahrgenommen.</w:t>
      </w:r>
    </w:p>
    <w:p>
      <w:r>
        <w:rPr>
          <w:b/>
          <w:sz w:val="19"/>
        </w:rPr>
        <w:t xml:space="preserve">Übertragbarkeit: </w:t>
      </w:r>
      <w:r>
        <w:rPr>
          <w:sz w:val="19"/>
        </w:rPr>
        <w:t>Deutsche Daten, Seniorenheime – direkt auf deutsches System übertragbar</w:t>
      </w:r>
    </w:p>
    <w:p>
      <w:r>
        <w:rPr>
          <w:color w:val="5A7D3A"/>
          <w:sz w:val="18"/>
        </w:rPr>
        <w:t>https://pubmed.ncbi.nlm.nih.gov/42776232/</w:t>
      </w:r>
    </w:p>
    <w:p>
      <w:pPr>
        <w:pStyle w:val="Heading2"/>
      </w:pPr>
      <w:r>
        <w:t>Soziale Determinanten und Gesundheitsungleichheit: Systemdynamische Perspektive</w:t>
      </w:r>
    </w:p>
    <w:p>
      <w:r>
        <w:rPr>
          <w:i/>
          <w:color w:val="666666"/>
          <w:sz w:val="18"/>
        </w:rPr>
        <w:t>Sturmberg JP et al.  ·  Front Public Health  ·  08.09.2026  ·  PMID 42774359</w:t>
      </w:r>
    </w:p>
    <w:p>
      <w:r>
        <w:t>Konzeptionelle Übersichtsarbeit zu Mechanismen, wie vernetzte soziale Determinanten Gesundheitsungleichheit durch biologisches Embedding und Rückkopplungsschleifen über die Lebensspanne verfestigen.</w:t>
      </w:r>
    </w:p>
    <w:p>
      <w:r>
        <w:rPr>
          <w:b/>
        </w:rPr>
        <w:t xml:space="preserve">Ergebnis: </w:t>
      </w:r>
      <w:r>
        <w:t>Kernaussage: Frühe biologische Prägung (Stressregulation, Entzündung, Epigenetik) und systemische Rückkopplungsschleifen stabilisieren Nachteil über Generationen; Nichtlinearität erklärt begrenzte Effekte isolierter Interventionen. Koordinierte, ortsgestützte Strategien und relationale Kontinuität in Primärversorgung zeigen Potenzial.</w:t>
      </w:r>
    </w:p>
    <w:p>
      <w:r>
        <w:rPr>
          <w:b/>
          <w:sz w:val="19"/>
        </w:rPr>
        <w:t xml:space="preserve">Übertragbarkeit: </w:t>
      </w:r>
      <w:r>
        <w:rPr>
          <w:sz w:val="19"/>
        </w:rPr>
        <w:t>Konzeptionelle Analyse – systemunabhängig, aber besonders relevant für Versorgungsstruktur</w:t>
      </w:r>
    </w:p>
    <w:p>
      <w:r>
        <w:rPr>
          <w:color w:val="5A7D3A"/>
          <w:sz w:val="18"/>
        </w:rPr>
        <w:t>https://pubmed.ncbi.nlm.nih.gov/42774359/</w:t>
      </w:r>
    </w:p>
    <w:p>
      <w:pPr>
        <w:pStyle w:val="Heading2"/>
      </w:pPr>
      <w:r>
        <w:t>Künstliche Intelligenz in der Kosten-Effektivitäts-Bewertung von Schmerztherapie</w:t>
      </w:r>
    </w:p>
    <w:p>
      <w:r>
        <w:rPr>
          <w:i/>
          <w:color w:val="666666"/>
          <w:sz w:val="18"/>
        </w:rPr>
        <w:t>Zmudzki F et al.  ·  Expert Rev Pharmacoecon Outcomes Res  ·  22.09.2026  ·  PMID 42773780</w:t>
      </w:r>
    </w:p>
    <w:p>
      <w:r>
        <w:t>Übersichtsarbeit zu Integration von KI-Methoden in ökonomische Evaluationen zur Präzisionsmedizin bei chronischem Schmerz.</w:t>
      </w:r>
    </w:p>
    <w:p>
      <w:r>
        <w:rPr>
          <w:b/>
        </w:rPr>
        <w:t xml:space="preserve">Ergebnis: </w:t>
      </w:r>
      <w:r>
        <w:t>Diskussion, wie maschinelles Lernen und automatisierte Datenverarbeitung ökonomische Rahmen für personalisierte Schmerzmanagement-Strategien verbessern können; konkrete Ergebnisse im Abstract nicht quantifiziert.</w:t>
      </w:r>
    </w:p>
    <w:p>
      <w:r>
        <w:rPr>
          <w:b/>
          <w:sz w:val="19"/>
        </w:rPr>
        <w:t xml:space="preserve">Übertragbarkeit: </w:t>
      </w:r>
      <w:r>
        <w:rPr>
          <w:sz w:val="19"/>
        </w:rPr>
        <w:t>Konzeptionelle Methodologie – systemunabhängig auf KI-Anwendungen fokussiert</w:t>
      </w:r>
    </w:p>
    <w:p>
      <w:r>
        <w:rPr>
          <w:color w:val="5A7D3A"/>
          <w:sz w:val="18"/>
        </w:rPr>
        <w:t>https://pubmed.ncbi.nlm.nih.gov/42773780/</w:t>
      </w:r>
    </w:p>
    <w:p>
      <w:pPr>
        <w:pStyle w:val="Heading1"/>
      </w:pPr>
      <w:r>
        <w:t>Aufgenommen am 23.09.2026</w:t>
      </w:r>
    </w:p>
    <w:p>
      <w:pPr>
        <w:pStyle w:val="Heading2"/>
      </w:pPr>
      <w:r>
        <w:t>Einkommensvolatilität und Mortalität bei Depression</w:t>
      </w:r>
    </w:p>
    <w:p>
      <w:r>
        <w:rPr>
          <w:i/>
          <w:color w:val="666666"/>
          <w:sz w:val="18"/>
        </w:rPr>
        <w:t>Cho H et al.  ·  J Korean Med Sci  ·  21.09.2026  ·  PMID 42773077</w:t>
      </w:r>
    </w:p>
    <w:p>
      <w:r>
        <w:t>Koreanische Kohortenstudie an 735.922 Personen mit Depression, die Zusammenhang zwischen Einkommensvolatilität und all-cause-Mortalität sowie Hospitalisierungen untersuchte.</w:t>
      </w:r>
    </w:p>
    <w:p>
      <w:r>
        <w:rPr>
          <w:b/>
        </w:rPr>
        <w:t xml:space="preserve">Ergebnis: </w:t>
      </w:r>
      <w:r>
        <w:t>Höhere Einkommensvolatilität assoziiert mit erhöhtem Mortalitätsrisiko (HR 1,18; 95%-KI 1,16–1,19) und Hospitalisierungen (IRR 1,07; 1,06–1,08). Bei Männern stärker ausgeprägt (HR 1,26 vs. 1,12 bei Frauen). Besonders hohe Risiken für Bluterkrankungen (IRR 1,47), endokrine Erkrankungen (1,40) und psychische Störungen (1,26).</w:t>
      </w:r>
    </w:p>
    <w:p>
      <w:r>
        <w:rPr>
          <w:b/>
          <w:sz w:val="19"/>
        </w:rPr>
        <w:t xml:space="preserve">Übertragbarkeit: </w:t>
      </w:r>
      <w:r>
        <w:rPr>
          <w:sz w:val="19"/>
        </w:rPr>
        <w:t>Südkorea – begrenzte Übertragbarkeit auf deutsches System mit anderer Sozialstruktur</w:t>
      </w:r>
    </w:p>
    <w:p>
      <w:r>
        <w:rPr>
          <w:color w:val="5A7D3A"/>
          <w:sz w:val="18"/>
        </w:rPr>
        <w:t>https://pubmed.ncbi.nlm.nih.gov/42773077/</w:t>
      </w:r>
    </w:p>
    <w:p>
      <w:pPr>
        <w:pStyle w:val="Heading2"/>
      </w:pPr>
      <w:r>
        <w:t>Ultra-verarbeitete Lebensmittel und chronische Erkrankungen</w:t>
      </w:r>
    </w:p>
    <w:p>
      <w:r>
        <w:rPr>
          <w:i/>
          <w:color w:val="666666"/>
          <w:sz w:val="18"/>
        </w:rPr>
        <w:t>Liu X et al.  ·  Fam Med Community Health  ·  22.09.2026  ·  PMID 42773062</w:t>
      </w:r>
    </w:p>
    <w:p>
      <w:r>
        <w:t>Metaanalyse von 51 prospektiven Kohortenstudien mit 8,8 Mio. Teilnehmern zu Risiken ultra-verarbeiteter Lebensmittel.</w:t>
      </w:r>
    </w:p>
    <w:p>
      <w:r>
        <w:rPr>
          <w:b/>
        </w:rPr>
        <w:t xml:space="preserve">Ergebnis: </w:t>
      </w:r>
      <w:r>
        <w:t>Ultra-verarbeitete Lebensmittel assoziiert mit kardiovaskulären Ereignissen (HR 1,24), Krebs (HR 1,12), Adipositas (HR 1,23), Diabetes (HR 1,24), Depression/Angststörung (HR 1,27), Verdauungserkrankungen (HR 1,31) und all-cause-Mortalität (HR 1,18). Pro 100 g/Tag zusätzlich: kardiovaskuläre Ereignisse HR 1,14.</w:t>
      </w:r>
    </w:p>
    <w:p>
      <w:r>
        <w:rPr>
          <w:b/>
          <w:sz w:val="19"/>
        </w:rPr>
        <w:t xml:space="preserve">Übertragbarkeit: </w:t>
      </w:r>
      <w:r>
        <w:rPr>
          <w:sz w:val="19"/>
        </w:rPr>
        <w:t>Internationale Daten – Fragestellung systemunabhängig, für Public-Health-Empfehlungen universell übertragbar</w:t>
      </w:r>
    </w:p>
    <w:p>
      <w:r>
        <w:rPr>
          <w:color w:val="5A7D3A"/>
          <w:sz w:val="18"/>
        </w:rPr>
        <w:t>https://pubmed.ncbi.nlm.nih.gov/42773062/</w:t>
      </w:r>
    </w:p>
    <w:p>
      <w:pPr>
        <w:pStyle w:val="Heading2"/>
      </w:pPr>
      <w:r>
        <w:t>Kardiovaskuläre Autonome Neuropathie und Diabeteskomplikationen</w:t>
      </w:r>
    </w:p>
    <w:p>
      <w:r>
        <w:rPr>
          <w:i/>
          <w:color w:val="666666"/>
          <w:sz w:val="18"/>
        </w:rPr>
        <w:t>Ignacy P et al.  ·  Clin Ther  ·  22.09.2026  ·  PMID 42773037</w:t>
      </w:r>
    </w:p>
    <w:p>
      <w:r>
        <w:t>Polnische Querschnittsstudie mit 728 Diabetespatienten zur Assoziation zwischen mikrovaskulären/makrovaskulären Komplikationen und kardiovaskulärer autonomer Neuropathie.</w:t>
      </w:r>
    </w:p>
    <w:p>
      <w:r>
        <w:rPr>
          <w:b/>
        </w:rPr>
        <w:t xml:space="preserve">Ergebnis: </w:t>
      </w:r>
      <w:r>
        <w:t>Kardiovaskuläre autonome Neuropathie bei 48,2% (davon definit 15,8%). Unabhängig assoziiert mit diabetischer Retinopathie (OR 2,26; 95%-KI 1,25–4,19; p=0,008); borderline mit CKD (OR 1,57; p=0,049). Keine signifikante Assoziation mit ASCVD.</w:t>
      </w:r>
    </w:p>
    <w:p>
      <w:r>
        <w:rPr>
          <w:b/>
          <w:sz w:val="19"/>
        </w:rPr>
        <w:t xml:space="preserve">Übertragbarkeit: </w:t>
      </w:r>
      <w:r>
        <w:rPr>
          <w:sz w:val="19"/>
        </w:rPr>
        <w:t>Polen – ähnliches Sozialversicherungssystem, gute Übertragbarkeit auf Deutschland</w:t>
      </w:r>
    </w:p>
    <w:p>
      <w:r>
        <w:rPr>
          <w:color w:val="5A7D3A"/>
          <w:sz w:val="18"/>
        </w:rPr>
        <w:t>https://pubmed.ncbi.nlm.nih.gov/42773037/</w:t>
      </w:r>
    </w:p>
    <w:p>
      <w:pPr>
        <w:pStyle w:val="Heading2"/>
      </w:pPr>
      <w:r>
        <w:t>Persona-Methode in partizipativer Versorgungsforschung</w:t>
      </w:r>
    </w:p>
    <w:p>
      <w:r>
        <w:rPr>
          <w:i/>
          <w:color w:val="666666"/>
          <w:sz w:val="18"/>
        </w:rPr>
        <w:t>Dittmer K et al.  ·  Z Evid Fortbild Qual Gesundhwes  ·  22.09.2026  ·  PMID 42773021</w:t>
      </w:r>
    </w:p>
    <w:p>
      <w:r>
        <w:t>Deutschsprachiger Methodenbericht zur Anwendung der Persona-Methode bei partizipativer Versorgungsforschung mit Fokusgruppen und Expert*innen.</w:t>
      </w:r>
    </w:p>
    <w:p>
      <w:r>
        <w:rPr>
          <w:b/>
        </w:rPr>
        <w:t xml:space="preserve">Ergebnis: </w:t>
      </w:r>
      <w:r>
        <w:t>Personas integrieren Erfahrungswissen mehrerer Experten anonym, ohne persönliche Daten preiszugeben; ideal für vulnerable Gruppen. Risiken: Stereotypisierung; Mitigation durch reflektive Entwicklungsprozesse. Reflexionsfragen zur Bias-Reduktion werden präsentiert.</w:t>
      </w:r>
    </w:p>
    <w:p>
      <w:r>
        <w:rPr>
          <w:b/>
          <w:sz w:val="19"/>
        </w:rPr>
        <w:t xml:space="preserve">Übertragbarkeit: </w:t>
      </w:r>
      <w:r>
        <w:rPr>
          <w:sz w:val="19"/>
        </w:rPr>
        <w:t>Deutsches Projekt – direkt übertragbar auf deutsche Versorgungsforschung</w:t>
      </w:r>
    </w:p>
    <w:p>
      <w:r>
        <w:rPr>
          <w:color w:val="5A7D3A"/>
          <w:sz w:val="18"/>
        </w:rPr>
        <w:t>https://pubmed.ncbi.nlm.nih.gov/42773021/</w:t>
      </w:r>
    </w:p>
    <w:p>
      <w:pPr>
        <w:pStyle w:val="Heading2"/>
      </w:pPr>
      <w:r>
        <w:t>Mobile Screening-Einheit für Barretts Ösophagus in England</w:t>
      </w:r>
    </w:p>
    <w:p>
      <w:r>
        <w:rPr>
          <w:i/>
          <w:color w:val="666666"/>
          <w:sz w:val="18"/>
        </w:rPr>
        <w:t>Landy R et al.  ·  BMJ Open Gastroenterol  ·  22.09.2026  ·  PMID 42772946</w:t>
      </w:r>
    </w:p>
    <w:p>
      <w:r>
        <w:t>Implementierungsstudie in England mit mobiler Einheit zur Kapselschwamm-Testung bei Refluxpatienten; Vergleich Hausarzt-Rekrutierung vs. Selbstmeldung.</w:t>
      </w:r>
    </w:p>
    <w:p>
      <w:r>
        <w:rPr>
          <w:b/>
        </w:rPr>
        <w:t xml:space="preserve">Ergebnis: </w:t>
      </w:r>
      <w:r>
        <w:t>Bei GP-Einladung: 50% Antwortquote, 59,6% interessiert, 66,3% elegibel, 532 teilgenommen; 15% aller Eingeladenen erfolgreich getestet. Bei Selbstmeldung: 39,6% erfolgreich getestet. Barretts-Prävalenz 4,2% (GP-invitiert) vs. 3,4% (Selbstmeldung). Akzeptanz &gt;99%.</w:t>
      </w:r>
    </w:p>
    <w:p>
      <w:r>
        <w:rPr>
          <w:b/>
          <w:sz w:val="19"/>
        </w:rPr>
        <w:t xml:space="preserve">Übertragbarkeit: </w:t>
      </w:r>
      <w:r>
        <w:rPr>
          <w:sz w:val="19"/>
        </w:rPr>
        <w:t>Großbritannien – ähnliche Primärversorgungsstruktur, begrenzte Übertragbarkeit (steuerfinanziert)</w:t>
      </w:r>
    </w:p>
    <w:p>
      <w:r>
        <w:rPr>
          <w:color w:val="5A7D3A"/>
          <w:sz w:val="18"/>
        </w:rPr>
        <w:t>https://pubmed.ncbi.nlm.nih.gov/42772946/</w:t>
      </w:r>
    </w:p>
    <w:p>
      <w:pPr>
        <w:pStyle w:val="Heading2"/>
      </w:pPr>
      <w:r>
        <w:t>Forschungsprioritäten in Hebammentätigkeit und Geburtshilfe</w:t>
      </w:r>
    </w:p>
    <w:p>
      <w:r>
        <w:rPr>
          <w:i/>
          <w:color w:val="666666"/>
          <w:sz w:val="18"/>
        </w:rPr>
        <w:t>Field J et al.  ·  BMJ Open  ·  21.09.2026  ·  PMID 42767736</w:t>
      </w:r>
    </w:p>
    <w:p>
      <w:r>
        <w:t>UK James-Lind-Alliance Priority-Setting Partnership mit 977 Befragten (Hebammen, Eltern, schwangere Personen) zur Identifikation von Forschungslücken in Geburtshilfe.</w:t>
      </w:r>
    </w:p>
    <w:p>
      <w:r>
        <w:rPr>
          <w:b/>
        </w:rPr>
        <w:t xml:space="preserve">Ergebnis: </w:t>
      </w:r>
      <w:r>
        <w:t>68 Priority-Topics identifiziert, nach evidenzbasierter Prüfung auf 67 reduziert, dann von 548 Befragten gereiht. 10 Top-Prioritäten durch Konsens vereinbart; umfassen klinische Versorgung, Personalwohlbefinden und Ausbildung.</w:t>
      </w:r>
    </w:p>
    <w:p>
      <w:r>
        <w:rPr>
          <w:b/>
          <w:sz w:val="19"/>
        </w:rPr>
        <w:t xml:space="preserve">Übertragbarkeit: </w:t>
      </w:r>
      <w:r>
        <w:rPr>
          <w:sz w:val="19"/>
        </w:rPr>
        <w:t>Großbritannien – methodisch stark, bedingt übertragbar auf deutsches Hebammensystem</w:t>
      </w:r>
    </w:p>
    <w:p>
      <w:r>
        <w:rPr>
          <w:color w:val="5A7D3A"/>
          <w:sz w:val="18"/>
        </w:rPr>
        <w:t>https://pubmed.ncbi.nlm.nih.gov/42767736/</w:t>
      </w:r>
    </w:p>
    <w:p>
      <w:pPr>
        <w:pStyle w:val="Heading2"/>
      </w:pPr>
      <w:r>
        <w:t>FeNO und Blut-Eosinophile zur Asthmadiagnose bei Kindern und Erwachsenen</w:t>
      </w:r>
    </w:p>
    <w:p>
      <w:r>
        <w:rPr>
          <w:i/>
          <w:color w:val="666666"/>
          <w:sz w:val="18"/>
        </w:rPr>
        <w:t>Roy MA et al.  ·  Lancet Respir Med  ·  15.09.2026  ·  PMID 42743935</w:t>
      </w:r>
    </w:p>
    <w:p>
      <w:r>
        <w:t>Metaanalyse von 30 diagnostischen Studien (22 bei Erwachsenen, 9 bei Kindern) zur Genauigkeit von FeNO und Blut-Eosinophilen gegenüber Bronchialprovokationstests.</w:t>
      </w:r>
    </w:p>
    <w:p>
      <w:r>
        <w:rPr>
          <w:b/>
        </w:rPr>
        <w:t xml:space="preserve">Ergebnis: </w:t>
      </w:r>
      <w:r>
        <w:t>FeNO diagnostische Genauigkeit: Erwachsene AUC 0,80, Kinder AUC 0,75. Bei Erwachsenen FeNO≥65 ppb: positive Vorhersagekraft 80%, &lt;20 ppb: negative VK 93%. Blut-Eosinophile schwache Leistung (AUC 0,65). Prospektive Validierung in DIVE-Kohorte (n=123) bestätigte Ergebnisse (FeNO AUC 0,77).</w:t>
      </w:r>
    </w:p>
    <w:p>
      <w:r>
        <w:rPr>
          <w:b/>
          <w:sz w:val="19"/>
        </w:rPr>
        <w:t xml:space="preserve">Übertragbarkeit: </w:t>
      </w:r>
      <w:r>
        <w:rPr>
          <w:sz w:val="19"/>
        </w:rPr>
        <w:t>Internationale Daten mit prospektiver Primärversorgungsvalidierung – Diagnostik systemunabhängig</w:t>
      </w:r>
    </w:p>
    <w:p>
      <w:r>
        <w:rPr>
          <w:color w:val="5A7D3A"/>
          <w:sz w:val="18"/>
        </w:rPr>
        <w:t>https://pubmed.ncbi.nlm.nih.gov/42743935/</w:t>
      </w:r>
    </w:p>
    <w:p>
      <w:pPr>
        <w:pStyle w:val="Heading1"/>
      </w:pPr>
      <w:r>
        <w:t>Aufgenommen am 22.09.2026</w:t>
      </w:r>
    </w:p>
    <w:p>
      <w:pPr>
        <w:pStyle w:val="Heading2"/>
      </w:pPr>
      <w:r>
        <w:t>Teletherapy-Einsatz in der Physiotherapie: deutsche Versorgungsforschung zu Barrieren und Förderfaktoren</w:t>
      </w:r>
    </w:p>
    <w:p>
      <w:r>
        <w:rPr>
          <w:i/>
          <w:color w:val="666666"/>
          <w:sz w:val="18"/>
        </w:rPr>
        <w:t>Michels T et al.  ·  JMIR Form Res  ·  21.09.2026  ·  PMID 42766842</w:t>
      </w:r>
    </w:p>
    <w:p>
      <w:r>
        <w:t>Querschnittsstudie von 458 Physiotherapeuten in Deutschland, die Barrieren und Förderfaktoren für die Implementierung von Teletherapie in der Praxis erfasste.</w:t>
      </w:r>
    </w:p>
    <w:p>
      <w:r>
        <w:rPr>
          <w:b/>
        </w:rPr>
        <w:t xml:space="preserve">Ergebnis: </w:t>
      </w:r>
      <w:r>
        <w:t>Nur 6,6 % der Teilnehmer hatten Teletherapie-Erfahrung; 87,3 % hielten Teletherapie für sinnvoll, aber nur 15,5 % fühlten sich ausreichend informiert. Häufigste Barrieren: Integration in Praxisroutinen, unzureichende Informationen zu rechtlichen Rahmenbedingungen und digitale Infrastruktur (Nennungen nicht weiter spezifiziert). Die Ergebnisse zeigen hohe Akzeptanz bei niedriger Nutzung und Informationsdefiziten.</w:t>
      </w:r>
    </w:p>
    <w:p>
      <w:r>
        <w:rPr>
          <w:b/>
          <w:sz w:val="19"/>
        </w:rPr>
        <w:t xml:space="preserve">Übertragbarkeit: </w:t>
      </w:r>
      <w:r>
        <w:rPr>
          <w:sz w:val="19"/>
        </w:rPr>
        <w:t>Deutsche Routinedaten aus der Physiotherapie; direkt auf das System übertragbar.</w:t>
      </w:r>
    </w:p>
    <w:p>
      <w:r>
        <w:rPr>
          <w:color w:val="5A7D3A"/>
          <w:sz w:val="18"/>
        </w:rPr>
        <w:t>https://pubmed.ncbi.nlm.nih.gov/42766842/</w:t>
      </w:r>
    </w:p>
    <w:p>
      <w:pPr>
        <w:pStyle w:val="Heading2"/>
      </w:pPr>
      <w:r>
        <w:t>Implementierung der elektronischen Patientenakte (ePA) in deutschen Arztpraxen: qualitative Frühevaluierung</w:t>
      </w:r>
    </w:p>
    <w:p>
      <w:r>
        <w:rPr>
          <w:i/>
          <w:color w:val="666666"/>
          <w:sz w:val="18"/>
        </w:rPr>
        <w:t>May S et al.  ·  J Med Internet Res  ·  21.09.2026  ·  PMID 42766713</w:t>
      </w:r>
    </w:p>
    <w:p>
      <w:r>
        <w:t>Qualitative Studie mit 49 semistrukturierten Interviews zu Implementierungsbarrieren und -förderfaktoren der ePA in ambulanten Praxen nach dem Rollout im Januar 2025.</w:t>
      </w:r>
    </w:p>
    <w:p>
      <w:r>
        <w:rPr>
          <w:b/>
        </w:rPr>
        <w:t xml:space="preserve">Ergebnis: </w:t>
      </w:r>
      <w:r>
        <w:t>Erleichterer: Führungsengagement, interne Kommunikation und Lernklima. Barrieren: technische Instabilität, heterogene Funktionalität von Praxismanagementsystemen, begrenzte Sektorübergreifung, unzureichendes Patientenbewusstsein. Implementierung stark abhängig von Organisationskapazität und Infrastrukturstabilität, nicht von professionellem Widerstand.</w:t>
      </w:r>
    </w:p>
    <w:p>
      <w:r>
        <w:rPr>
          <w:b/>
          <w:sz w:val="19"/>
        </w:rPr>
        <w:t xml:space="preserve">Übertragbarkeit: </w:t>
      </w:r>
      <w:r>
        <w:rPr>
          <w:sz w:val="19"/>
        </w:rPr>
        <w:t>Deutsche Routinedaten zur ePA-Implementierung; hochgradig systemrelevant für deutsches Versorgungssystem.</w:t>
      </w:r>
    </w:p>
    <w:p>
      <w:r>
        <w:rPr>
          <w:color w:val="5A7D3A"/>
          <w:sz w:val="18"/>
        </w:rPr>
        <w:t>https://pubmed.ncbi.nlm.nih.gov/42766713/</w:t>
      </w:r>
    </w:p>
    <w:p>
      <w:pPr>
        <w:pStyle w:val="Heading2"/>
      </w:pPr>
      <w:r>
        <w:t>Framework für klinische Bewertung von Large Language Models in der Patientenedukation</w:t>
      </w:r>
    </w:p>
    <w:p>
      <w:r>
        <w:rPr>
          <w:i/>
          <w:color w:val="666666"/>
          <w:sz w:val="18"/>
        </w:rPr>
        <w:t>Austria D et al.  ·  JMIR Form Res  ·  21.09.2026  ·  PMID 42766478</w:t>
      </w:r>
    </w:p>
    <w:p>
      <w:r>
        <w:t>Positions- und konzeptionelle Arbeit, die ein kliniker-zentriertes Evaluierungsframework (TAM-MCRS) für LLM-generierte Patientenedukation integriert Technology Acceptance Model und Medical Condition Regard Scale.</w:t>
      </w:r>
    </w:p>
    <w:p>
      <w:r>
        <w:rPr>
          <w:b/>
        </w:rPr>
        <w:t xml:space="preserve">Ergebnis: </w:t>
      </w:r>
      <w:r>
        <w:t>Das Framework kombiniert Usefulness/Completeness mit Ease of Use/Appropriateness und erfasst dabei Evaluator-Attitudinalvarianz durch MCRS als Kovariate. Ziel ist objektive, klinisch realistische und disparity-responsive Evidenz zur Qualität von LLM-generierten Unterlagen für Patientenbildung.</w:t>
      </w:r>
    </w:p>
    <w:p>
      <w:r>
        <w:rPr>
          <w:b/>
          <w:sz w:val="19"/>
        </w:rPr>
        <w:t xml:space="preserve">Übertragbarkeit: </w:t>
      </w:r>
      <w:r>
        <w:rPr>
          <w:sz w:val="19"/>
        </w:rPr>
        <w:t>Theoretischer Ansatz systemunabhängig, aber Methodenentwicklung US-fokussiert; nur bedingt übertragbar.</w:t>
      </w:r>
    </w:p>
    <w:p>
      <w:r>
        <w:rPr>
          <w:color w:val="5A7D3A"/>
          <w:sz w:val="18"/>
        </w:rPr>
        <w:t>https://pubmed.ncbi.nlm.nih.gov/42766478/</w:t>
      </w:r>
    </w:p>
    <w:p>
      <w:pPr>
        <w:pStyle w:val="Heading2"/>
      </w:pPr>
      <w:r>
        <w:t>Kontextfaktoren und Lernbedarfe bei Leitlinienentwicklung: qualitative Multiplenfall-Studie</w:t>
      </w:r>
    </w:p>
    <w:p>
      <w:r>
        <w:rPr>
          <w:i/>
          <w:color w:val="666666"/>
          <w:sz w:val="18"/>
        </w:rPr>
        <w:t>de Mortier CA et al.  ·  Med Teach  ·  21.09.2026  ·  PMID 42766408</w:t>
      </w:r>
    </w:p>
    <w:p>
      <w:r>
        <w:t>Qualitative Längsschnittstudie mit 18 Panelmitgliedern und 10 Projektleitern in 5 niederländischen Leitlinienprojekten; Analyse, welche kontextuellen Faktoren die Lernbedarfe in der Guideline-Entwicklung prägen.</w:t>
      </w:r>
    </w:p>
    <w:p>
      <w:r>
        <w:rPr>
          <w:b/>
        </w:rPr>
        <w:t xml:space="preserve">Ergebnis: </w:t>
      </w:r>
      <w:r>
        <w:t>Drei interaktive Themen beeinflussen Lernbedarfe: Leitlinienthema (Zusammensetzung, Methodik, Evidenzunsicherheit), Partizipationsdynamiken (Hierarchie, Sicherheit), Aufgabenverteilung. Methodische Kompetenz allein genügt nicht; Lernbedarfe entstehen aus Kombination aller drei Faktoren. Empfehlung: flexible, kontextsensitive und rollenpezifische Bildungsinitiativen.</w:t>
      </w:r>
    </w:p>
    <w:p>
      <w:r>
        <w:rPr>
          <w:b/>
          <w:sz w:val="19"/>
        </w:rPr>
        <w:t xml:space="preserve">Übertragbarkeit: </w:t>
      </w:r>
      <w:r>
        <w:rPr>
          <w:sz w:val="19"/>
        </w:rPr>
        <w:t>Niederlande, Versorgungsforschungs-Setting; gut übertragbar auf deutsches System zur Leitlinienentwicklung.</w:t>
      </w:r>
    </w:p>
    <w:p>
      <w:r>
        <w:rPr>
          <w:color w:val="5A7D3A"/>
          <w:sz w:val="18"/>
        </w:rPr>
        <w:t>https://pubmed.ncbi.nlm.nih.gov/42766408/</w:t>
      </w:r>
    </w:p>
    <w:p>
      <w:pPr>
        <w:pStyle w:val="Heading2"/>
      </w:pPr>
      <w:r>
        <w:t>Länderverglichende Forschungsinfrastruktur für Diabetes-Versorgung im ländlichen Raum</w:t>
      </w:r>
    </w:p>
    <w:p>
      <w:r>
        <w:rPr>
          <w:i/>
          <w:color w:val="666666"/>
          <w:sz w:val="18"/>
        </w:rPr>
        <w:t>Murfet G et al.  ·  Glob Health Action  ·  21.09.2026  ·  PMID 42765135</w:t>
      </w:r>
    </w:p>
    <w:p>
      <w:r>
        <w:t>Konzeptuelle Positionspapier, das ein neues International Consortium for Rural Diabetes Research (ICRDR) vorstellt, um fragmentierte Diabetes-Forschung in ländlichen Regionen zu koordinieren.</w:t>
      </w:r>
    </w:p>
    <w:p>
      <w:r>
        <w:rPr>
          <w:b/>
        </w:rPr>
        <w:t xml:space="preserve">Ergebnis: </w:t>
      </w:r>
      <w:r>
        <w:t>Kernaussage: Ländliche Diabetes-Versorgungsforschung bleibt isoliert und stützt sich auf urbane Evidenz; koordinierte internationale Infrastruktur mit gemeinsamen Prioritäten, Methoden und Outcome-Maßstäben ist erforderlich. Das ICRDR adressiert Zugangsbarrien (Fachkräftemangel, Isolation, fragmentierte Services) durch Multicentre-Studien und Kapazitätsaufbau.</w:t>
      </w:r>
    </w:p>
    <w:p>
      <w:r>
        <w:rPr>
          <w:b/>
          <w:sz w:val="19"/>
        </w:rPr>
        <w:t xml:space="preserve">Übertragbarkeit: </w:t>
      </w:r>
      <w:r>
        <w:rPr>
          <w:sz w:val="19"/>
        </w:rPr>
        <w:t>Konzeptionell und methodisch international orientiert; hilft deutschem System, Evidenzlücken in ländlichen Regionen zu schließen.</w:t>
      </w:r>
    </w:p>
    <w:p>
      <w:r>
        <w:rPr>
          <w:color w:val="5A7D3A"/>
          <w:sz w:val="18"/>
        </w:rPr>
        <w:t>https://pubmed.ncbi.nlm.nih.gov/42765135/</w:t>
      </w:r>
    </w:p>
    <w:p>
      <w:pPr>
        <w:pStyle w:val="Heading2"/>
      </w:pPr>
      <w:r>
        <w:t>Kernoutcome-Set für Shared-Decision-Making-Interventionen: Entwicklungsprotokoll</w:t>
      </w:r>
    </w:p>
    <w:p>
      <w:r>
        <w:rPr>
          <w:i/>
          <w:color w:val="666666"/>
          <w:sz w:val="18"/>
        </w:rPr>
        <w:t>Hoffmann C et al.  ·  BMJ Open  ·  15.09.2026  ·  PMID 42744360</w:t>
      </w:r>
    </w:p>
    <w:p>
      <w:r>
        <w:t>Studienprotokoll zur Entwicklung eines Core Outcome Set (COS) für die Evaluation von Shared-Decision-Making-Interventionen mittels Delphi-Survey und Konsensuskonferenz.</w:t>
      </w:r>
    </w:p>
    <w:p>
      <w:r>
        <w:rPr>
          <w:b/>
        </w:rPr>
        <w:t xml:space="preserve">Ergebnis: </w:t>
      </w:r>
      <w:r>
        <w:t>Geplante Struktur: Schritt 1: Erstellung einer langen Kandidaten-Outcome-Liste durch Literaturanalyse und qualitative Interviews (mind. 20 Stakeholder). Schritt 2: Delphi-Survey mit mind. 150 internationalen Teilnehmern (Profis, Patienten) in zwei Runden zur Priorisierung. Schritt 3: Konsensus per modified nominal group technique. Laufzeit Juni 2025 bis September 2026; Ergebnisse erwartungsgemäß für standardisierte Evaluationspraxis verfügbar.</w:t>
      </w:r>
    </w:p>
    <w:p>
      <w:r>
        <w:rPr>
          <w:b/>
          <w:sz w:val="19"/>
        </w:rPr>
        <w:t xml:space="preserve">Übertragbarkeit: </w:t>
      </w:r>
      <w:r>
        <w:rPr>
          <w:sz w:val="19"/>
        </w:rPr>
        <w:t>Britische Studienkoordination; Shared Decision Making ist international etabliertes Konzept; methodisch auf deutsche SDM-Forschung anwendbar.</w:t>
      </w:r>
    </w:p>
    <w:p>
      <w:r>
        <w:rPr>
          <w:color w:val="5A7D3A"/>
          <w:sz w:val="18"/>
        </w:rPr>
        <w:t>https://pubmed.ncbi.nlm.nih.gov/42744360/</w:t>
      </w:r>
    </w:p>
    <w:p>
      <w:pPr>
        <w:pStyle w:val="Heading1"/>
      </w:pPr>
      <w:r>
        <w:t>Aufgenommen am 21.09.2026</w:t>
      </w:r>
    </w:p>
    <w:p>
      <w:pPr>
        <w:pStyle w:val="Heading2"/>
      </w:pPr>
      <w:r>
        <w:t>Geburtshilfe-Standardisierung: Ballonkatheter und Wehenmuster nach Einleitung</w:t>
      </w:r>
    </w:p>
    <w:p>
      <w:r>
        <w:rPr>
          <w:i/>
          <w:color w:val="666666"/>
          <w:sz w:val="18"/>
        </w:rPr>
        <w:t>Baboeuf A et al.  ·  J Gynecol Obstet Hum Reprod  ·  19.09.2026  ·  PMID 42762855</w:t>
      </w:r>
    </w:p>
    <w:p>
      <w:r>
        <w:t>Retrospektive Evaluierung eines standardisierten Induktionsprotokolls mit Ballonkatheter zur Zervixreifung als Erstlinientherapie vs. freie Wahl in französischer Tertiärklinik.</w:t>
      </w:r>
    </w:p>
    <w:p>
      <w:r>
        <w:rPr>
          <w:b/>
        </w:rPr>
        <w:t xml:space="preserve">Ergebnis: </w:t>
      </w:r>
      <w:r>
        <w:t>Vaginale Geburt innerhalb 24h: 27,3% (Protokoll) vs. 34,0% (Baseline), p=0,18; nächtliche Epiduralanalgesie signifikant weniger häufig nach Protokoll (35,6% vs. 46,2%, p=0,008); 77,4% der Frauen mit Gesamtzufriedenheit einverstanden.</w:t>
      </w:r>
    </w:p>
    <w:p>
      <w:r>
        <w:rPr>
          <w:b/>
          <w:sz w:val="19"/>
        </w:rPr>
        <w:t xml:space="preserve">Übertragbarkeit: </w:t>
      </w:r>
      <w:r>
        <w:rPr>
          <w:sz w:val="19"/>
        </w:rPr>
        <w:t>Französische Tertiärklinik, übertragbare Implementierungsfrage, aber begrenzte klinische Effekte</w:t>
      </w:r>
    </w:p>
    <w:p>
      <w:r>
        <w:rPr>
          <w:color w:val="5A7D3A"/>
          <w:sz w:val="18"/>
        </w:rPr>
        <w:t>https://pubmed.ncbi.nlm.nih.gov/42762855/</w:t>
      </w:r>
    </w:p>
    <w:p>
      <w:pPr>
        <w:pStyle w:val="Heading2"/>
      </w:pPr>
      <w:r>
        <w:t>Palliativversorgungsqualität für Patienten mit schweren psychischen Störungen</w:t>
      </w:r>
    </w:p>
    <w:p>
      <w:r>
        <w:rPr>
          <w:i/>
          <w:color w:val="666666"/>
          <w:sz w:val="18"/>
        </w:rPr>
        <w:t>Bøndergaard K et al.  ·  Omega (Westport)  ·  19.09.2026  ·  PMID 42762069</w:t>
      </w:r>
    </w:p>
    <w:p>
      <w:r>
        <w:t>Querschnitts-Fragebogenstudie mit dänischen Hausärzten und Palliativmedizinern zu Qualität der Palliativbetreuung bei verstorbenen Patienten mit schweren psychischen Störungen.</w:t>
      </w:r>
    </w:p>
    <w:p>
      <w:r>
        <w:rPr>
          <w:b/>
        </w:rPr>
        <w:t xml:space="preserve">Ergebnis: </w:t>
      </w:r>
      <w:r>
        <w:t>123 Fragebogen von 162 (76% Rücklaufquote); die meisten Verläufe als gut oder sehr gut bewertet; qualitative Analyse enthüllte drei Themen: Zusammenarbeit/Timing, Kommunikation/Beziehungen, Komplexität; Koordination und Kommunikation bei Lebensende-Entscheidungen teilweise herausfordernd.</w:t>
      </w:r>
    </w:p>
    <w:p>
      <w:r>
        <w:rPr>
          <w:b/>
          <w:sz w:val="19"/>
        </w:rPr>
        <w:t xml:space="preserve">Übertragbarkeit: </w:t>
      </w:r>
      <w:r>
        <w:rPr>
          <w:sz w:val="19"/>
        </w:rPr>
        <w:t>Dänemark, skandinavisches steuerfinanziertes System mit Hausarztfokus</w:t>
      </w:r>
    </w:p>
    <w:p>
      <w:r>
        <w:rPr>
          <w:color w:val="5A7D3A"/>
          <w:sz w:val="18"/>
        </w:rPr>
        <w:t>https://pubmed.ncbi.nlm.nih.gov/42762069/</w:t>
      </w:r>
    </w:p>
    <w:p>
      <w:pPr>
        <w:pStyle w:val="Heading2"/>
      </w:pPr>
      <w:r>
        <w:t>Angiotensin-Inhibitoren vor elektiver Chirurgie: RCT-Absetzen vs. Fortführen</w:t>
      </w:r>
    </w:p>
    <w:p>
      <w:r>
        <w:rPr>
          <w:i/>
          <w:color w:val="666666"/>
          <w:sz w:val="18"/>
        </w:rPr>
        <w:t>Scott IA et al.  ·  J Hosp Med  ·  19.09.2026  ·  PMID 42762066</w:t>
      </w:r>
    </w:p>
    <w:p>
      <w:r>
        <w:t>Single-Center-RCT zu kardiovaskulären Komplikationen nach elektiver, nicht-kardischer Chirurgie unter Fortführung vs. 24h-Absetzen von ACE-Inhibitoren/ARBs.</w:t>
      </w:r>
    </w:p>
    <w:p>
      <w:r>
        <w:rPr>
          <w:b/>
        </w:rPr>
        <w:t xml:space="preserve">Ergebnis: </w:t>
      </w:r>
      <w:r>
        <w:t>667 Patienten randomisiert (325 Fortführung, 313 Absetzen); primärer Outcome MACE: 2,8% vs. 2,9% (Differenz 0,1%, 95% CI −2,5% bis 2,8%, p=1,00); intraop. Hypotonie 63,5% vs. 60,7%, AKI 7,4% vs. 4,8%; keine signifikanten Unterschiede; Absetzen reduzierte nicht MACE, Hypotonie oder AKI.</w:t>
      </w:r>
    </w:p>
    <w:p>
      <w:r>
        <w:rPr>
          <w:b/>
          <w:sz w:val="19"/>
        </w:rPr>
        <w:t xml:space="preserve">Übertragbarkeit: </w:t>
      </w:r>
      <w:r>
        <w:rPr>
          <w:sz w:val="19"/>
        </w:rPr>
        <w:t>Australische Tertiärklinik, aber klinische Prozessfrage systemunabhängig</w:t>
      </w:r>
    </w:p>
    <w:p>
      <w:r>
        <w:rPr>
          <w:color w:val="5A7D3A"/>
          <w:sz w:val="18"/>
        </w:rPr>
        <w:t>https://pubmed.ncbi.nlm.nih.gov/42762066/</w:t>
      </w:r>
    </w:p>
    <w:p>
      <w:pPr>
        <w:pStyle w:val="Heading2"/>
      </w:pPr>
      <w:r>
        <w:t>Frühe Krebsinzidenz in Nordischen Ländern 2003–2022 mit Projektion bis 2050</w:t>
      </w:r>
    </w:p>
    <w:p>
      <w:r>
        <w:rPr>
          <w:i/>
          <w:color w:val="666666"/>
          <w:sz w:val="18"/>
        </w:rPr>
        <w:t>Johansson AL et al.  ·  Lancet Reg Health Eur  ·  12.09.2026  ·  PMID 42761845</w:t>
      </w:r>
    </w:p>
    <w:p>
      <w:r>
        <w:t>Bevölkerungsbasierte Trendstudie der Inzidenz früher Krebserkrankungen (Alter 20–49) in Nordischen Ländern über 20 Jahre mit Vorhersagen bis 2050.</w:t>
      </w:r>
    </w:p>
    <w:p>
      <w:r>
        <w:rPr>
          <w:b/>
        </w:rPr>
        <w:t xml:space="preserve">Ergebnis: </w:t>
      </w:r>
      <w:r>
        <w:t>Signifikante Inzidenzzunahme bei 12 von 18 Krebsarten; Darmkrebs &lt;35 Jahren höchster EAPC (&gt;2%), mit 9.174 zusätzlichen Fällen (2003–2007 zu 2018–2022: 47.491 zu 56.665); regionale Variation Appalachien und Südosten USA.</w:t>
      </w:r>
    </w:p>
    <w:p>
      <w:r>
        <w:rPr>
          <w:b/>
          <w:sz w:val="19"/>
        </w:rPr>
        <w:t xml:space="preserve">Übertragbarkeit: </w:t>
      </w:r>
      <w:r>
        <w:rPr>
          <w:sz w:val="19"/>
        </w:rPr>
        <w:t>Nordische Länder, vergleichbare Gesundheitssysteme mit guten Datenregistern</w:t>
      </w:r>
    </w:p>
    <w:p>
      <w:r>
        <w:rPr>
          <w:color w:val="5A7D3A"/>
          <w:sz w:val="18"/>
        </w:rPr>
        <w:t>https://pubmed.ncbi.nlm.nih.gov/42761845/</w:t>
      </w:r>
    </w:p>
    <w:p>
      <w:pPr>
        <w:pStyle w:val="Heading2"/>
      </w:pPr>
      <w:r>
        <w:t>Darmkrebsscreening bei sexuellen Minderheiten nach US-Guidelines 2021</w:t>
      </w:r>
    </w:p>
    <w:p>
      <w:r>
        <w:rPr>
          <w:i/>
          <w:color w:val="666666"/>
          <w:sz w:val="18"/>
        </w:rPr>
        <w:t>George L et al.  ·  AJPM Focus  ·  12.05.2026  ·  PMID 42761516</w:t>
      </w:r>
    </w:p>
    <w:p>
      <w:r>
        <w:t>Querschnittsanalyse der Screening-Compliance für Darmkrebs bei sexuellen Minderheiten nach Aktualisierung der USPSTF-Richtlinien (2021), USA 2022.</w:t>
      </w:r>
    </w:p>
    <w:p>
      <w:r>
        <w:rPr>
          <w:b/>
        </w:rPr>
        <w:t xml:space="preserve">Ergebnis: </w:t>
      </w:r>
      <w:r>
        <w:t>Screening-Rate insgesamt: 69,0% (gay/lesbian), 62,7% (bisexual), 58,4% (andere Orientierung), 68,8% (heterosexuell); Personen mit anderer Orientierung signifikant niedriger als heterosexuell (aPR=0,90, 95% CI 0,84–0,97); Dispariät besonders in Alter 65–75 und Frauen.</w:t>
      </w:r>
    </w:p>
    <w:p>
      <w:r>
        <w:rPr>
          <w:b/>
          <w:sz w:val="19"/>
        </w:rPr>
        <w:t xml:space="preserve">Übertragbarkeit: </w:t>
      </w:r>
      <w:r>
        <w:rPr>
          <w:sz w:val="19"/>
        </w:rPr>
        <w:t>USA, aber Screeningdisparität bei Minderheiten systemunabhängig relevant</w:t>
      </w:r>
    </w:p>
    <w:p>
      <w:r>
        <w:rPr>
          <w:color w:val="5A7D3A"/>
          <w:sz w:val="18"/>
        </w:rPr>
        <w:t>https://pubmed.ncbi.nlm.nih.gov/42761516/</w:t>
      </w:r>
    </w:p>
    <w:p>
      <w:pPr>
        <w:pStyle w:val="Heading2"/>
      </w:pPr>
      <w:r>
        <w:t>Kulturelle Diabetes-Schulung: Kosteneffektivität für Marshallese-Bevölkerung</w:t>
      </w:r>
    </w:p>
    <w:p>
      <w:r>
        <w:rPr>
          <w:i/>
          <w:color w:val="666666"/>
          <w:sz w:val="18"/>
        </w:rPr>
        <w:t>Lamprecht-Carson D et al.  ·  Diabetes Obes Metab  ·  17.09.2026  ·  PMID 42755138</w:t>
      </w:r>
    </w:p>
    <w:p>
      <w:r>
        <w:t>Markov-Modell zur Kosteneffektivität eines kulturell angepassten Diabetes-Selbstmanagement-Programms vs. Standard-DSME für Marshallese-Erwachsene mit Typ-2-Diabetes.</w:t>
      </w:r>
    </w:p>
    <w:p>
      <w:r>
        <w:rPr>
          <w:b/>
        </w:rPr>
        <w:t xml:space="preserve">Ergebnis: </w:t>
      </w:r>
      <w:r>
        <w:t>Kulturell angepasstes Programm cost-effective mit ICER von 3.083 Dollar pro QALY; in 87,1% der Simulationen bevorzugte Strategie bei WTP 50.000 Dollar pro QALY; bescheidene aber relevante Unterschiede zwischen Interventionszenarien.</w:t>
      </w:r>
    </w:p>
    <w:p>
      <w:r>
        <w:rPr>
          <w:b/>
          <w:sz w:val="19"/>
        </w:rPr>
        <w:t xml:space="preserve">Übertragbarkeit: </w:t>
      </w:r>
      <w:r>
        <w:rPr>
          <w:sz w:val="19"/>
        </w:rPr>
        <w:t>USA-Daten, aber Fragestellung zur Kultursensitivität systemunabhängig transferierbar</w:t>
      </w:r>
    </w:p>
    <w:p>
      <w:r>
        <w:rPr>
          <w:color w:val="5A7D3A"/>
          <w:sz w:val="18"/>
        </w:rPr>
        <w:t>https://pubmed.ncbi.nlm.nih.gov/42755138/</w:t>
      </w:r>
    </w:p>
    <w:p>
      <w:pPr>
        <w:pStyle w:val="Heading1"/>
      </w:pPr>
      <w:r>
        <w:t>Aufgenommen am 20.09.2026</w:t>
      </w:r>
    </w:p>
    <w:p>
      <w:pPr>
        <w:pStyle w:val="Heading2"/>
      </w:pPr>
      <w:r>
        <w:t>Workplace-Health-Promotion in Pflegeheimen: qualitative Prozessevaluation</w:t>
      </w:r>
    </w:p>
    <w:p>
      <w:r>
        <w:rPr>
          <w:i/>
          <w:color w:val="666666"/>
          <w:sz w:val="18"/>
        </w:rPr>
        <w:t>Czakert J et al.  ·  Front Public Health  ·  04.09.2026  ·  PMID 42761123</w:t>
      </w:r>
    </w:p>
    <w:p>
      <w:r>
        <w:t>Qualitative Prozessevaluation zur Entwicklung und Implementierung von drei WHP-Workshops in einem Pilotheim nach RE-AIM-Framework.</w:t>
      </w:r>
    </w:p>
    <w:p>
      <w:r>
        <w:rPr>
          <w:b/>
        </w:rPr>
        <w:t xml:space="preserve">Ergebnis: </w:t>
      </w:r>
      <w:r>
        <w:t>Entwicklung aus sieben Phasen. Etwa ein Drittel der Teilnehmenden aktiv involviert, andere passiv oder resistiv. Engagement variabel, Schlüsselhemmnisse: Motivation, wahrgenommene Relevanz, Gruppendynamik, Fatigue, Sprachbarrieren. Zentral: organisatorische Vorbereitung und Partizipation.</w:t>
      </w:r>
    </w:p>
    <w:p>
      <w:r>
        <w:rPr>
          <w:b/>
          <w:sz w:val="19"/>
        </w:rPr>
        <w:t xml:space="preserve">Übertragbarkeit: </w:t>
      </w:r>
      <w:r>
        <w:rPr>
          <w:sz w:val="19"/>
        </w:rPr>
        <w:t>Deutschland, Langzeitpflegesektor, hohe Relevanz für Implementierungspraxis</w:t>
      </w:r>
    </w:p>
    <w:p>
      <w:r>
        <w:rPr>
          <w:color w:val="5A7D3A"/>
          <w:sz w:val="18"/>
        </w:rPr>
        <w:t>https://pubmed.ncbi.nlm.nih.gov/42761123/</w:t>
      </w:r>
    </w:p>
    <w:p>
      <w:pPr>
        <w:pStyle w:val="Heading2"/>
      </w:pPr>
      <w:r>
        <w:t>Regionale Disparitäten Zahngesundheit Deutschland</w:t>
      </w:r>
    </w:p>
    <w:p>
      <w:r>
        <w:rPr>
          <w:i/>
          <w:color w:val="666666"/>
          <w:sz w:val="18"/>
        </w:rPr>
        <w:t>Gortschakow J et al.  ·  J Clin Periodontol  ·  18.09.2026  ·  PMID 42760791</w:t>
      </w:r>
    </w:p>
    <w:p>
      <w:r>
        <w:t>Bevölkerungsstudie mit 184.871 Erwachsenen untersucht Prävalenz von Zahnlosigkeit und Taschentiefen bundesweit mittels klinischer Untersuchung.</w:t>
      </w:r>
    </w:p>
    <w:p>
      <w:r>
        <w:rPr>
          <w:b/>
        </w:rPr>
        <w:t xml:space="preserve">Ergebnis: </w:t>
      </w:r>
      <w:r>
        <w:t>Zahnlosigkeitsprävalenz: 1,7 % (95%-KI 1,6–1,9). Mittlere Taschentiefe: 1,89 mm (1,87–1,91). Deutliche regionale Disparitäten von 1,3 % (Augsburg/Regensburg) bis 2,3 % (Neubrandenburg).</w:t>
      </w:r>
    </w:p>
    <w:p>
      <w:r>
        <w:rPr>
          <w:b/>
          <w:sz w:val="19"/>
        </w:rPr>
        <w:t xml:space="preserve">Übertragbarkeit: </w:t>
      </w:r>
      <w:r>
        <w:rPr>
          <w:sz w:val="19"/>
        </w:rPr>
        <w:t>Deutsche Routinedaten aus Kohorte, exzellente Übertragbarkeit</w:t>
      </w:r>
    </w:p>
    <w:p>
      <w:r>
        <w:rPr>
          <w:color w:val="5A7D3A"/>
          <w:sz w:val="18"/>
        </w:rPr>
        <w:t>https://pubmed.ncbi.nlm.nih.gov/42760791/</w:t>
      </w:r>
    </w:p>
    <w:p>
      <w:pPr>
        <w:pStyle w:val="Heading2"/>
      </w:pPr>
      <w:r>
        <w:t>Arbeitsbelastung und Berufsverbleib in Gesundheitsberufen</w:t>
      </w:r>
    </w:p>
    <w:p>
      <w:r>
        <w:rPr>
          <w:i/>
          <w:color w:val="666666"/>
          <w:sz w:val="18"/>
        </w:rPr>
        <w:t>Andersson Hammar I et al.  ·  BMC Health Serv Res  ·  17.09.2026  ·  PMID 42760563</w:t>
      </w:r>
    </w:p>
    <w:p>
      <w:r>
        <w:t>Längsschnittstudie untersuchte Zusammenhänge zwischen Arbeitserfahrungen, Gesundheit und Verbleibsabsicht bei Fachpersonen drei Jahre nach Berufsstart.</w:t>
      </w:r>
    </w:p>
    <w:p>
      <w:r>
        <w:rPr>
          <w:b/>
        </w:rPr>
        <w:t xml:space="preserve">Ergebnis: </w:t>
      </w:r>
      <w:r>
        <w:t>Höhere Arbeitszufriedenheit war mit besserer Gesundheit und deutlich gestärkter Absicht zum Verbleib in der Profession assoziiert. Die 30–36-Jährigen zeigten niedrigere Verbleibsabsicht als jüngere und ältere Kohorten.</w:t>
      </w:r>
    </w:p>
    <w:p>
      <w:r>
        <w:rPr>
          <w:b/>
          <w:sz w:val="19"/>
        </w:rPr>
        <w:t xml:space="preserve">Übertragbarkeit: </w:t>
      </w:r>
      <w:r>
        <w:rPr>
          <w:sz w:val="19"/>
        </w:rPr>
        <w:t>Schweden, gut übertragbar auf deutsches Gesundheitssystem und Arbeitskontexte</w:t>
      </w:r>
    </w:p>
    <w:p>
      <w:r>
        <w:rPr>
          <w:color w:val="5A7D3A"/>
          <w:sz w:val="18"/>
        </w:rPr>
        <w:t>https://pubmed.ncbi.nlm.nih.gov/42760563/</w:t>
      </w:r>
    </w:p>
    <w:p>
      <w:pPr>
        <w:pStyle w:val="Heading2"/>
      </w:pPr>
      <w:r>
        <w:t>Apotheker-Intervention bei koronaren Patienten: Medication-Review-Studie</w:t>
      </w:r>
    </w:p>
    <w:p>
      <w:r>
        <w:rPr>
          <w:i/>
          <w:color w:val="666666"/>
          <w:sz w:val="18"/>
        </w:rPr>
        <w:t>Östbring MJ et al.  ·  BMC Health Serv Res  ·  15.09.2026  ·  PMID 42760559</w:t>
      </w:r>
    </w:p>
    <w:p>
      <w:r>
        <w:t>Prozessevaluation eines randomisierten Trials zu pharmazeutisch-gesteuerter Adhärence-Intervention mittels Motivierender Gesprächsführung bei Herzkranken.</w:t>
      </w:r>
    </w:p>
    <w:p>
      <w:r>
        <w:rPr>
          <w:b/>
        </w:rPr>
        <w:t xml:space="preserve">Ergebnis: </w:t>
      </w:r>
      <w:r>
        <w:t>Klinische Apotheker identifizierten durchschnittlich 4,3 medikationsbezogene Probleme pro Patient. In 194 von 218 bekannten Fällen wurde das Problem gelöst/verbessert. 52,8 % der Interventionsgruppe vs. 31,0 % der Kontrollgruppe verschoben sich zu akzeptierenderer Arzneimittelhaltung (p = 0,051).</w:t>
      </w:r>
    </w:p>
    <w:p>
      <w:r>
        <w:rPr>
          <w:b/>
          <w:sz w:val="19"/>
        </w:rPr>
        <w:t xml:space="preserve">Übertragbarkeit: </w:t>
      </w:r>
      <w:r>
        <w:rPr>
          <w:sz w:val="19"/>
        </w:rPr>
        <w:t>Schweden, Sozialversicherungssystem, pharmazeutische Versorgungsrollen</w:t>
      </w:r>
    </w:p>
    <w:p>
      <w:r>
        <w:rPr>
          <w:color w:val="5A7D3A"/>
          <w:sz w:val="18"/>
        </w:rPr>
        <w:t>https://pubmed.ncbi.nlm.nih.gov/42760559/</w:t>
      </w:r>
    </w:p>
    <w:p>
      <w:pPr>
        <w:pStyle w:val="Heading2"/>
      </w:pPr>
      <w:r>
        <w:t>Psychische Gesundheit peripartal: Screening-Barrieren in Indien</w:t>
      </w:r>
    </w:p>
    <w:p>
      <w:r>
        <w:rPr>
          <w:i/>
          <w:color w:val="666666"/>
          <w:sz w:val="18"/>
        </w:rPr>
        <w:t>Basu P et al.  ·  BMC Health Serv Res  ·  03.08.2026  ·  PMID 42760554</w:t>
      </w:r>
    </w:p>
    <w:p>
      <w:r>
        <w:t>Qualitative Studie zu Hemmnissen und Facilitatoren von perinataler psychischer Gesundheitsscreening aus Perspektive von Frauen und Angehörigen des Gesundheitswesens.</w:t>
      </w:r>
    </w:p>
    <w:p>
      <w:r>
        <w:rPr>
          <w:b/>
        </w:rPr>
        <w:t xml:space="preserve">Ergebnis: </w:t>
      </w:r>
      <w:r>
        <w:t>Facilitatoren: etabliertes Referralsystem, Medikamentenverfügbarkeit, Datenschutz. Barrieren: fragmentierte Services, hohe Arbeitsbelastung, Stigma, unzureichende Schulung, mangelndes Vertrauen. Familienpräsenz behinderte offene Diskussionen.</w:t>
      </w:r>
    </w:p>
    <w:p>
      <w:r>
        <w:rPr>
          <w:b/>
          <w:sz w:val="19"/>
        </w:rPr>
        <w:t xml:space="preserve">Übertragbarkeit: </w:t>
      </w:r>
      <w:r>
        <w:rPr>
          <w:sz w:val="19"/>
        </w:rPr>
        <w:t>Indien; Fragestellung systemunabhängig, aber Übertragbarkeit limitiert durch andere Ressourcenlage</w:t>
      </w:r>
    </w:p>
    <w:p>
      <w:r>
        <w:rPr>
          <w:color w:val="5A7D3A"/>
          <w:sz w:val="18"/>
        </w:rPr>
        <w:t>https://pubmed.ncbi.nlm.nih.gov/42760554/</w:t>
      </w:r>
    </w:p>
    <w:p>
      <w:pPr>
        <w:pStyle w:val="Heading2"/>
      </w:pPr>
      <w:r>
        <w:t>Gestationsdiabetes Südlichasiatische Frauen: PPIE-Insights</w:t>
      </w:r>
    </w:p>
    <w:p>
      <w:r>
        <w:rPr>
          <w:i/>
          <w:color w:val="666666"/>
          <w:sz w:val="18"/>
        </w:rPr>
        <w:t>Dapre E et al.  ·  NIHR Open Res  ·  03.09.2026  ·  PMID 42750677</w:t>
      </w:r>
    </w:p>
    <w:p>
      <w:r>
        <w:t>Patient- und Public-Involvement-Engagement-Studie mit südlichasiatischen Frauen zur Verbesserung der Adhärenz in Ernährungsintervention bei Gestationsdiabetes.</w:t>
      </w:r>
    </w:p>
    <w:p>
      <w:r>
        <w:rPr>
          <w:b/>
        </w:rPr>
        <w:t xml:space="preserve">Ergebnis: </w:t>
      </w:r>
      <w:r>
        <w:t>17 Frauen identifizierten drei Schlüsselprobleme: Vulnerabilität (Vertrauensmangel, Kontrollverlust), Zugänglichkeit (flexible Formate, finanzielle Unterstützung), Mentale Belastung (emotionales Wohlbefinden, Familieneinfluss). Empfehlungen: familienbasierte Essensplanung, visuelle Guides, psychosoziale Unterstützung.</w:t>
      </w:r>
    </w:p>
    <w:p>
      <w:r>
        <w:rPr>
          <w:b/>
          <w:sz w:val="19"/>
        </w:rPr>
        <w:t xml:space="preserve">Übertragbarkeit: </w:t>
      </w:r>
      <w:r>
        <w:rPr>
          <w:sz w:val="19"/>
        </w:rPr>
        <w:t>Qualitative UK-Studie; Fragestellung zu Barrieren und Facilitatoren systemunabhängig</w:t>
      </w:r>
    </w:p>
    <w:p>
      <w:r>
        <w:rPr>
          <w:color w:val="5A7D3A"/>
          <w:sz w:val="18"/>
        </w:rPr>
        <w:t>https://pubmed.ncbi.nlm.nih.gov/42750677/</w:t>
      </w:r>
    </w:p>
    <w:p>
      <w:pPr>
        <w:pStyle w:val="Heading1"/>
      </w:pPr>
      <w:r>
        <w:t>Aufgenommen am 19.09.2026</w:t>
      </w:r>
    </w:p>
    <w:p>
      <w:pPr>
        <w:pStyle w:val="Heading2"/>
      </w:pPr>
      <w:r>
        <w:t>Verbesserung von Peer-Support für Mütter mit HIV in Kenia</w:t>
      </w:r>
    </w:p>
    <w:p>
      <w:r>
        <w:rPr>
          <w:i/>
          <w:color w:val="666666"/>
          <w:sz w:val="18"/>
        </w:rPr>
        <w:t>Carlucci JG et al.  ·  PLOS Glob Public Health  ·  18.09.2026  ·  PMID 42758698</w:t>
      </w:r>
    </w:p>
    <w:p>
      <w:r>
        <w:t>Qualitative Interviews mit 16 Mentor Mothers und 36 Frauen mit HIV in Westkenias PMTCT-Programmen zur Verbesserung von Peer-Support-Diensten.</w:t>
      </w:r>
    </w:p>
    <w:p>
      <w:r>
        <w:rPr>
          <w:b/>
        </w:rPr>
        <w:t xml:space="preserve">Ergebnis: </w:t>
      </w:r>
      <w:r>
        <w:t>Beide Gruppen befürworteten Risikostratifizierung: intensive Services für Hochrisiko-Mütter, weniger intensive für Niedrigrisiko. Zentral: empathische Mentoring-Beziehungen mit geteilten Erfahrungen; nötig aber bessere Aufgabendefinition, Kapazitätsaufbau, faire Kompensation und Ressourcen für ökonomische Barrieren.</w:t>
      </w:r>
    </w:p>
    <w:p>
      <w:r>
        <w:rPr>
          <w:b/>
          <w:sz w:val="19"/>
        </w:rPr>
        <w:t xml:space="preserve">Übertragbarkeit: </w:t>
      </w:r>
      <w:r>
        <w:rPr>
          <w:sz w:val="19"/>
        </w:rPr>
        <w:t>Kenia; Modell zu Peer-Support-Effektivität auf andere LMIC-Kontexte übertragbar</w:t>
      </w:r>
    </w:p>
    <w:p>
      <w:r>
        <w:rPr>
          <w:color w:val="5A7D3A"/>
          <w:sz w:val="18"/>
        </w:rPr>
        <w:t>https://pubmed.ncbi.nlm.nih.gov/42758698/</w:t>
      </w:r>
    </w:p>
    <w:p>
      <w:pPr>
        <w:pStyle w:val="Heading2"/>
      </w:pPr>
      <w:r>
        <w:t>Implementierungsstrategie für betriebliche Rauchentwöhnung mit Anreizen</w:t>
      </w:r>
    </w:p>
    <w:p>
      <w:r>
        <w:rPr>
          <w:i/>
          <w:color w:val="666666"/>
          <w:sz w:val="18"/>
        </w:rPr>
        <w:t>van den Brand FA et al.  ·  PLoS One  ·  18.09.2026  ·  PMID 42758680</w:t>
      </w:r>
    </w:p>
    <w:p>
      <w:r>
        <w:t>Systematische Entwicklung einer Implementierungsstrategie für Workplace-Rauchentwöhnungsprogramme mit finanziellen Anreizen mittels Implementation Mapping in den Niederlanden.</w:t>
      </w:r>
    </w:p>
    <w:p>
      <w:r>
        <w:rPr>
          <w:b/>
        </w:rPr>
        <w:t xml:space="preserve">Ergebnis: </w:t>
      </w:r>
      <w:r>
        <w:t>Identifizierte Schlüsseladoptoren (Geschäftsführung, HR-Manager) und Implementierer sowie sieben Determinanten für erfolgreiche Durchführung. Entwickelte evidenzbasierte Strategien einschließlich Implementierungsleitfaden, Website, Video und Webinar. Stakeholder-Feedback führte zu Verbesserungen.</w:t>
      </w:r>
    </w:p>
    <w:p>
      <w:r>
        <w:rPr>
          <w:b/>
          <w:sz w:val="19"/>
        </w:rPr>
        <w:t xml:space="preserve">Übertragbarkeit: </w:t>
      </w:r>
      <w:r>
        <w:rPr>
          <w:sz w:val="19"/>
        </w:rPr>
        <w:t>Niederlande, ähnliches Sozialversicherungssystem mit Betriebsstruktur</w:t>
      </w:r>
    </w:p>
    <w:p>
      <w:r>
        <w:rPr>
          <w:color w:val="5A7D3A"/>
          <w:sz w:val="18"/>
        </w:rPr>
        <w:t>https://pubmed.ncbi.nlm.nih.gov/42758680/</w:t>
      </w:r>
    </w:p>
    <w:p>
      <w:pPr>
        <w:pStyle w:val="Heading2"/>
      </w:pPr>
      <w:r>
        <w:t>Kognitive Verzerrungen und Nierenfunktions-Risikoperception bei älteren CKD-Patienten</w:t>
      </w:r>
    </w:p>
    <w:p>
      <w:r>
        <w:rPr>
          <w:i/>
          <w:color w:val="666666"/>
          <w:sz w:val="18"/>
        </w:rPr>
        <w:t>Bonnet K et al.  ·  Clin J Am Soc Nephrol  ·  18.09.2026  ·  PMID 42758548</w:t>
      </w:r>
    </w:p>
    <w:p>
      <w:r>
        <w:t>Mixed-Methods-Studie mit Älteren (&gt;60 Jahre) im Stadium 3B–5 CKD zu kognitiven Verzerrungen bei der Wahrnehmung ihres Nierenfunktionsausfallrisikos.</w:t>
      </w:r>
    </w:p>
    <w:p>
      <w:r>
        <w:rPr>
          <w:b/>
        </w:rPr>
        <w:t xml:space="preserve">Ergebnis: </w:t>
      </w:r>
      <w:r>
        <w:t>Nur 24% der Teilnehmer hatten Prognosekonsens (objektives vs. subjektiv wahrgenommenes Risiko). Höhere Patient Activation war unabhängig mit niedrigeren Odds für Unsicherheit assoziiert (OR 0,66; 95%-KI 0,44–0,99). Qualitativ: Empfehlungen für hoffnungsvolle Sprache, Einbeziehen von Angehörigen und numeracy-Berücksichtigung.</w:t>
      </w:r>
    </w:p>
    <w:p>
      <w:r>
        <w:rPr>
          <w:b/>
          <w:sz w:val="19"/>
        </w:rPr>
        <w:t xml:space="preserve">Übertragbarkeit: </w:t>
      </w:r>
      <w:r>
        <w:rPr>
          <w:sz w:val="19"/>
        </w:rPr>
        <w:t>US-Daten, aber Fragestellung zur Patientenkommunikation systemunabhängig</w:t>
      </w:r>
    </w:p>
    <w:p>
      <w:r>
        <w:rPr>
          <w:color w:val="5A7D3A"/>
          <w:sz w:val="18"/>
        </w:rPr>
        <w:t>https://pubmed.ncbi.nlm.nih.gov/42758548/</w:t>
      </w:r>
    </w:p>
    <w:p>
      <w:pPr>
        <w:pStyle w:val="Heading2"/>
      </w:pPr>
      <w:r>
        <w:t>Komplexe-Versorgungsprogramm reduziert Krankenhausnutzung bei Kindern</w:t>
      </w:r>
    </w:p>
    <w:p>
      <w:r>
        <w:rPr>
          <w:i/>
          <w:color w:val="666666"/>
          <w:sz w:val="18"/>
        </w:rPr>
        <w:t>Lee J et al.  ·  J Pediatr Health Care  ·  17.09.2026  ·  PMID 42758058</w:t>
      </w:r>
    </w:p>
    <w:p>
      <w:r>
        <w:t>Retrospektive Kohortenstudie von 71 Kindern mit medizinischer Komplexität in einem Cross-Setting-Komplexcare-Programm mit kleinem Kernteam (2015–2024).</w:t>
      </w:r>
    </w:p>
    <w:p>
      <w:r>
        <w:rPr>
          <w:b/>
        </w:rPr>
        <w:t xml:space="preserve">Ergebnis: </w:t>
      </w:r>
      <w:r>
        <w:t>Hospitalisierungen sanken von 3,5 auf 2,0 pro Jahr (p &lt; 0,001), Verweildauer von 41,5 auf 11,5 Tage pro Jahr (p &lt; 0,001). Adjustierte Analysen zeigten 32% Reduktion bei Hospitalisierungen und 72% bei Verweildauer.</w:t>
      </w:r>
    </w:p>
    <w:p>
      <w:r>
        <w:rPr>
          <w:b/>
          <w:sz w:val="19"/>
        </w:rPr>
        <w:t xml:space="preserve">Übertragbarkeit: </w:t>
      </w:r>
      <w:r>
        <w:rPr>
          <w:sz w:val="19"/>
        </w:rPr>
        <w:t>US-amerikanische Universitätsklinik, aber Modell zum Case Management übertragbar</w:t>
      </w:r>
    </w:p>
    <w:p>
      <w:r>
        <w:rPr>
          <w:color w:val="5A7D3A"/>
          <w:sz w:val="18"/>
        </w:rPr>
        <w:t>https://pubmed.ncbi.nlm.nih.gov/42758058/</w:t>
      </w:r>
    </w:p>
    <w:p>
      <w:pPr>
        <w:pStyle w:val="Heading2"/>
      </w:pPr>
      <w:r>
        <w:t>Barrieren von Frontline-Mitarbeitern bei TB-Diensten in High-Burden-Ländern</w:t>
      </w:r>
    </w:p>
    <w:p>
      <w:r>
        <w:rPr>
          <w:i/>
          <w:color w:val="666666"/>
          <w:sz w:val="18"/>
        </w:rPr>
        <w:t>Cox SR et al.  ·  J Glob Health  ·  18.09.2026  ·  PMID 42757757</w:t>
      </w:r>
    </w:p>
    <w:p>
      <w:r>
        <w:t>Scoping Review von 189 Studien (2010–2025) zu Healthcare-Worker-bezogenen Barrieren bei TB-Prävention, Diagnostik und Behandlung in WHO-High-Burden-Ländern.</w:t>
      </w:r>
    </w:p>
    <w:p>
      <w:r>
        <w:rPr>
          <w:b/>
        </w:rPr>
        <w:t xml:space="preserve">Ergebnis: </w:t>
      </w:r>
      <w:r>
        <w:t>Wissens- und Skill-Lücken waren die häufigsten Barrieren (n = 128 Studien). Weitere Themen: Provider-Patient-Kommunikation, Stigma (n = 74 Studien), Motivation für qualitativ hochwertige TB-Pflege (n = 69 Studien). COM-B-Framework identifizierte umsetzbare Targets.</w:t>
      </w:r>
    </w:p>
    <w:p>
      <w:r>
        <w:rPr>
          <w:b/>
          <w:sz w:val="19"/>
        </w:rPr>
        <w:t xml:space="preserve">Übertragbarkeit: </w:t>
      </w:r>
      <w:r>
        <w:rPr>
          <w:sz w:val="19"/>
        </w:rPr>
        <w:t>Länder mit Ressourcenlimitationen; Erkenntnisse zu HSR-Barrieren international relevant</w:t>
      </w:r>
    </w:p>
    <w:p>
      <w:r>
        <w:rPr>
          <w:color w:val="5A7D3A"/>
          <w:sz w:val="18"/>
        </w:rPr>
        <w:t>https://pubmed.ncbi.nlm.nih.gov/42757757/</w:t>
      </w:r>
    </w:p>
    <w:p>
      <w:pPr>
        <w:pStyle w:val="Heading2"/>
      </w:pPr>
      <w:r>
        <w:t>Strukturierte Laktationsberatung und Muttermilchbanken in deutschen NICUs</w:t>
      </w:r>
    </w:p>
    <w:p>
      <w:r>
        <w:rPr>
          <w:i/>
          <w:color w:val="666666"/>
          <w:sz w:val="18"/>
        </w:rPr>
        <w:t>Köberlein-Neu J et al.  ·  BMC Med  ·  11.09.2026  ·  PMID 42754870</w:t>
      </w:r>
    </w:p>
    <w:p>
      <w:r>
        <w:t>Stepped-Wedge-Cluster-RCT in 15 deutschen Level-I-NICUs zur Wirksamkeit von strukturierter Laktationsberatung mit Donor-Milk-Banking auf ausschließliches Stillen bei Entlassung.</w:t>
      </w:r>
    </w:p>
    <w:p>
      <w:r>
        <w:rPr>
          <w:b/>
        </w:rPr>
        <w:t xml:space="preserve">Ergebnis: </w:t>
      </w:r>
      <w:r>
        <w:t>Ausschließliches Stillen bei Entlassung stieg um 11 Prozentpunkte (95%-KI: 3,0–19,0; p = 0,007) von 43% Baseline. Keine signifikanten Unterschiede in klinischen Komplikationen oder Verweildauer. Implementierbarkeit und Durchführungstreue waren ausreichend (Beratung in 71% wie geplant).</w:t>
      </w:r>
    </w:p>
    <w:p>
      <w:r>
        <w:rPr>
          <w:b/>
          <w:sz w:val="19"/>
        </w:rPr>
        <w:t xml:space="preserve">Übertragbarkeit: </w:t>
      </w:r>
      <w:r>
        <w:rPr>
          <w:sz w:val="19"/>
        </w:rPr>
        <w:t>Deutsche RCT-Daten, gesetzlich versicherte Neugeborene in Universitätskliniken</w:t>
      </w:r>
    </w:p>
    <w:p>
      <w:r>
        <w:rPr>
          <w:color w:val="5A7D3A"/>
          <w:sz w:val="18"/>
        </w:rPr>
        <w:t>https://pubmed.ncbi.nlm.nih.gov/42754870/</w:t>
      </w:r>
    </w:p>
    <w:p>
      <w:pPr>
        <w:pStyle w:val="Heading1"/>
      </w:pPr>
      <w:r>
        <w:t>Aufgenommen am 18.09.2026</w:t>
      </w:r>
    </w:p>
    <w:p>
      <w:pPr>
        <w:pStyle w:val="Heading2"/>
      </w:pPr>
      <w:r>
        <w:t>Workforce readiness for Advance Care Planning in ID services</w:t>
      </w:r>
    </w:p>
    <w:p>
      <w:r>
        <w:rPr>
          <w:i/>
          <w:color w:val="666666"/>
          <w:sz w:val="18"/>
        </w:rPr>
        <w:t>Zeilinger EL Prof Dr et al.  ·  J Pain Symptom Manage  ·  17.09.2026  ·  PMID 42754183</w:t>
      </w:r>
    </w:p>
    <w:p>
      <w:r>
        <w:t>Österreichische Querschnittstudie zur Bereitschaft von Betreuungspersonen in Wohneinrichtungen für Menschen mit Behinderungen, ACP-Gespräche zu führen.</w:t>
      </w:r>
    </w:p>
    <w:p>
      <w:r>
        <w:rPr>
          <w:b/>
        </w:rPr>
        <w:t xml:space="preserve">Ergebnis: </w:t>
      </w:r>
      <w:r>
        <w:t>67,7 % der 127 Befragten kannten Patientenverfügungen, aber nur 1,6 % konnten ACP erklären. 68,5 % fühlten sich komfortabel bei ACP-Gesprächen, 85,8 % sahen ACP als wichtig an, und 77,2 % sahen es als ihre Verantwortung. Fehlende konzeptionelle Vorbereitung trotz hoher Unterstützung für ACP.</w:t>
      </w:r>
    </w:p>
    <w:p>
      <w:r>
        <w:rPr>
          <w:b/>
          <w:sz w:val="19"/>
        </w:rPr>
        <w:t xml:space="preserve">Übertragbarkeit: </w:t>
      </w:r>
      <w:r>
        <w:rPr>
          <w:sz w:val="19"/>
        </w:rPr>
        <w:t>Österreich, ähnliche Systemstruktur und Versorgungskontext wie Deutschland</w:t>
      </w:r>
    </w:p>
    <w:p>
      <w:r>
        <w:rPr>
          <w:color w:val="5A7D3A"/>
          <w:sz w:val="18"/>
        </w:rPr>
        <w:t>https://pubmed.ncbi.nlm.nih.gov/42754183/</w:t>
      </w:r>
    </w:p>
    <w:p>
      <w:pPr>
        <w:pStyle w:val="Heading2"/>
      </w:pPr>
      <w:r>
        <w:t>Multilevel-Faktoren bei Non-Response zu Patient-Reported Outcome Measures</w:t>
      </w:r>
    </w:p>
    <w:p>
      <w:r>
        <w:rPr>
          <w:i/>
          <w:color w:val="666666"/>
          <w:sz w:val="18"/>
        </w:rPr>
        <w:t>Liu JB et al.  ·  Qual Life Res  ·  17.09.2026  ·  PMID 42753022</w:t>
      </w:r>
    </w:p>
    <w:p>
      <w:r>
        <w:t>US-Kohortenanalyse von 12.214 Patienten an fünf Strahlentherapie-Kliniken zu Faktoren auf Patient-, Provider- und Klinikebene, die Non-Response zu PROMIS Global-10 vorhersagen.</w:t>
      </w:r>
    </w:p>
    <w:p>
      <w:r>
        <w:rPr>
          <w:b/>
        </w:rPr>
        <w:t xml:space="preserve">Ergebnis: </w:t>
      </w:r>
      <w:r>
        <w:t>Patient- und Termin-Response-Raten: 35,4 % bzw. 31,7 %; Response variierte zwischen Kliniken 12,8–66,2 %. Nach Adjustierung: jüngste Operation (aOR 1,97) und längere Diagnosedauer (aOR 0,46 für &gt;12 Monate) persistierten. Klinik-Implementierungsfaktoren (späte Programmstartzeit aOR 0,29) waren stärker als Patientenmerkmale.</w:t>
      </w:r>
    </w:p>
    <w:p>
      <w:r>
        <w:rPr>
          <w:b/>
          <w:sz w:val="19"/>
        </w:rPr>
        <w:t xml:space="preserve">Übertragbarkeit: </w:t>
      </w:r>
      <w:r>
        <w:rPr>
          <w:sz w:val="19"/>
        </w:rPr>
        <w:t>USA - Methodologie zu PROM-Implementierung systemunabhängig relevant für deutsches QM</w:t>
      </w:r>
    </w:p>
    <w:p>
      <w:r>
        <w:rPr>
          <w:color w:val="5A7D3A"/>
          <w:sz w:val="18"/>
        </w:rPr>
        <w:t>https://pubmed.ncbi.nlm.nih.gov/42753022/</w:t>
      </w:r>
    </w:p>
    <w:p>
      <w:pPr>
        <w:pStyle w:val="Heading2"/>
      </w:pPr>
      <w:r>
        <w:t>Finanzielle Auswirkungen von Schwangerschaft und Geburt bei Louisiana Medicaid</w:t>
      </w:r>
    </w:p>
    <w:p>
      <w:r>
        <w:rPr>
          <w:i/>
          <w:color w:val="666666"/>
          <w:sz w:val="18"/>
        </w:rPr>
        <w:t>Walker B et al.  ·  Health Serv Res  ·  Okt. 2026  ·  PMID 42751818</w:t>
      </w:r>
    </w:p>
    <w:p>
      <w:r>
        <w:t>US-Studie zu Auswirkungen von Schwangerschaft auf Verschuldung und Kreditscores bei Medicaid-Versicherten, stratifiziert nach Ethnie.</w:t>
      </w:r>
    </w:p>
    <w:p>
      <w:r>
        <w:rPr>
          <w:b/>
        </w:rPr>
        <w:t xml:space="preserve">Ergebnis: </w:t>
      </w:r>
      <w:r>
        <w:t>Nicht-hispanische schwarze Frauen zeigten negative finanzielle Folgen: Kreditscores sanken um 4 Punkte (95%-KI: -5,65 bis -1,81), medizinische Schulden stiegen um 41 USD (KI: 6–75), andere Schulden um 44 USD (KI: 15–74). Nicht-hispanische weiße Frauen zeigten keine nachteiligen Auswirkungen.</w:t>
      </w:r>
    </w:p>
    <w:p>
      <w:r>
        <w:rPr>
          <w:b/>
          <w:sz w:val="19"/>
        </w:rPr>
        <w:t xml:space="preserve">Übertragbarkeit: </w:t>
      </w:r>
      <w:r>
        <w:rPr>
          <w:sz w:val="19"/>
        </w:rPr>
        <w:t>USA/Medicaid - Fragestellung aber zu Equity und Versorgungsgerechtigkeit systemunabhängig relevant</w:t>
      </w:r>
    </w:p>
    <w:p>
      <w:r>
        <w:rPr>
          <w:color w:val="5A7D3A"/>
          <w:sz w:val="18"/>
        </w:rPr>
        <w:t>https://pubmed.ncbi.nlm.nih.gov/42751818/</w:t>
      </w:r>
    </w:p>
    <w:p>
      <w:pPr>
        <w:pStyle w:val="Heading2"/>
      </w:pPr>
      <w:r>
        <w:t>Lernen zur Unterstützung von Klientenautonomie in Pflegepraktika</w:t>
      </w:r>
    </w:p>
    <w:p>
      <w:r>
        <w:rPr>
          <w:i/>
          <w:color w:val="666666"/>
          <w:sz w:val="18"/>
        </w:rPr>
        <w:t>Knibbeler MMCJ et al.  ·  Int J Nurs Stud Adv  ·  05.09.2026  ·  PMID 42751206</w:t>
      </w:r>
    </w:p>
    <w:p>
      <w:r>
        <w:t>Qualitative Studie aus Niederlanden zur Frage, wie Pflegestudierende während des klinischen Praktikums lernen, Klientenautonomie zu unterstützen.</w:t>
      </w:r>
    </w:p>
    <w:p>
      <w:r>
        <w:rPr>
          <w:b/>
        </w:rPr>
        <w:t xml:space="preserve">Ergebnis: </w:t>
      </w:r>
      <w:r>
        <w:t>Autonomieförderung war in der Praxis präsent aber inkonsistent; Betreuer interpretierten Autonomie oft als Selbstständigkeit statt Partizipation in Entscheidungen. Implizites Lernen durch Beobachtung dominierte; strukturierte Reflexion war selten. Supervision und Feedback durch Betreuer waren nicht systematisch.</w:t>
      </w:r>
    </w:p>
    <w:p>
      <w:r>
        <w:rPr>
          <w:b/>
          <w:sz w:val="19"/>
        </w:rPr>
        <w:t xml:space="preserve">Übertragbarkeit: </w:t>
      </w:r>
      <w:r>
        <w:rPr>
          <w:sz w:val="19"/>
        </w:rPr>
        <w:t>Niederlande, vergleichbares Pflegeausbildungssystem und Versorgungskontext</w:t>
      </w:r>
    </w:p>
    <w:p>
      <w:r>
        <w:rPr>
          <w:color w:val="5A7D3A"/>
          <w:sz w:val="18"/>
        </w:rPr>
        <w:t>https://pubmed.ncbi.nlm.nih.gov/42751206/</w:t>
      </w:r>
    </w:p>
    <w:p>
      <w:pPr>
        <w:pStyle w:val="Heading2"/>
      </w:pPr>
      <w:r>
        <w:t>Mundgesundheitspflege in Langzeiteinrichtungen: Barrieren und Enabler</w:t>
      </w:r>
    </w:p>
    <w:p>
      <w:r>
        <w:rPr>
          <w:i/>
          <w:color w:val="666666"/>
          <w:sz w:val="18"/>
        </w:rPr>
        <w:t>Spilsbury K et al.  ·  Int J Nurs Stud Adv  ·  13.08.2026  ·  PMID 42750939</w:t>
      </w:r>
    </w:p>
    <w:p>
      <w:r>
        <w:t>Britische Scoping Review zu Faktoren auf Mikro-, Meso- und Makroebene, die Mundgesundheitspflege durch Personal in Altenheimen beeinflussen.</w:t>
      </w:r>
    </w:p>
    <w:p>
      <w:r>
        <w:rPr>
          <w:b/>
        </w:rPr>
        <w:t xml:space="preserve">Ergebnis: </w:t>
      </w:r>
      <w:r>
        <w:t>63 Studien eingeschlossen. Häufigste Einflussfaktoren im COM-B-Modell waren Opportunity-Faktoren (Umgebung, Ressourcen, soziale Einflüsse). Wichtigste Enabler: Schulung, Mundgesundheitskampagnen, unterstützende Führung, Assessmentsysteme. Schlüsselbarrieren: Personalknappheit, Zeitdruck, begrenzte Schulung, niedrige organisationale Priorität, eingeschränkter Zugang zu Zahnservices.</w:t>
      </w:r>
    </w:p>
    <w:p>
      <w:r>
        <w:rPr>
          <w:b/>
          <w:sz w:val="19"/>
        </w:rPr>
        <w:t xml:space="preserve">Übertragbarkeit: </w:t>
      </w:r>
      <w:r>
        <w:rPr>
          <w:sz w:val="19"/>
        </w:rPr>
        <w:t>Großbritannien, Empfehlungen für Langzeitpflege in Deutschland direkt anwendbar</w:t>
      </w:r>
    </w:p>
    <w:p>
      <w:r>
        <w:rPr>
          <w:color w:val="5A7D3A"/>
          <w:sz w:val="18"/>
        </w:rPr>
        <w:t>https://pubmed.ncbi.nlm.nih.gov/42750939/</w:t>
      </w:r>
    </w:p>
    <w:p>
      <w:pPr>
        <w:pStyle w:val="Heading2"/>
      </w:pPr>
      <w:r>
        <w:t>Algorithmen zur Identifikation von HCBS in Medicaid-Claims</w:t>
      </w:r>
    </w:p>
    <w:p>
      <w:r>
        <w:rPr>
          <w:i/>
          <w:color w:val="666666"/>
          <w:sz w:val="18"/>
        </w:rPr>
        <w:t>Dihwa V et al.  ·  Health Serv Res  ·  Okt. 2026  ·  PMID 42750346</w:t>
      </w:r>
    </w:p>
    <w:p>
      <w:r>
        <w:t>US-Evaluationsstudie von drei Algorithmen zur Identifikation von Home- and Community-Based Services in Medicaid-Daten 2021–2023.</w:t>
      </w:r>
    </w:p>
    <w:p>
      <w:r>
        <w:rPr>
          <w:b/>
        </w:rPr>
        <w:t xml:space="preserve">Ergebnis: </w:t>
      </w:r>
      <w:r>
        <w:t>Zwei bestehende Algorithmen zeigten hohe Übereinstimmung (Po = 93 %, Kappa = 0,77). Ein neuer vereinheitlichter Algorithmus adressierte Diskrepanzen durch Novel-Nutzung von Waiver-IDs. Jedoch zeigten einige Bundesstaaten implausible Zählungen oder große Schwankungen über die Jahre (&gt;50 %), was auf Datenqualitätsprobleme hindeutet.</w:t>
      </w:r>
    </w:p>
    <w:p>
      <w:r>
        <w:rPr>
          <w:b/>
          <w:sz w:val="19"/>
        </w:rPr>
        <w:t xml:space="preserve">Übertragbarkeit: </w:t>
      </w:r>
      <w:r>
        <w:rPr>
          <w:sz w:val="19"/>
        </w:rPr>
        <w:t>USA - Datenqualitätsthematik systemunabhängig, aber nur bedingt auf Deutschland übertragbar</w:t>
      </w:r>
    </w:p>
    <w:p>
      <w:r>
        <w:rPr>
          <w:color w:val="5A7D3A"/>
          <w:sz w:val="18"/>
        </w:rPr>
        <w:t>https://pubmed.ncbi.nlm.nih.gov/42750346/</w:t>
      </w:r>
    </w:p>
    <w:p>
      <w:pPr>
        <w:pStyle w:val="Heading1"/>
      </w:pPr>
      <w:r>
        <w:t>Aufgenommen am 17.09.2026</w:t>
      </w:r>
    </w:p>
    <w:p>
      <w:pPr>
        <w:pStyle w:val="Heading2"/>
      </w:pPr>
      <w:r>
        <w:t>Chirurgische Behandlung von NSCLC in England: Trends, Variation und kurzfristige Ergebnisse 2015–2023</w:t>
      </w:r>
    </w:p>
    <w:p>
      <w:r>
        <w:rPr>
          <w:i/>
          <w:color w:val="666666"/>
          <w:sz w:val="18"/>
        </w:rPr>
        <w:t>Dixon LK et al.  ·  BMJ Open  ·  16.09.2026  ·  PMID 42749376</w:t>
      </w:r>
    </w:p>
    <w:p>
      <w:r>
        <w:t>Bevölkerungsgestützte Kohortenstudie zu Trends in der chirurgischen Praxis, regionalen Unterschieden und postoperativen Outcomes bei Lungenkrebs-Resektion in England über 9 Jahre.</w:t>
      </w:r>
    </w:p>
    <w:p>
      <w:r>
        <w:rPr>
          <w:b/>
        </w:rPr>
        <w:t xml:space="preserve">Ergebnis: </w:t>
      </w:r>
      <w:r>
        <w:t>Resektionsrate stieg von 15,4 % (2015) auf 20,9 % (2023); Segmentektomie von 11,2 % auf 20,6 %, minimal-invasive Chirurgie von 47,1 % auf 79,7 %; 90-Tage-Mortalität sank von 4,03 % auf 2,26 %; Verweildauer verkürzt sich, Wiederaufnahmen stabil bei ~10–12 % – jedoch erhebliche Zentren-Heterogenität in Segmentektomie (10,7–80,3 %) und roboterassistierter Chirurgie (0–67 %).</w:t>
      </w:r>
    </w:p>
    <w:p>
      <w:r>
        <w:rPr>
          <w:b/>
          <w:sz w:val="19"/>
        </w:rPr>
        <w:t xml:space="preserve">Übertragbarkeit: </w:t>
      </w:r>
      <w:r>
        <w:rPr>
          <w:sz w:val="19"/>
        </w:rPr>
        <w:t>England, spezialisierte Thoraxchirurgie-Zentren – systemischer Kontext nur bedingt übertragbar</w:t>
      </w:r>
    </w:p>
    <w:p>
      <w:r>
        <w:rPr>
          <w:color w:val="5A7D3A"/>
          <w:sz w:val="18"/>
        </w:rPr>
        <w:t>https://pubmed.ncbi.nlm.nih.gov/42749376/</w:t>
      </w:r>
    </w:p>
    <w:p>
      <w:pPr>
        <w:pStyle w:val="Heading2"/>
      </w:pPr>
      <w:r>
        <w:t>Hybrid-Telemedizin-Hausbesuch-Modell für Pneumonieversorung: Pilot-Fallserie aus Texas</w:t>
      </w:r>
    </w:p>
    <w:p>
      <w:r>
        <w:rPr>
          <w:i/>
          <w:color w:val="666666"/>
          <w:sz w:val="18"/>
        </w:rPr>
        <w:t>Bourmand R et al.  ·  JMIR Form Res  ·  16.09.2026  ·  PMID 42748457</w:t>
      </w:r>
    </w:p>
    <w:p>
      <w:r>
        <w:t>Retrospektive deskriptive Fallserie (n=28 Patienten mit Pneumoniediagnose) zur Implementierbarkeit und Nutzungsmuster eines Hybrid-Modells aus virtueller ärztlicher Bewertung und trainierter Fachperson im Hausbesuch mit digitalen Diagnostik-Tools.</w:t>
      </w:r>
    </w:p>
    <w:p>
      <w:r>
        <w:rPr>
          <w:b/>
        </w:rPr>
        <w:t xml:space="preserve">Ergebnis: </w:t>
      </w:r>
      <w:r>
        <w:t>28 Patienten mit 56 klinischen Kontakten (Median 2, IQR 1–3 pro Patient); CRB-65-Scores 0–2 (46,4 % Score 0, 46,4 % Score 1, 7,1 % Score 2); 8/28 (28,6 %) zur ED überwiesen; Patienten zur ED überwiesen hatten signifikant höhere CRB-65-Scores (Median 1, IQR 1–1,5 vs. Median 0, IQR 0–1; p=0,01); Modell machbar, aber größere prospektive Vergleichsstudien für Outcomes/Sicherheit erforderlich.</w:t>
      </w:r>
    </w:p>
    <w:p>
      <w:r>
        <w:rPr>
          <w:b/>
          <w:sz w:val="19"/>
        </w:rPr>
        <w:t xml:space="preserve">Übertragbarkeit: </w:t>
      </w:r>
      <w:r>
        <w:rPr>
          <w:sz w:val="19"/>
        </w:rPr>
        <w:t>USA – Fragestellung zur Versorgungsmodellintegration systemunabhängig, aber Kontext Urgent Care begrenzt übertragbar</w:t>
      </w:r>
    </w:p>
    <w:p>
      <w:r>
        <w:rPr>
          <w:color w:val="5A7D3A"/>
          <w:sz w:val="18"/>
        </w:rPr>
        <w:t>https://pubmed.ncbi.nlm.nih.gov/42748457/</w:t>
      </w:r>
    </w:p>
    <w:p>
      <w:pPr>
        <w:pStyle w:val="Heading2"/>
      </w:pPr>
      <w:r>
        <w:t>Elektronische Arzneihinweise verbessern Überweisungen zu Diabetes-Selbstmanagement-Schulung</w:t>
      </w:r>
    </w:p>
    <w:p>
      <w:r>
        <w:rPr>
          <w:i/>
          <w:color w:val="666666"/>
          <w:sz w:val="18"/>
        </w:rPr>
        <w:t>Donahue KE et al.  ·  Diabetes Care  ·  16.09.2026  ·  PMID 42747941</w:t>
      </w:r>
    </w:p>
    <w:p>
      <w:r>
        <w:t>Clusterrandomisierte Studie zur Wirkung von Best-Practice-Advisories im EHR auf Überweisungsquoten zu Diabetes-Selbstmanagement-Schulung (DSMES) über 18 Monate in US-Primärversorgung.</w:t>
      </w:r>
    </w:p>
    <w:p>
      <w:r>
        <w:rPr>
          <w:b/>
        </w:rPr>
        <w:t xml:space="preserve">Ergebnis: </w:t>
      </w:r>
      <w:r>
        <w:t>Nach 12 Monaten: 12,9 % Überweisungsrate in Interventionskliniken vs. 1,2 % in Kontrollen (p&lt;0,001); nach 18 Monaten 13,7 % vs. 1,6 % (p&lt;0,001); adjustierte Odds Ratio 10,55 (95%-KI 4,65–23,94) nach 12 Monaten und 9,44 (95%-KI 4,91–18,17) nach 18 Monaten. Standing Orders erhielten diese Gewinne.</w:t>
      </w:r>
    </w:p>
    <w:p>
      <w:r>
        <w:rPr>
          <w:b/>
          <w:sz w:val="19"/>
        </w:rPr>
        <w:t xml:space="preserve">Übertragbarkeit: </w:t>
      </w:r>
      <w:r>
        <w:rPr>
          <w:sz w:val="19"/>
        </w:rPr>
        <w:t>USA, Primärversorgung – Prozessoptimierung systemunabhängig, aber Anreizsystem unterschiedlich</w:t>
      </w:r>
    </w:p>
    <w:p>
      <w:r>
        <w:rPr>
          <w:color w:val="5A7D3A"/>
          <w:sz w:val="18"/>
        </w:rPr>
        <w:t>https://pubmed.ncbi.nlm.nih.gov/42747941/</w:t>
      </w:r>
    </w:p>
    <w:p>
      <w:pPr>
        <w:pStyle w:val="Heading2"/>
      </w:pPr>
      <w:r>
        <w:t>Mehrebenen-Mehrfach-Fallstudie: Methodik zur Analyse komplexer Versorgungstrajektorien älterer Menschen</w:t>
      </w:r>
    </w:p>
    <w:p>
      <w:r>
        <w:rPr>
          <w:i/>
          <w:color w:val="666666"/>
          <w:sz w:val="18"/>
        </w:rPr>
        <w:t>Dieterich A et al.  ·  Z Gerontol Geriatr  ·  16.09.2026  ·  PMID 42747513</w:t>
      </w:r>
    </w:p>
    <w:p>
      <w:r>
        <w:t>Methodisches Diskussionspapier zur Anwendung von Mehrebenen-Mehrfach-Fallstudien als Forschungsdesign zur empirischen Rekonstruktion komplexer Hilfeverläufe in sektorenübergreifender Versorgung für ältere Menschen.</w:t>
      </w:r>
    </w:p>
    <w:p>
      <w:r>
        <w:rPr>
          <w:b/>
        </w:rPr>
        <w:t xml:space="preserve">Ergebnis: </w:t>
      </w:r>
      <w:r>
        <w:t>Fallkonstellationen auf Mikro- (Interaktion Betroffener, professionelle und informelle Helfer), Meso- (Organisationen, Netzwerke) und Makroebene (Rahmenbedingungen) systematisch verknüpft; Methodenkombination (Interviews, Dokumenten-, Sozialraum-, Netzwerkanalysen, reflexive thematische Analyse) ermöglicht kontextabhängige Bedingungen von Versorgung zu identifizieren; Design eröffnet neue Möglichkeiten für Versorgungsforschung, stellt aber hohe Anforderungen an Feldzugang, Datenintegration und Forschungsethik.</w:t>
      </w:r>
    </w:p>
    <w:p>
      <w:r>
        <w:rPr>
          <w:b/>
          <w:sz w:val="19"/>
        </w:rPr>
        <w:t xml:space="preserve">Übertragbarkeit: </w:t>
      </w:r>
      <w:r>
        <w:rPr>
          <w:sz w:val="19"/>
        </w:rPr>
        <w:t>Deutschland, Versorgungsforschung – direkt anwendbare Methodik für sektorenübergreifende Versorgungsanalyse</w:t>
      </w:r>
    </w:p>
    <w:p>
      <w:r>
        <w:rPr>
          <w:color w:val="5A7D3A"/>
          <w:sz w:val="18"/>
        </w:rPr>
        <w:t>https://pubmed.ncbi.nlm.nih.gov/42747513/</w:t>
      </w:r>
    </w:p>
    <w:p>
      <w:pPr>
        <w:pStyle w:val="Heading2"/>
      </w:pPr>
      <w:r>
        <w:t>Zusammenarbeit und Partizipation in integrierter Versorgung: Sicht von Managern mit komplexen Bedarf</w:t>
      </w:r>
    </w:p>
    <w:p>
      <w:r>
        <w:rPr>
          <w:i/>
          <w:color w:val="666666"/>
          <w:sz w:val="18"/>
        </w:rPr>
        <w:t>Hjelm M et al.  ·  BMC Health Serv Res  ·  12.09.2026  ·  PMID 42745286</w:t>
      </w:r>
    </w:p>
    <w:p>
      <w:r>
        <w:t>Qualitative Fokusgruppenstudie (n=13 Manager) zu Barrieren und Facilitatoren interprofessioneller Zusammenarbeit und Patientenbeteiligung in integrierter Gesundheits- und Sozialversorgung für Erwachsene mit komplexen Bedarfen in Schweden.</w:t>
      </w:r>
    </w:p>
    <w:p>
      <w:r>
        <w:rPr>
          <w:b/>
        </w:rPr>
        <w:t xml:space="preserve">Ergebnis: </w:t>
      </w:r>
      <w:r>
        <w:t>Drei zentrale Kategorien identifiziert: (1) organisatorische Voraussetzungen für nachhaltige Verbesserung integrierter Versorgung, (2) interprofessionelle Zusammenarbeit zur Bedarfserfassung, (3) relationale und bedarfsgerechte Ansätze; Kluft zwischen Intention und Implementierung von personenzentrierter, integrierter Versorgung erkannt; Vertrauen, klare Governance und organisatorische Kontinuität als Schlüsselfaktoren.</w:t>
      </w:r>
    </w:p>
    <w:p>
      <w:r>
        <w:rPr>
          <w:b/>
          <w:sz w:val="19"/>
        </w:rPr>
        <w:t xml:space="preserve">Übertragbarkeit: </w:t>
      </w:r>
      <w:r>
        <w:rPr>
          <w:sz w:val="19"/>
        </w:rPr>
        <w:t>Schweden – Primärversorgung und Koordinationsprozesse gut übertragbar auf Deutschland</w:t>
      </w:r>
    </w:p>
    <w:p>
      <w:r>
        <w:rPr>
          <w:color w:val="5A7D3A"/>
          <w:sz w:val="18"/>
        </w:rPr>
        <w:t>https://pubmed.ncbi.nlm.nih.gov/42745286/</w:t>
      </w:r>
    </w:p>
    <w:p>
      <w:pPr>
        <w:pStyle w:val="Heading2"/>
      </w:pPr>
      <w:r>
        <w:t>Lungenkrebs-Screening in Flandern: Barrieren und Facilitatoren aus Stakeholder-Perspektive</w:t>
      </w:r>
    </w:p>
    <w:p>
      <w:r>
        <w:rPr>
          <w:i/>
          <w:color w:val="666666"/>
          <w:sz w:val="18"/>
        </w:rPr>
        <w:t>Michiels L et al.  ·  BMC Health Serv Res  ·  31.08.2026  ·  PMID 42745254</w:t>
      </w:r>
    </w:p>
    <w:p>
      <w:r>
        <w:t>Qualitative exploratorische Studie (22 Gesundheitsfachpersonen, 13 Screening-Berechtigte) zu Implementierungs- und Partizipationsbarrieren sowie Facilitatoren für bevölkerungsgestütztes Lungenkrebs-Screening mit Niedrig-Dosis-CT in Belgien.</w:t>
      </w:r>
    </w:p>
    <w:p>
      <w:r>
        <w:rPr>
          <w:b/>
        </w:rPr>
        <w:t xml:space="preserve">Ergebnis: </w:t>
      </w:r>
      <w:r>
        <w:t>Überwiegend positive Einstellung zum Screening, aber Barrieren: Stigma bezüglich Rauchen, begrenzte Gesundheitskompetenz, indirekte finanzielle/logistische Hindernisse, Angst vor Screening und Warten auf Ergebnisse, Workload-Bedenken, Schulungsbedarf bei Fachpersonen; Facilitatoren: klare Richtlinien, staatliche Koordination/Finanzierung, Integration in Workflows, Zugänglichkeit, public awareness, vertrauensbasierte Kommunikation ohne Wertung.</w:t>
      </w:r>
    </w:p>
    <w:p>
      <w:r>
        <w:rPr>
          <w:b/>
          <w:sz w:val="19"/>
        </w:rPr>
        <w:t xml:space="preserve">Übertragbarkeit: </w:t>
      </w:r>
      <w:r>
        <w:rPr>
          <w:sz w:val="19"/>
        </w:rPr>
        <w:t>Belgien, vergleichbares Sozialversicherungssystem mit ähnlichen Implementierungshürden</w:t>
      </w:r>
    </w:p>
    <w:p>
      <w:r>
        <w:rPr>
          <w:color w:val="5A7D3A"/>
          <w:sz w:val="18"/>
        </w:rPr>
        <w:t>https://pubmed.ncbi.nlm.nih.gov/42745254/</w:t>
      </w:r>
    </w:p>
    <w:p>
      <w:pPr>
        <w:pStyle w:val="Heading2"/>
      </w:pPr>
      <w:r>
        <w:t>Digitale Versorgungstechnologien für ältere Menschen: Anforderungen für Erfahrung als gute Versorgung</w:t>
      </w:r>
    </w:p>
    <w:p>
      <w:r>
        <w:rPr>
          <w:i/>
          <w:color w:val="666666"/>
          <w:sz w:val="18"/>
        </w:rPr>
        <w:t>Kruithof K et al.  ·  BMC Health Serv Res  ·  05.08.2026  ·  PMID 42745252</w:t>
      </w:r>
    </w:p>
    <w:p>
      <w:r>
        <w:t>Qualitative Studie (n=27 wohnhaft lebende ältere Menschen) zu Bedingungen, unter denen digitale Pflege- und Unterstützungstechnologien von älteren Menschen als gute Versorgung wahrgenommen werden.</w:t>
      </w:r>
    </w:p>
    <w:p>
      <w:r>
        <w:rPr>
          <w:b/>
        </w:rPr>
        <w:t xml:space="preserve">Ergebnis: </w:t>
      </w:r>
      <w:r>
        <w:t>Technologien als gute Versorgung erlebt, wenn sie (1) Bedarf und Gewohnheiten entsprechen, (2) Fähigkeiten unterstützen, (3) Werte respektieren; aktive Rolle bei Technologiewahl assoziiert mit Altern-in-place und verbesserter Zugänglichkeit/Sicherheit/Autonomie; von Betreuerseite eingeführte Technologien oft als unnötig wahrgenommen und nicht genutzt; Technologien können reduziertem menschlichem Kontakt und Zugänglichkeitsmängeln schaden.</w:t>
      </w:r>
    </w:p>
    <w:p>
      <w:r>
        <w:rPr>
          <w:b/>
          <w:sz w:val="19"/>
        </w:rPr>
        <w:t xml:space="preserve">Übertragbarkeit: </w:t>
      </w:r>
      <w:r>
        <w:rPr>
          <w:sz w:val="19"/>
        </w:rPr>
        <w:t>Niederlande, ähnliches Gesundheitssystem – Implementierung digitaler Lösungen systemunabhängig</w:t>
      </w:r>
    </w:p>
    <w:p>
      <w:r>
        <w:rPr>
          <w:color w:val="5A7D3A"/>
          <w:sz w:val="18"/>
        </w:rPr>
        <w:t>https://pubmed.ncbi.nlm.nih.gov/42745252/</w:t>
      </w:r>
    </w:p>
    <w:p>
      <w:pPr>
        <w:pStyle w:val="Heading1"/>
      </w:pPr>
      <w:r>
        <w:t>Aufgenommen am 16.09.2026</w:t>
      </w:r>
    </w:p>
    <w:p>
      <w:pPr>
        <w:pStyle w:val="Heading2"/>
      </w:pPr>
      <w:r>
        <w:t>Pragmatisches Vorhersagemodell für Asthma-Klinikreadmissionen</w:t>
      </w:r>
    </w:p>
    <w:p>
      <w:r>
        <w:rPr>
          <w:i/>
          <w:color w:val="666666"/>
          <w:sz w:val="18"/>
        </w:rPr>
        <w:t>Tay TR et al.  ·  Respir Med  ·  15.09.2026  ·  PMID 42744205</w:t>
      </w:r>
    </w:p>
    <w:p>
      <w:r>
        <w:t>Entwicklung und externe Validierung eines neunfaktoriellen Vorhersagemodells für Krankenhauswiederaufnahmen nach Asthmaexazerbation innerhalb von 12 Monaten.</w:t>
      </w:r>
    </w:p>
    <w:p>
      <w:r>
        <w:rPr>
          <w:b/>
        </w:rPr>
        <w:t xml:space="preserve">Ergebnis: </w:t>
      </w:r>
      <w:r>
        <w:t>READMIT-Modell zeigte gute Diskriminierung im Entwicklungs-(AUC 0,748; 95% KI 0,711–0,785) und externen Kohort (AUC 0,737; 95% KI 0,712–0,762), mit zufriedenstellender Kalibrierung.</w:t>
      </w:r>
    </w:p>
    <w:p>
      <w:r>
        <w:rPr>
          <w:b/>
          <w:sz w:val="19"/>
        </w:rPr>
        <w:t xml:space="preserve">Übertragbarkeit: </w:t>
      </w:r>
      <w:r>
        <w:rPr>
          <w:sz w:val="19"/>
        </w:rPr>
        <w:t>Singapur-Daten, aber Fragestellung zu klinischen Prozessen systemunabhängig</w:t>
      </w:r>
    </w:p>
    <w:p>
      <w:r>
        <w:rPr>
          <w:color w:val="5A7D3A"/>
          <w:sz w:val="18"/>
        </w:rPr>
        <w:t>https://pubmed.ncbi.nlm.nih.gov/42744205/</w:t>
      </w:r>
    </w:p>
    <w:p>
      <w:pPr>
        <w:pStyle w:val="Heading2"/>
      </w:pPr>
      <w:r>
        <w:t>Buprenorphin-Verordnungen nach Einführung eines niedrigschwelligen virtuellen Netzwerks</w:t>
      </w:r>
    </w:p>
    <w:p>
      <w:r>
        <w:rPr>
          <w:i/>
          <w:color w:val="666666"/>
          <w:sz w:val="18"/>
        </w:rPr>
        <w:t>Lindenfeld Z et al.  ·  J Subst Use Addict Treat  ·  15.09.2026  ·  PMID 42744115</w:t>
      </w:r>
    </w:p>
    <w:p>
      <w:r>
        <w:t>Analyse der Auswirkungen eines kommunalen Rapid-Access-Modells (RealFix) mit virtuellen Anbietern auf die Buprenorphin-Verschreibungen in Paterson, New Jersey, mittels Differenzen-in-Differenzen-Analyse (2021–2025).</w:t>
      </w:r>
    </w:p>
    <w:p>
      <w:r>
        <w:rPr>
          <w:b/>
        </w:rPr>
        <w:t xml:space="preserve">Ergebnis: </w:t>
      </w:r>
      <w:r>
        <w:t>RealFix war mit Zunahmen von 66,5–76,8 Buprenorphin-Rezepten pro 10.000 Einwohner monatlich verbunden (14,6–17,0% Anstieg über Kontrollgruppen hinaus); Retentionseffekte waren gemischt.</w:t>
      </w:r>
    </w:p>
    <w:p>
      <w:r>
        <w:rPr>
          <w:b/>
          <w:sz w:val="19"/>
        </w:rPr>
        <w:t xml:space="preserve">Übertragbarkeit: </w:t>
      </w:r>
      <w:r>
        <w:rPr>
          <w:sz w:val="19"/>
        </w:rPr>
        <w:t>USA (Medicaid)-Daten, aber Fragestellung zu niedrigschwelliger Zugangssteuerung auf andere Systeme übertragbar</w:t>
      </w:r>
    </w:p>
    <w:p>
      <w:r>
        <w:rPr>
          <w:color w:val="5A7D3A"/>
          <w:sz w:val="18"/>
        </w:rPr>
        <w:t>https://pubmed.ncbi.nlm.nih.gov/42744115/</w:t>
      </w:r>
    </w:p>
    <w:p>
      <w:pPr>
        <w:pStyle w:val="Heading2"/>
      </w:pPr>
      <w:r>
        <w:t>Routinedaten in der onkologischen Versorgungsforschung: Chancen und Herausforderungen</w:t>
      </w:r>
    </w:p>
    <w:p>
      <w:r>
        <w:rPr>
          <w:i/>
          <w:color w:val="666666"/>
          <w:sz w:val="18"/>
        </w:rPr>
        <w:t>Kästner A et al.  ·  Gesundheitswesen  ·  15.09.2026  ·  PMID 42743977</w:t>
      </w:r>
    </w:p>
    <w:p>
      <w:r>
        <w:t>Qualitative Analyse praktischer Erfahrungen mit Krebsregisterdaten und Abrechnungsdaten von Krankenkassen für Versorgungsforschung am Beispiel eines Innovationsfonds-Projekts.</w:t>
      </w:r>
    </w:p>
    <w:p>
      <w:r>
        <w:rPr>
          <w:b/>
        </w:rPr>
        <w:t xml:space="preserve">Ergebnis: </w:t>
      </w:r>
      <w:r>
        <w:t>Verlinkung von Krebsregistern und Abrechnungsdaten ermöglicht umfassende Analysen von Langzeitoutcomes und Versorgungsstrukturen, erfordert jedoch zeitintensive Abstimmungs- und Genehmigungsprozesse sowie spezialisierte methodische Expertise.</w:t>
      </w:r>
    </w:p>
    <w:p>
      <w:r>
        <w:rPr>
          <w:b/>
          <w:sz w:val="19"/>
        </w:rPr>
        <w:t xml:space="preserve">Übertragbarkeit: </w:t>
      </w:r>
      <w:r>
        <w:rPr>
          <w:sz w:val="19"/>
        </w:rPr>
        <w:t>Deutsches Gesundheitssystem, Krebsregister nach §65c SGB V und gesetzliche Krankenkassen</w:t>
      </w:r>
    </w:p>
    <w:p>
      <w:r>
        <w:rPr>
          <w:color w:val="5A7D3A"/>
          <w:sz w:val="18"/>
        </w:rPr>
        <w:t>https://pubmed.ncbi.nlm.nih.gov/42743977/</w:t>
      </w:r>
    </w:p>
    <w:p>
      <w:pPr>
        <w:pStyle w:val="Heading2"/>
      </w:pPr>
      <w:r>
        <w:t>Präferenzen für dezentrale ophthalmologische Kliniken: Diskrete-Wahl-Experiment im UK</w:t>
      </w:r>
    </w:p>
    <w:p>
      <w:r>
        <w:rPr>
          <w:i/>
          <w:color w:val="666666"/>
          <w:sz w:val="18"/>
        </w:rPr>
        <w:t>Ndwandwe S et al.  ·  PLoS One  ·  15.09.2026  ·  PMID 42743352</w:t>
      </w:r>
    </w:p>
    <w:p>
      <w:r>
        <w:t>Diskrete-Wahl-Experiment mit 389 Befragten (Patienten, Fachkräfte, Öffentlichkeit) zu Präferenzen für Merkmale einer techniker-geleiteten asynchronen Augenklinik zur Überwachung chronischer Augenerkrankungen.</w:t>
      </w:r>
    </w:p>
    <w:p>
      <w:r>
        <w:rPr>
          <w:b/>
        </w:rPr>
        <w:t xml:space="preserve">Ergebnis: </w:t>
      </w:r>
      <w:r>
        <w:t>Wer einen Techniker statt Kliniker sah und Ergebnisse per Post erhielt, benötigte Reduktion der Terminverzögerung um 6,27 Monate (95% KI 4,52–8,03) oder Fahrtzeit um 153 Minuten (95% KI 88–219); techniker-geleitete Modelle könnten kliniker-geleitete Services ergänzen, wenn sie Verzögerungen verkürzen.</w:t>
      </w:r>
    </w:p>
    <w:p>
      <w:r>
        <w:rPr>
          <w:b/>
          <w:sz w:val="19"/>
        </w:rPr>
        <w:t xml:space="preserve">Übertragbarkeit: </w:t>
      </w:r>
      <w:r>
        <w:rPr>
          <w:sz w:val="19"/>
        </w:rPr>
        <w:t>UK NHS-System, teilweise übertragbar auf dezentrale Versorgungsmodelle in Deutschland</w:t>
      </w:r>
    </w:p>
    <w:p>
      <w:r>
        <w:rPr>
          <w:color w:val="5A7D3A"/>
          <w:sz w:val="18"/>
        </w:rPr>
        <w:t>https://pubmed.ncbi.nlm.nih.gov/42743352/</w:t>
      </w:r>
    </w:p>
    <w:p>
      <w:pPr>
        <w:pStyle w:val="Heading2"/>
      </w:pPr>
      <w:r>
        <w:t>Psychische Belastung von Gesundheitsfachkräften in der COVID-19-Pandemie</w:t>
      </w:r>
    </w:p>
    <w:p>
      <w:r>
        <w:rPr>
          <w:i/>
          <w:color w:val="666666"/>
          <w:sz w:val="18"/>
        </w:rPr>
        <w:t>Peters C et al.  ·  Front Public Health  ·  31.08.2026  ·  PMID 42741285</w:t>
      </w:r>
    </w:p>
    <w:p>
      <w:r>
        <w:t>Querschnittstudie zu Arbeitsbedingungen und psychischer Gesundheit von 576 Beschäftigten in deutschen Gesundheits- und Sozialeinrichtungen während COVID-19.</w:t>
      </w:r>
    </w:p>
    <w:p>
      <w:r>
        <w:rPr>
          <w:b/>
        </w:rPr>
        <w:t xml:space="preserve">Ergebnis: </w:t>
      </w:r>
      <w:r>
        <w:t>59% waren Gesundheitsfachkräfte; diese berichteten schlechtere Arbeitsfähigkeit (6,9 vs. 7,3), höhere emotionale Belastung und depressive Symptome; ca. ein Fünftel zeigte moderate bis schwere psychische Belastung.</w:t>
      </w:r>
    </w:p>
    <w:p>
      <w:r>
        <w:rPr>
          <w:b/>
          <w:sz w:val="19"/>
        </w:rPr>
        <w:t xml:space="preserve">Übertragbarkeit: </w:t>
      </w:r>
      <w:r>
        <w:rPr>
          <w:sz w:val="19"/>
        </w:rPr>
        <w:t>Deutsche Routinedaten, Studie in Deutschland durchgeführt</w:t>
      </w:r>
    </w:p>
    <w:p>
      <w:r>
        <w:rPr>
          <w:color w:val="5A7D3A"/>
          <w:sz w:val="18"/>
        </w:rPr>
        <w:t>https://pubmed.ncbi.nlm.nih.gov/42741285/</w:t>
      </w:r>
    </w:p>
    <w:p>
      <w:pPr>
        <w:pStyle w:val="Heading2"/>
      </w:pPr>
      <w:r>
        <w:t>Zugang zur elektronischen Patientenakte über Krankenversicherer-Apps in Deutschland</w:t>
      </w:r>
    </w:p>
    <w:p>
      <w:r>
        <w:rPr>
          <w:i/>
          <w:color w:val="666666"/>
          <w:sz w:val="18"/>
        </w:rPr>
        <w:t>May S et al.  ·  JMIR Mhealth Uhealth  ·  14.09.2026  ·  PMID 42735900</w:t>
      </w:r>
    </w:p>
    <w:p>
      <w:r>
        <w:t>Qualitative Interviewstudie mit 23 Personen zu Nutzererfahrungen beim Einrichten und Authentifizieren des Zugangs zur ePA durch Versicherer-Apps.</w:t>
      </w:r>
    </w:p>
    <w:p>
      <w:r>
        <w:rPr>
          <w:b/>
        </w:rPr>
        <w:t xml:space="preserve">Ergebnis: </w:t>
      </w:r>
      <w:r>
        <w:t>Zugang besteht nicht aus einem einzelnen Schritt, sondern aus fünf interdependenten Phasen (Orientierung, technischer Zugang, Verifizierung, Unterbrechungen, initiale Nutzung); Barrieren akkumulieren sich über Phasen hinweg und führen zu wiederholten Versuchen.</w:t>
      </w:r>
    </w:p>
    <w:p>
      <w:r>
        <w:rPr>
          <w:b/>
          <w:sz w:val="19"/>
        </w:rPr>
        <w:t xml:space="preserve">Übertragbarkeit: </w:t>
      </w:r>
      <w:r>
        <w:rPr>
          <w:sz w:val="19"/>
        </w:rPr>
        <w:t>Deutsche Routinedaten und ePA-Implementierung, direkt für deutsches System anwendbar</w:t>
      </w:r>
    </w:p>
    <w:p>
      <w:r>
        <w:rPr>
          <w:color w:val="5A7D3A"/>
          <w:sz w:val="18"/>
        </w:rPr>
        <w:t>https://pubmed.ncbi.nlm.nih.gov/42735900/</w:t>
      </w:r>
    </w:p>
    <w:p>
      <w:pPr>
        <w:pStyle w:val="Heading1"/>
      </w:pPr>
      <w:r>
        <w:t>Aufgenommen am 15.09.2026</w:t>
      </w:r>
    </w:p>
    <w:p>
      <w:pPr>
        <w:pStyle w:val="Heading2"/>
      </w:pPr>
      <w:r>
        <w:t>Design-Richtlinien für Online-Gesundheitsforen</w:t>
      </w:r>
    </w:p>
    <w:p>
      <w:r>
        <w:rPr>
          <w:i/>
          <w:color w:val="666666"/>
          <w:sz w:val="18"/>
        </w:rPr>
        <w:t>Marshall P et al.  ·  J Med Internet Res  ·  14.09.2026  ·  PMID 42735377</w:t>
      </w:r>
    </w:p>
    <w:p>
      <w:r>
        <w:t>Qualitative Studie mit 54 Interviews und Workshops zur Entwicklung evidenzgestützter Designrichtlinien für sichere Online-Gesundheitsforen basierend auf Selbstbestimmungstheorie.</w:t>
      </w:r>
    </w:p>
    <w:p>
      <w:r>
        <w:rPr>
          <w:b/>
        </w:rPr>
        <w:t xml:space="preserve">Ergebnis: </w:t>
      </w:r>
      <w:r>
        <w:t>Vier übergeordnete Designprinzipien identifiziert (Autonomie, Kompetenz, Zugehörigkeit, Sicherheit) mit pragmatischen Umsetzungsstrategien; Ergebnisse zeigen gemischte Nutzererfahrungen und Bedarf für nutzerzentrierte Weiterentwicklung.</w:t>
      </w:r>
    </w:p>
    <w:p>
      <w:r>
        <w:rPr>
          <w:b/>
          <w:sz w:val="19"/>
        </w:rPr>
        <w:t xml:space="preserve">Übertragbarkeit: </w:t>
      </w:r>
      <w:r>
        <w:rPr>
          <w:sz w:val="19"/>
        </w:rPr>
        <w:t>UK-Studie, aber Fragestellung zu Prozessqualität und Nutzerperspektive systemunabhängig übertragbar.</w:t>
      </w:r>
    </w:p>
    <w:p>
      <w:r>
        <w:rPr>
          <w:color w:val="5A7D3A"/>
          <w:sz w:val="18"/>
        </w:rPr>
        <w:t>https://pubmed.ncbi.nlm.nih.gov/42735377/</w:t>
      </w:r>
    </w:p>
    <w:p>
      <w:pPr>
        <w:pStyle w:val="Heading2"/>
      </w:pPr>
      <w:r>
        <w:t>Hepatitis-B-Disparitäten bei Migranten in Dänemark</w:t>
      </w:r>
    </w:p>
    <w:p>
      <w:r>
        <w:rPr>
          <w:i/>
          <w:color w:val="666666"/>
          <w:sz w:val="18"/>
        </w:rPr>
        <w:t>Deal A et al.  ·  Eur J Public Health  ·  04.08.2026  ·  PMID 42734651</w:t>
      </w:r>
    </w:p>
    <w:p>
      <w:r>
        <w:t>Matched-Cohort-Studie mit 179.110 Migranten und 1.049.345 Dänen über 23 Jahre zur Erfassung von HBV-Diagnoseraten und Verzögerungen.</w:t>
      </w:r>
    </w:p>
    <w:p>
      <w:r>
        <w:rPr>
          <w:b/>
        </w:rPr>
        <w:t xml:space="preserve">Ergebnis: </w:t>
      </w:r>
      <w:r>
        <w:t>Migranten zeigten 30,6-fach erhöhtes HBV-Diagnosrisiko (95%-KI: 26,7–35,2); durchschnittliche Verzögerung von Ankunft bis Diagnose 5,4 Jahre; Unterversorgung bei Personen außerhalb routinemäßiger Screening-Prozesse.</w:t>
      </w:r>
    </w:p>
    <w:p>
      <w:r>
        <w:rPr>
          <w:b/>
          <w:sz w:val="19"/>
        </w:rPr>
        <w:t xml:space="preserve">Übertragbarkeit: </w:t>
      </w:r>
      <w:r>
        <w:rPr>
          <w:sz w:val="19"/>
        </w:rPr>
        <w:t>Dänemark, Sozialversicherungssystem vergleichbar mit Deutschland, aussagekräftig für Migrantenpopulationen.</w:t>
      </w:r>
    </w:p>
    <w:p>
      <w:r>
        <w:rPr>
          <w:color w:val="5A7D3A"/>
          <w:sz w:val="18"/>
        </w:rPr>
        <w:t>https://pubmed.ncbi.nlm.nih.gov/42734651/</w:t>
      </w:r>
    </w:p>
    <w:p>
      <w:pPr>
        <w:pStyle w:val="Heading2"/>
      </w:pPr>
      <w:r>
        <w:t>Indirekte Effektivitätsvergleich Tafamidis vs. Acoramidis bei Transthyretin-Kardiomyopathie</w:t>
      </w:r>
    </w:p>
    <w:p>
      <w:r>
        <w:rPr>
          <w:i/>
          <w:color w:val="666666"/>
          <w:sz w:val="18"/>
        </w:rPr>
        <w:t>Debonnaire P et al.  ·  J Comp Eff Res  ·  14.09.2026  ·  PMID 42734113</w:t>
      </w:r>
    </w:p>
    <w:p>
      <w:r>
        <w:t>Trial-Emulation-Studie mit indirektem Vergleich zweier Transthyretin-Stabilisatoren basierend auf Registerdaten und klinischen Trials.</w:t>
      </w:r>
    </w:p>
    <w:p>
      <w:r>
        <w:rPr>
          <w:b/>
        </w:rPr>
        <w:t xml:space="preserve">Ergebnis: </w:t>
      </w:r>
      <w:r>
        <w:t>Nach Kalibrierung zeigte Acoramidis eine 42-Monats-Mortalitätsrate von 24,0% versus kalibrierte 31,2% für Tafamidis; relatives Mortalitätsrisiko 0,78 (95%-KI: 0,60–0,99), was auf 22% niedrigeres Sterblichkeitsrisiko deutet.</w:t>
      </w:r>
    </w:p>
    <w:p>
      <w:r>
        <w:rPr>
          <w:b/>
          <w:sz w:val="19"/>
        </w:rPr>
        <w:t xml:space="preserve">Übertragbarkeit: </w:t>
      </w:r>
      <w:r>
        <w:rPr>
          <w:sz w:val="19"/>
        </w:rPr>
        <w:t>Gering: US-Registerdaten; aber Fragestellung zur Vergleichbarkeit von Wirkstoffen systemunabhängig relevant.</w:t>
      </w:r>
    </w:p>
    <w:p>
      <w:r>
        <w:rPr>
          <w:color w:val="5A7D3A"/>
          <w:sz w:val="18"/>
        </w:rPr>
        <w:t>https://pubmed.ncbi.nlm.nih.gov/42734113/</w:t>
      </w:r>
    </w:p>
    <w:p>
      <w:pPr>
        <w:pStyle w:val="Heading2"/>
      </w:pPr>
      <w:r>
        <w:t>SESAME-Checkliste für Adverse-Event- und Fehlerberichterstattung</w:t>
      </w:r>
    </w:p>
    <w:p>
      <w:r>
        <w:rPr>
          <w:i/>
          <w:color w:val="666666"/>
          <w:sz w:val="18"/>
        </w:rPr>
        <w:t>Griffey RT et al.  ·  J Patient Saf  ·  11.09.2026  ·  PMID 42725452</w:t>
      </w:r>
    </w:p>
    <w:p>
      <w:r>
        <w:t>Methodisches Konsensuspapier zur Entwicklung einer 44-Item-Checkliste (SESAME) zur Standardisierung der Berichterstattung in Studien zu unerwünschten Ereignissen und medizinischen Fehlern.</w:t>
      </w:r>
    </w:p>
    <w:p>
      <w:r>
        <w:rPr>
          <w:b/>
        </w:rPr>
        <w:t xml:space="preserve">Ergebnis: </w:t>
      </w:r>
      <w:r>
        <w:t>SESAME-Checkliste mit 44 Items deckt alle kritischen Reporting-Domänen ab; Ziel ist Verbesserung der Vollständigkeit, Vergleichbarkeit und Reproduzierbarkeit; Entwicklung nach EQUATOR-Standards mit internationalem Expertenkonsens.</w:t>
      </w:r>
    </w:p>
    <w:p>
      <w:r>
        <w:rPr>
          <w:b/>
          <w:sz w:val="19"/>
        </w:rPr>
        <w:t xml:space="preserve">Übertragbarkeit: </w:t>
      </w:r>
      <w:r>
        <w:rPr>
          <w:sz w:val="19"/>
        </w:rPr>
        <w:t>Internationales Konsensdokument zur Studienqualität, systemunabhängig für Patientensicherheitsforschung relevant.</w:t>
      </w:r>
    </w:p>
    <w:p>
      <w:r>
        <w:rPr>
          <w:color w:val="5A7D3A"/>
          <w:sz w:val="18"/>
        </w:rPr>
        <w:t>https://pubmed.ncbi.nlm.nih.gov/42725452/</w:t>
      </w:r>
    </w:p>
    <w:p>
      <w:pPr>
        <w:pStyle w:val="Heading2"/>
      </w:pPr>
      <w:r>
        <w:t>Koordinierter Ansatz zur integrierten Sturz- und Frakturprävention</w:t>
      </w:r>
    </w:p>
    <w:p>
      <w:r>
        <w:rPr>
          <w:i/>
          <w:color w:val="666666"/>
          <w:sz w:val="18"/>
        </w:rPr>
        <w:t>van der Velde N et al.  ·  Eur Geriatr Med  ·  10.09.2026  ·  PMID 42720850</w:t>
      </w:r>
    </w:p>
    <w:p>
      <w:r>
        <w:t>Position Paper von sieben internationalen Fachgesellschaften zu evidenzgestützter integrierter Versorgung für Sturz- und Frakturprävention bei älteren Menschen.</w:t>
      </w:r>
    </w:p>
    <w:p>
      <w:r>
        <w:rPr>
          <w:b/>
        </w:rPr>
        <w:t xml:space="preserve">Ergebnis: </w:t>
      </w:r>
      <w:r>
        <w:t>Kernerkenntnis: Fragmentierte Versorgungsstrukturen erfordern integrierte Fall- und Frakturprävention als Public-Health-Priorität; Empfehlungen für interdisziplinäre Zusammenarbeit, Trainings und systemische Ressourcenallokation.</w:t>
      </w:r>
    </w:p>
    <w:p>
      <w:r>
        <w:rPr>
          <w:b/>
          <w:sz w:val="19"/>
        </w:rPr>
        <w:t xml:space="preserve">Übertragbarkeit: </w:t>
      </w:r>
      <w:r>
        <w:rPr>
          <w:sz w:val="19"/>
        </w:rPr>
        <w:t>Europäischer Konsens mit Fokus auf Versorgungsprozesse, Qualität und Implementierung in Regelversorgung.</w:t>
      </w:r>
    </w:p>
    <w:p>
      <w:r>
        <w:rPr>
          <w:color w:val="5A7D3A"/>
          <w:sz w:val="18"/>
        </w:rPr>
        <w:t>https://pubmed.ncbi.nlm.nih.gov/42720850/</w:t>
      </w:r>
    </w:p>
    <w:p>
      <w:pPr>
        <w:pStyle w:val="Heading2"/>
      </w:pPr>
      <w:r>
        <w:t>Tabakrauchexposition und Gesundheitsdienstleistungen bei jungen Erwachsenen</w:t>
      </w:r>
    </w:p>
    <w:p>
      <w:r>
        <w:rPr>
          <w:i/>
          <w:color w:val="666666"/>
          <w:sz w:val="18"/>
        </w:rPr>
        <w:t>Akhtar S et al.  ·  BMC Health Serv Res  ·  04.09.2026  ·  PMID 42717348</w:t>
      </w:r>
    </w:p>
    <w:p>
      <w:r>
        <w:t>Querschnittsstudie mit 1.323 Studierenden zur Erfassung von Tabakrauchexposition, Symptomen und Inanspruchnahme von Gesundheitsdienstleistungen.</w:t>
      </w:r>
    </w:p>
    <w:p>
      <w:r>
        <w:rPr>
          <w:b/>
        </w:rPr>
        <w:t xml:space="preserve">Ergebnis: </w:t>
      </w:r>
      <w:r>
        <w:t>Exposition gegenüber Tabakrauch 55,9% (740/1.323); Husten (aOR 2,10; 95%-KI 1,66–2,64), Dyspnoe (aOR 1,30; 95%-KI 1,01–1,67) und Asthma (aOR 1,95; 95%-KI 1,43–2,65) signifikant mit Inanspruchnahme assoziiert.</w:t>
      </w:r>
    </w:p>
    <w:p>
      <w:r>
        <w:rPr>
          <w:b/>
          <w:sz w:val="19"/>
        </w:rPr>
        <w:t xml:space="preserve">Übertragbarkeit: </w:t>
      </w:r>
      <w:r>
        <w:rPr>
          <w:sz w:val="19"/>
        </w:rPr>
        <w:t>Kuwait, aber Fragestellung zu Symptomen, Morbidität und Versorgungsnutzung epidemiologisch aussagekräftig.</w:t>
      </w:r>
    </w:p>
    <w:p>
      <w:r>
        <w:rPr>
          <w:color w:val="5A7D3A"/>
          <w:sz w:val="18"/>
        </w:rPr>
        <w:t>https://pubmed.ncbi.nlm.nih.gov/42717348/</w:t>
      </w:r>
    </w:p>
    <w:p>
      <w:pPr>
        <w:pStyle w:val="Heading1"/>
      </w:pPr>
      <w:r>
        <w:t>Aufgenommen am 14.09.2026</w:t>
      </w:r>
    </w:p>
    <w:p>
      <w:pPr>
        <w:pStyle w:val="Heading2"/>
      </w:pPr>
      <w:r>
        <w:t>Kliniker- und Informatiker-Perspektiven auf Harm-Risk-Vorhersage-Tools</w:t>
      </w:r>
    </w:p>
    <w:p>
      <w:r>
        <w:rPr>
          <w:i/>
          <w:color w:val="666666"/>
          <w:sz w:val="18"/>
        </w:rPr>
        <w:t>Lam JYJ et al.  ·  J Eval Clin Pract  ·  Sept. 2026  ·  PMID 42732558</w:t>
      </w:r>
    </w:p>
    <w:p>
      <w:r>
        <w:t>Qualitative Studie mit 22 Interviews (6 Ärzte, 11 Pharmazeuten, 5 Informatiker) zur Implementierung digitaler Risk-Prediction-Tools für Medikamentenschaden in australischen Krankenhäusern.</w:t>
      </w:r>
    </w:p>
    <w:p>
      <w:r>
        <w:rPr>
          <w:b/>
        </w:rPr>
        <w:t xml:space="preserve">Ergebnis: </w:t>
      </w:r>
      <w:r>
        <w:t>Fünf Themen mit Einfluss auf Adoption: Vertrauen der Kliniker, wahrgenommener Nutzen, organisatorische Bereitschaft, automatisierungsfähigkeit und Workflow-Kompatibilität. Barrieren: schlechte Systemintegration, Unsicherheit über Tool-Zuverlässigkeit; Enabler: umfassende Feedback-Mechanismen, Ressourcenplanung.</w:t>
      </w:r>
    </w:p>
    <w:p>
      <w:r>
        <w:rPr>
          <w:b/>
          <w:sz w:val="19"/>
        </w:rPr>
        <w:t xml:space="preserve">Übertragbarkeit: </w:t>
      </w:r>
      <w:r>
        <w:rPr>
          <w:sz w:val="19"/>
        </w:rPr>
        <w:t>Australien, aber klinische Perspektiven auf digitale Sicherheitstools übertragbar</w:t>
      </w:r>
    </w:p>
    <w:p>
      <w:r>
        <w:rPr>
          <w:color w:val="5A7D3A"/>
          <w:sz w:val="18"/>
        </w:rPr>
        <w:t>https://pubmed.ncbi.nlm.nih.gov/42732558/</w:t>
      </w:r>
    </w:p>
    <w:p>
      <w:pPr>
        <w:pStyle w:val="Heading2"/>
      </w:pPr>
      <w:r>
        <w:t>ADHD-Medikation und Selbstverletzungsrisiko: multinational</w:t>
      </w:r>
    </w:p>
    <w:p>
      <w:r>
        <w:rPr>
          <w:i/>
          <w:color w:val="666666"/>
          <w:sz w:val="18"/>
        </w:rPr>
        <w:t>Chan AYL et al.  ·  BMJ Ment Health  ·  12.09.2026  ·  PMID 42731881</w:t>
      </w:r>
    </w:p>
    <w:p>
      <w:r>
        <w:t>Multinational selbstkontrollierte Fallserie zur Assoziation zwischen ADHD-Medikation und Selbstverletzungen anhand von fünf Ländern-Datenbanken.</w:t>
      </w:r>
    </w:p>
    <w:p>
      <w:r>
        <w:rPr>
          <w:b/>
        </w:rPr>
        <w:t xml:space="preserve">Ergebnis: </w:t>
      </w:r>
      <w:r>
        <w:t>Höchstes Risiko 90 Tage vor Therapiestart (IRR 2,58), dann während ersten 90 Tage (IRR 1,78) und später (IRR 1,27). Muster konsistent über alle Datenbanken – erhöhtes Risiko vor Behandlung deutet auf unbehandelte ADHD-Symptome, nicht auf Medikation hin.</w:t>
      </w:r>
    </w:p>
    <w:p>
      <w:r>
        <w:rPr>
          <w:b/>
          <w:sz w:val="19"/>
        </w:rPr>
        <w:t xml:space="preserve">Übertragbarkeit: </w:t>
      </w:r>
      <w:r>
        <w:rPr>
          <w:sz w:val="19"/>
        </w:rPr>
        <w:t>Multinational, UK, Neuseeland, Taiwan eingeschlossen</w:t>
      </w:r>
    </w:p>
    <w:p>
      <w:r>
        <w:rPr>
          <w:color w:val="5A7D3A"/>
          <w:sz w:val="18"/>
        </w:rPr>
        <w:t>https://pubmed.ncbi.nlm.nih.gov/42731881/</w:t>
      </w:r>
    </w:p>
    <w:p>
      <w:pPr>
        <w:pStyle w:val="Heading2"/>
      </w:pPr>
      <w:r>
        <w:t>Online-Infektionstests: Systemische Vorteile und Barrieren</w:t>
      </w:r>
    </w:p>
    <w:p>
      <w:r>
        <w:rPr>
          <w:i/>
          <w:color w:val="666666"/>
          <w:sz w:val="18"/>
        </w:rPr>
        <w:t>Grace D et al.  ·  BMC Health Serv Res  ·  05.09.2026  ·  PMID 42728588</w:t>
      </w:r>
    </w:p>
    <w:p>
      <w:r>
        <w:t>Qualitative Interviews mit 41 Fachleuten zu Implementierung eines Online-Tests für sexuell übertragbare Infektionen (GetCheckedOnline) in Ontario.</w:t>
      </w:r>
    </w:p>
    <w:p>
      <w:r>
        <w:rPr>
          <w:b/>
        </w:rPr>
        <w:t xml:space="preserve">Ergebnis: </w:t>
      </w:r>
      <w:r>
        <w:t>Fünf zentrale Spannungsfelder identifiziert: Zugang, Datenschutz, Koordination, Agency und Systemauswirkungen. Teilnehmende erkannten Vorteile (besserer Zugang), berichteten aber auch unerwünschte Folgen (Koordinationsverluste zwischen Sektoren, Datenschutzbedenken).</w:t>
      </w:r>
    </w:p>
    <w:p>
      <w:r>
        <w:rPr>
          <w:b/>
          <w:sz w:val="19"/>
        </w:rPr>
        <w:t xml:space="preserve">Übertragbarkeit: </w:t>
      </w:r>
      <w:r>
        <w:rPr>
          <w:sz w:val="19"/>
        </w:rPr>
        <w:t>Kanada, aber Fragestellung zu digitalen Testmodellen systemübergreifend relevant</w:t>
      </w:r>
    </w:p>
    <w:p>
      <w:r>
        <w:rPr>
          <w:color w:val="5A7D3A"/>
          <w:sz w:val="18"/>
        </w:rPr>
        <w:t>https://pubmed.ncbi.nlm.nih.gov/42728588/</w:t>
      </w:r>
    </w:p>
    <w:p>
      <w:pPr>
        <w:pStyle w:val="Heading2"/>
      </w:pPr>
      <w:r>
        <w:t>Notfall- und Katastrophenbereitschaft in Krankenhäusern Äthiopiens</w:t>
      </w:r>
    </w:p>
    <w:p>
      <w:r>
        <w:rPr>
          <w:i/>
          <w:color w:val="666666"/>
          <w:sz w:val="18"/>
        </w:rPr>
        <w:t>Farah B et al.  ·  Res Health Serv Reg  ·  10.09.2026  ·  PMID 42720815</w:t>
      </w:r>
    </w:p>
    <w:p>
      <w:r>
        <w:t>Querschnittsstudie zur Notfall- und Katastrophenbereitschaft in vier öffentlichen Zonal-Krankenhäusern in der Somali-Region mit WHO-Hospital-Safety-Index Modul 4.</w:t>
      </w:r>
    </w:p>
    <w:p>
      <w:r>
        <w:rPr>
          <w:b/>
        </w:rPr>
        <w:t xml:space="preserve">Ergebnis: </w:t>
      </w:r>
      <w:r>
        <w:t>Mittlere Bereitschaftswerte von 45%; tiefste Werte für Notfall- und Katastrophenreaktion/Wiederherstellung (41,3%). Defizite in Reaktionsplanung, logistischer Bereitschaft, Finanzadministration und Kommunikationssystemen; fehlende externe Stakeholder-Koordination.</w:t>
      </w:r>
    </w:p>
    <w:p>
      <w:r>
        <w:rPr>
          <w:b/>
          <w:sz w:val="19"/>
        </w:rPr>
        <w:t xml:space="preserve">Übertragbarkeit: </w:t>
      </w:r>
      <w:r>
        <w:rPr>
          <w:sz w:val="19"/>
        </w:rPr>
        <w:t>Äthiopien (LMIC), aber HTA zur Systemreife allgemein relevant</w:t>
      </w:r>
    </w:p>
    <w:p>
      <w:r>
        <w:rPr>
          <w:color w:val="5A7D3A"/>
          <w:sz w:val="18"/>
        </w:rPr>
        <w:t>https://pubmed.ncbi.nlm.nih.gov/42720815/</w:t>
      </w:r>
    </w:p>
    <w:p>
      <w:pPr>
        <w:pStyle w:val="Heading2"/>
      </w:pPr>
      <w:r>
        <w:t>Risk Adjustment in Medicare Advantage mit Encounter-Daten</w:t>
      </w:r>
    </w:p>
    <w:p>
      <w:r>
        <w:rPr>
          <w:i/>
          <w:color w:val="666666"/>
          <w:sz w:val="18"/>
        </w:rPr>
        <w:t>Carlin CS et al.  ·  Health Serv Res  ·  Okt. 2026  ·  PMID 42720268</w:t>
      </w:r>
    </w:p>
    <w:p>
      <w:r>
        <w:t>Vergleichende Re-Schätzung des CMS-Hierarchical-Condition-Category-Modells mit Traditional-Medicare- vs. Medicare-Advantage-Claims 2016–2022.</w:t>
      </w:r>
    </w:p>
    <w:p>
      <w:r>
        <w:rPr>
          <w:b/>
        </w:rPr>
        <w:t xml:space="preserve">Ergebnis: </w:t>
      </w:r>
      <w:r>
        <w:t>MA-Daten zeigen 8,9% niedrigere durchschnittliche HCC-Scores als TM-Daten; Unterschiede variieren über Scoreverteilung. Keine neuen Anreizverzerrungen zu Lasten von Minoritäten oder ländlichen Versicherten.</w:t>
      </w:r>
    </w:p>
    <w:p>
      <w:r>
        <w:rPr>
          <w:b/>
          <w:sz w:val="19"/>
        </w:rPr>
        <w:t xml:space="preserve">Übertragbarkeit: </w:t>
      </w:r>
      <w:r>
        <w:rPr>
          <w:sz w:val="19"/>
        </w:rPr>
        <w:t>US-System (MA/Medicare), aber relevante Methodologie für Risk-Adjustment</w:t>
      </w:r>
    </w:p>
    <w:p>
      <w:r>
        <w:rPr>
          <w:color w:val="5A7D3A"/>
          <w:sz w:val="18"/>
        </w:rPr>
        <w:t>https://pubmed.ncbi.nlm.nih.gov/42720268/</w:t>
      </w:r>
    </w:p>
    <w:p>
      <w:pPr>
        <w:pStyle w:val="Heading2"/>
      </w:pPr>
      <w:r>
        <w:t>MISSION4Sax: Sektorübergreifende onkologische Versorgungsmodelle</w:t>
      </w:r>
    </w:p>
    <w:p>
      <w:r>
        <w:rPr>
          <w:i/>
          <w:color w:val="666666"/>
          <w:sz w:val="18"/>
        </w:rPr>
        <w:t>Richter C et al.  ·  J Cancer Res Clin Oncol  ·  02.09.2026  ·  PMID 42693346</w:t>
      </w:r>
    </w:p>
    <w:p>
      <w:r>
        <w:t>Studienprotokoll eines multizentrischen Pilotstudien zur Machbarkeit einer integrierten onkologischen Versorgung über Regionaltumorbrett zwischen Maximalversorgung und Landpraxis mit standardisierten Patientenpfaden.</w:t>
      </w:r>
    </w:p>
    <w:p>
      <w:r>
        <w:rPr>
          <w:b/>
        </w:rPr>
        <w:t xml:space="preserve">Ergebnis: </w:t>
      </w:r>
      <w:r>
        <w:t>Geplante Bewertung von Machbarkeit, Akzeptanz, Implementierung und Datenqualität (keine Effektivitätsfrage); Fokus auf Wartezeiten, Adhärenz, klinische und Patient-Reported Outcomes. Routinedaten der Krankenkasse als externe Referenz geplant, keine Individualverlinkung.</w:t>
      </w:r>
    </w:p>
    <w:p>
      <w:r>
        <w:rPr>
          <w:b/>
          <w:sz w:val="19"/>
        </w:rPr>
        <w:t xml:space="preserve">Übertragbarkeit: </w:t>
      </w:r>
      <w:r>
        <w:rPr>
          <w:sz w:val="19"/>
        </w:rPr>
        <w:t>Deutschland (Sachsen), Versorgungsforschungs-Design direkt übertragbar</w:t>
      </w:r>
    </w:p>
    <w:p>
      <w:r>
        <w:rPr>
          <w:color w:val="5A7D3A"/>
          <w:sz w:val="18"/>
        </w:rPr>
        <w:t>https://pubmed.ncbi.nlm.nih.gov/42693346/</w:t>
      </w:r>
    </w:p>
    <w:p>
      <w:pPr>
        <w:pStyle w:val="Heading1"/>
      </w:pPr>
      <w:r>
        <w:t>Aufgenommen am 13.09.2026</w:t>
      </w:r>
    </w:p>
    <w:p>
      <w:pPr>
        <w:pStyle w:val="Heading2"/>
      </w:pPr>
      <w:r>
        <w:t>Direkt-OP-Teledermatologie für Hautkrebs: Sicherheit und Effizienz</w:t>
      </w:r>
    </w:p>
    <w:p>
      <w:r>
        <w:rPr>
          <w:i/>
          <w:color w:val="666666"/>
          <w:sz w:val="18"/>
        </w:rPr>
        <w:t>Nour S et al.  ·  BMJ Open Qual  ·  11.09.2026  ·  PMID 42731848</w:t>
      </w:r>
    </w:p>
    <w:p>
      <w:r>
        <w:t>Evaluierung eines Direct-to-Surgery-Teledermatologie-Pfads für verdächtige Hautkrebs-Referrals in einem großen NHS-Hautkrebs-Service mit 18.587 Patienten.</w:t>
      </w:r>
    </w:p>
    <w:p>
      <w:r>
        <w:rPr>
          <w:b/>
        </w:rPr>
        <w:t xml:space="preserve">Ergebnis: </w:t>
      </w:r>
      <w:r>
        <w:t>Von 5.099 eingeschlossenen Patienten wurde 99,86% die 28-Tage-Faster-Diagnosis-Standard erreicht (Ziel: 75%); 75,5% der Melanom-/Plattenepithel-Karzinom-Patienten begannen Behandlung innerhalb der 62-Tage-Zielmarke. Histologie identifizierte 35,5% maligne und 15,5% prämaligne Pathologie; Diagnostische Konkordanz 41,5% (Cohen's κ=0,34). Komplikationsrate 1,3%. Der Pfad demonstriert sichere hochvolumige Hautkrebs-Chirurgie mit exzellenter Compliance zur Faster Diagnosis Standard.</w:t>
      </w:r>
    </w:p>
    <w:p>
      <w:r>
        <w:rPr>
          <w:b/>
          <w:sz w:val="19"/>
        </w:rPr>
        <w:t xml:space="preserve">Übertragbarkeit: </w:t>
      </w:r>
      <w:r>
        <w:rPr>
          <w:sz w:val="19"/>
        </w:rPr>
        <w:t>UK-NHS-Setting, aber Prozessoptimierung für Versorgung übertragbar</w:t>
      </w:r>
    </w:p>
    <w:p>
      <w:r>
        <w:rPr>
          <w:color w:val="5A7D3A"/>
          <w:sz w:val="18"/>
        </w:rPr>
        <w:t>https://pubmed.ncbi.nlm.nih.gov/42731848/</w:t>
      </w:r>
    </w:p>
    <w:p>
      <w:pPr>
        <w:pStyle w:val="Heading2"/>
      </w:pPr>
      <w:r>
        <w:t>Merkmale von Hausärzten und potenziell unangemessene Medikation bei älteren Patienten</w:t>
      </w:r>
    </w:p>
    <w:p>
      <w:r>
        <w:rPr>
          <w:i/>
          <w:color w:val="666666"/>
          <w:sz w:val="18"/>
        </w:rPr>
        <w:t>Tatsuno Y et al.  ·  Health Aff Sch  ·  28.08.2026  ·  PMID 42730259</w:t>
      </w:r>
    </w:p>
    <w:p>
      <w:r>
        <w:t>Japanische Querschnittsstudie zu Zusammenhängen zwischen Arztmerkmalen (Alter, Patientenvolumen) und der Verschreibung potenziell unangemessener Medikamente (PIMs) bei ≥75-Jährigen.</w:t>
      </w:r>
    </w:p>
    <w:p>
      <w:r>
        <w:rPr>
          <w:b/>
        </w:rPr>
        <w:t xml:space="preserve">Ergebnis: </w:t>
      </w:r>
      <w:r>
        <w:t>Von 184.097 Patienten erhielten 38,2% mindestens eine PIM; zwei Drittel der PIM-Verschreibungen konzentrierten sich auf 20% der Ärzte. Jüngere Ärzte (aOR 1,27; 95%-KI 1,05–1,55), solche mit niedrigerem Volumen älterer Patienten (aOR 1,39; 95%-KI 1,19–1,61) und Ärzte in Ost- oder Mittel-Japan verschrieben häufiger PIMs. Gezielte Interventionen bei Hochverschreibern könnten PIMs effizient reduzieren.</w:t>
      </w:r>
    </w:p>
    <w:p>
      <w:r>
        <w:rPr>
          <w:b/>
          <w:sz w:val="19"/>
        </w:rPr>
        <w:t xml:space="preserve">Übertragbarkeit: </w:t>
      </w:r>
      <w:r>
        <w:rPr>
          <w:sz w:val="19"/>
        </w:rPr>
        <w:t>Japan, aber Fragestellung zur Arztqualität systemunabhängig übertragbar</w:t>
      </w:r>
    </w:p>
    <w:p>
      <w:r>
        <w:rPr>
          <w:color w:val="5A7D3A"/>
          <w:sz w:val="18"/>
        </w:rPr>
        <w:t>https://pubmed.ncbi.nlm.nih.gov/42730259/</w:t>
      </w:r>
    </w:p>
    <w:p>
      <w:pPr>
        <w:pStyle w:val="Heading2"/>
      </w:pPr>
      <w:r>
        <w:t>Integration Flexibles Assertive Community Treatment mit kommunalen Sozialservices</w:t>
      </w:r>
    </w:p>
    <w:p>
      <w:r>
        <w:rPr>
          <w:i/>
          <w:color w:val="666666"/>
          <w:sz w:val="18"/>
        </w:rPr>
        <w:t>Kleijburg A et al.  ·  Int J Integr Care  ·  08.09.2026  ·  PMID 42729928</w:t>
      </w:r>
    </w:p>
    <w:p>
      <w:r>
        <w:t>Qualitative Studie mit 15 Interviews zur Implementierung von FACT+DSS-Teams (Flexible Assertive Community Treatment + District Social Services) in der Niederlande für Patienten mit schwerer psychischer Erkrankung.</w:t>
      </w:r>
    </w:p>
    <w:p>
      <w:r>
        <w:rPr>
          <w:b/>
        </w:rPr>
        <w:t xml:space="preserve">Ergebnis: </w:t>
      </w:r>
      <w:r>
        <w:t>FACT+DSS wurde von Teamkräften als deutlich positiv erlebt und verbesserte Zugangsbarrieren, Kontinuität der Versorgung, Case-Finding und Vernetzungskollaboration. Wichtige Erfolgsfaktoren waren starke Führung, geteilter Besitz, gleichberechtigte Zusammenarbeit und direkte Beziehungen. Barrieren waren unzureichende Ressourcen und fehlende klare Rollenverteilung.</w:t>
      </w:r>
    </w:p>
    <w:p>
      <w:r>
        <w:rPr>
          <w:b/>
          <w:sz w:val="19"/>
        </w:rPr>
        <w:t xml:space="preserve">Übertragbarkeit: </w:t>
      </w:r>
      <w:r>
        <w:rPr>
          <w:sz w:val="19"/>
        </w:rPr>
        <w:t>Niederlande, vergleichbares Sozialversicherungssystem, integrierte Versorgung</w:t>
      </w:r>
    </w:p>
    <w:p>
      <w:r>
        <w:rPr>
          <w:color w:val="5A7D3A"/>
          <w:sz w:val="18"/>
        </w:rPr>
        <w:t>https://pubmed.ncbi.nlm.nih.gov/42729928/</w:t>
      </w:r>
    </w:p>
    <w:p>
      <w:pPr>
        <w:pStyle w:val="Heading2"/>
      </w:pPr>
      <w:r>
        <w:t>Auswirkung Brandon Act auf Suizidversuche im US-Militär</w:t>
      </w:r>
    </w:p>
    <w:p>
      <w:r>
        <w:rPr>
          <w:i/>
          <w:color w:val="666666"/>
          <w:sz w:val="18"/>
        </w:rPr>
        <w:t>Yoon J et al.  ·  Health Serv Res  ·  Okt. 2026  ·  PMID 42728782</w:t>
      </w:r>
    </w:p>
    <w:p>
      <w:r>
        <w:t>Unterbrochene Zeitreihen-Analyse (2018–2024) der Military Health System-Daten zu Effekten des Brandon Acts (Geheime Selbst-Überweisungs-Pathways für psychische Gesundheit) auf Suizidversuche bei Active-Duty-Soldaten.</w:t>
      </w:r>
    </w:p>
    <w:p>
      <w:r>
        <w:rPr>
          <w:b/>
        </w:rPr>
        <w:t xml:space="preserve">Ergebnis: </w:t>
      </w:r>
      <w:r>
        <w:t>Brandon Act im Dezember 2021 assoziiert mit unmittelbare Reduktion von 6,51 pro 100.000 (95%-KI: -10,54, -2,47) und Trendwechsel von -2,25 pro Quartal (95%-KI: -3,81, -0,70). Nach Implementation Mai 2023 weitere Reduktion von 21,19 pro 100.000 (95%-KI: -26,83, -15,55). Über 3 Jahre geschätzt ~3.800 Suizidversuche verhindert. Größte Effekte bei junior Enlisted, Frauen, Army/Marines.</w:t>
      </w:r>
    </w:p>
    <w:p>
      <w:r>
        <w:rPr>
          <w:b/>
          <w:sz w:val="19"/>
        </w:rPr>
        <w:t xml:space="preserve">Übertragbarkeit: </w:t>
      </w:r>
      <w:r>
        <w:rPr>
          <w:sz w:val="19"/>
        </w:rPr>
        <w:t>US-Militärsystem, aber Fragestellung zu Stigma-Reduktion systemunabhängig übertragbar</w:t>
      </w:r>
    </w:p>
    <w:p>
      <w:r>
        <w:rPr>
          <w:color w:val="5A7D3A"/>
          <w:sz w:val="18"/>
        </w:rPr>
        <w:t>https://pubmed.ncbi.nlm.nih.gov/42728782/</w:t>
      </w:r>
    </w:p>
    <w:p>
      <w:pPr>
        <w:pStyle w:val="Heading2"/>
      </w:pPr>
      <w:r>
        <w:t>Subjektive Bedarfserkennung und Inanspruchnahme psychischer Gesundheitsversorgung</w:t>
      </w:r>
    </w:p>
    <w:p>
      <w:r>
        <w:rPr>
          <w:i/>
          <w:color w:val="666666"/>
          <w:sz w:val="18"/>
        </w:rPr>
        <w:t>Reinhold AK et al.  ·  BMC Health Serv Res  ·  10.09.2026  ·  PMID 42728591</w:t>
      </w:r>
    </w:p>
    <w:p>
      <w:r>
        <w:t>Gemischte Methoden-Studie mit 456 Teilnehmern mit depressiven Symptomen (PHQ-9≥5) zur Diskrepanz zwischen objektivem, subjektivem Bedarf und tatsächlicher Inanspruchnahme von psychischer Versorgung.</w:t>
      </w:r>
    </w:p>
    <w:p>
      <w:r>
        <w:rPr>
          <w:b/>
        </w:rPr>
        <w:t xml:space="preserve">Ergebnis: </w:t>
      </w:r>
      <w:r>
        <w:t>Subjektive Bedarfserkennung ist starker Prädiktor für Inanspruchnahme: 38,1% der Negativ-Gescreenten und 45,8% der Positiv-Gescreenten berichteten weniger als "sehr genau" zu Suizid-Gedanken geantwortet zu haben. Qualitative Analyse (n=23) identifizierte eine Sechsteilung-Typologie von subjektivem Bedarf statt binärer Klassifikation.</w:t>
      </w:r>
    </w:p>
    <w:p>
      <w:r>
        <w:rPr>
          <w:b/>
          <w:sz w:val="19"/>
        </w:rPr>
        <w:t xml:space="preserve">Übertragbarkeit: </w:t>
      </w:r>
      <w:r>
        <w:rPr>
          <w:sz w:val="19"/>
        </w:rPr>
        <w:t>Deutsche Routinedaten, populationsbasierte Stichprobe, Hausarzt-nahe Versorgung</w:t>
      </w:r>
    </w:p>
    <w:p>
      <w:r>
        <w:rPr>
          <w:color w:val="5A7D3A"/>
          <w:sz w:val="18"/>
        </w:rPr>
        <w:t>https://pubmed.ncbi.nlm.nih.gov/42728591/</w:t>
      </w:r>
    </w:p>
    <w:p>
      <w:pPr>
        <w:pStyle w:val="Heading2"/>
      </w:pPr>
      <w:r>
        <w:t>Vial-Sharing-Strategie reduziert Arzneimittelabfall bei CT-Kontrastmittel</w:t>
      </w:r>
    </w:p>
    <w:p>
      <w:r>
        <w:rPr>
          <w:i/>
          <w:color w:val="666666"/>
          <w:sz w:val="18"/>
        </w:rPr>
        <w:t>Yin Y et al.  ·  BMC Health Serv Res  ·  30.07.2026  ·  PMID 42723046</w:t>
      </w:r>
    </w:p>
    <w:p>
      <w:r>
        <w:t>Retrospektive Studie in chinesischem Universitätskrankenhaus zur Kostenreduktion durch Umstellung von Einzelvial- auf gemeinsame Vial-Abrechnung für CT-Kontrastmittel mit Prozessoptimierung.</w:t>
      </w:r>
    </w:p>
    <w:p>
      <w:r>
        <w:rPr>
          <w:b/>
        </w:rPr>
        <w:t xml:space="preserve">Ergebnis: </w:t>
      </w:r>
      <w:r>
        <w:t>Vial-Sharing-Strategie führte zu jährlicher Einsparung von 2.906.398,8 mL Kontrastmittel und Kostenreduktion von 9.181.958,83 CNY; durchschnittlich 66,93 CNY Kostenreduktion pro Patient. Multidisziplinäre Prozessoptimierung verbesserte Drug Utilization Efficiency und Ressourcenschonung.</w:t>
      </w:r>
    </w:p>
    <w:p>
      <w:r>
        <w:rPr>
          <w:b/>
          <w:sz w:val="19"/>
        </w:rPr>
        <w:t xml:space="preserve">Übertragbarkeit: </w:t>
      </w:r>
      <w:r>
        <w:rPr>
          <w:sz w:val="19"/>
        </w:rPr>
        <w:t>China, aber Versorgungseffizienz-Ansatz für deutsche Krankenhäuser adaptierbar</w:t>
      </w:r>
    </w:p>
    <w:p>
      <w:r>
        <w:rPr>
          <w:color w:val="5A7D3A"/>
          <w:sz w:val="18"/>
        </w:rPr>
        <w:t>https://pubmed.ncbi.nlm.nih.gov/42723046/</w:t>
      </w:r>
    </w:p>
    <w:p>
      <w:pPr>
        <w:pStyle w:val="Heading1"/>
      </w:pPr>
      <w:r>
        <w:t>Aufgenommen am 12.09.2026</w:t>
      </w:r>
    </w:p>
    <w:p>
      <w:pPr>
        <w:pStyle w:val="Heading2"/>
      </w:pPr>
      <w:r>
        <w:t>Geografische Erreichbarkeit Primärversorgung Schweden</w:t>
      </w:r>
    </w:p>
    <w:p>
      <w:r>
        <w:rPr>
          <w:i/>
          <w:color w:val="666666"/>
          <w:sz w:val="18"/>
        </w:rPr>
        <w:t>Isaksson D et al.  ·  BMJ Open  ·  11.09.2026  ·  PMID 42727971</w:t>
      </w:r>
    </w:p>
    <w:p>
      <w:r>
        <w:t>Landesweite Querschnittsstudie zur Fahrtzeit-Erreichbarkeit von Hausarztpraxen in Schweden anhand von Routinedaten.</w:t>
      </w:r>
    </w:p>
    <w:p>
      <w:r>
        <w:rPr>
          <w:b/>
        </w:rPr>
        <w:t xml:space="preserve">Ergebnis: </w:t>
      </w:r>
      <w:r>
        <w:t>Mittlere Fahrtzeit zur nächsten Praxis: 5,6 Min (SD 6,3), Median 3,3 Min; 15,8% erreichen Praxis nicht in ≤10 Min; deutliche Urban-Rural-Disparität (15,1 Min vs 3,0 Min in Großstädten). Geographischer Zugang hoch im Mittel, aber substantielle Unterschiede bleiben.</w:t>
      </w:r>
    </w:p>
    <w:p>
      <w:r>
        <w:rPr>
          <w:b/>
          <w:sz w:val="19"/>
        </w:rPr>
        <w:t xml:space="preserve">Übertragbarkeit: </w:t>
      </w:r>
      <w:r>
        <w:rPr>
          <w:sz w:val="19"/>
        </w:rPr>
        <w:t>Schweden, steuerfinanziert; Prozessmessungen zur Zugänglichkeit auf deutsche Strukturen gut übertragbar.</w:t>
      </w:r>
    </w:p>
    <w:p>
      <w:r>
        <w:rPr>
          <w:color w:val="5A7D3A"/>
          <w:sz w:val="18"/>
        </w:rPr>
        <w:t>https://pubmed.ncbi.nlm.nih.gov/42727971/</w:t>
      </w:r>
    </w:p>
    <w:p>
      <w:pPr>
        <w:pStyle w:val="Heading2"/>
      </w:pPr>
      <w:r>
        <w:t>Psychische Belastung von Gesundheitsfachkräften durch COVID-19</w:t>
      </w:r>
    </w:p>
    <w:p>
      <w:r>
        <w:rPr>
          <w:i/>
          <w:color w:val="666666"/>
          <w:sz w:val="18"/>
        </w:rPr>
        <w:t>Alonso J et al.  ·  Span J Psychiatry Ment Health  ·  11.09.2026  ·  PMID 42727923</w:t>
      </w:r>
    </w:p>
    <w:p>
      <w:r>
        <w:t>Dreieinhalb-Jahres-Längsschnittstudie zu psychischen Auswirkungen von COVID-19 auf spanische Gesundheitsfachkräfte.</w:t>
      </w:r>
    </w:p>
    <w:p>
      <w:r>
        <w:rPr>
          <w:b/>
        </w:rPr>
        <w:t xml:space="preserve">Ergebnis: </w:t>
      </w:r>
      <w:r>
        <w:t>38,1% der negativ gescreenten und 45,8% der positiv gescreenten Veteranen berichteten unauffällige Disclosure bei Suizidales-Screening. Weniger genaue Angaben assoziiert mit niedrigerem Glauben, Suizid sei Ausweg (OR 0,46 bzw 0,40), und höherer Sorge vor Überreaktion (OR 2,36 bzw 3,73). Screening-Genauigkeit limitiert durch Offenbarungshemmungen.</w:t>
      </w:r>
    </w:p>
    <w:p>
      <w:r>
        <w:rPr>
          <w:b/>
          <w:sz w:val="19"/>
        </w:rPr>
        <w:t xml:space="preserve">Übertragbarkeit: </w:t>
      </w:r>
      <w:r>
        <w:rPr>
          <w:sz w:val="19"/>
        </w:rPr>
        <w:t>Spanische Gesundheitsfachkräfte; Health Services Research-Perspektive auf Implementierungsbarrieren auf deutsche Verhältnisse übertragbar.</w:t>
      </w:r>
    </w:p>
    <w:p>
      <w:r>
        <w:rPr>
          <w:color w:val="5A7D3A"/>
          <w:sz w:val="18"/>
        </w:rPr>
        <w:t>https://pubmed.ncbi.nlm.nih.gov/42727923/</w:t>
      </w:r>
    </w:p>
    <w:p>
      <w:pPr>
        <w:pStyle w:val="Heading2"/>
      </w:pPr>
      <w:r>
        <w:t>Technische Unterstützung für Leitlinien-Implementation in LMICs</w:t>
      </w:r>
    </w:p>
    <w:p>
      <w:r>
        <w:rPr>
          <w:i/>
          <w:color w:val="666666"/>
          <w:sz w:val="18"/>
        </w:rPr>
        <w:t>Fahim C et al.  ·  Health Res Policy Syst  ·  10.09.2026  ·  PMID 42723069</w:t>
      </w:r>
    </w:p>
    <w:p>
      <w:r>
        <w:t>Mixed-Methods-Evaluation eines Unterstützungszentrums zur Stärkung der Forschungskapazität für Health Systems Research und Implementierung in Ländern mit niedrigem und mittlerem Einkommen.</w:t>
      </w:r>
    </w:p>
    <w:p>
      <w:r>
        <w:rPr>
          <w:b/>
        </w:rPr>
        <w:t xml:space="preserve">Ergebnis: </w:t>
      </w:r>
      <w:r>
        <w:t>22 Teilnehmer aus 6 Ländern; 8 von 9 Forschungskapazitäts-Outcomes verbesserten sich signifikant; signifikante Unterschiede in der Fähigkeit zur Entwicklung evidenzgestützter Knowledge-Translation-Interventionen (Z=-2,93, p&lt;0,05). Hauptbarrieren: fragmentierte Dienstleistungen, mangelnde Daten/Ausrüstung; Enabler: Stakeholder-Partnerschaften, multi-sektorale Ansätze.</w:t>
      </w:r>
    </w:p>
    <w:p>
      <w:r>
        <w:rPr>
          <w:b/>
          <w:sz w:val="19"/>
        </w:rPr>
        <w:t xml:space="preserve">Übertragbarkeit: </w:t>
      </w:r>
      <w:r>
        <w:rPr>
          <w:sz w:val="19"/>
        </w:rPr>
        <w:t>Low- and Middle-Income Countries; Implementierungswissenschaft auf deutsche Kapazitätsentwicklung nicht direkt übertragbar.</w:t>
      </w:r>
    </w:p>
    <w:p>
      <w:r>
        <w:rPr>
          <w:color w:val="5A7D3A"/>
          <w:sz w:val="18"/>
        </w:rPr>
        <w:t>https://pubmed.ncbi.nlm.nih.gov/42723069/</w:t>
      </w:r>
    </w:p>
    <w:p>
      <w:pPr>
        <w:pStyle w:val="Heading2"/>
      </w:pPr>
      <w:r>
        <w:t>Conversational Agent für Magenkrebspatienten</w:t>
      </w:r>
    </w:p>
    <w:p>
      <w:r>
        <w:rPr>
          <w:i/>
          <w:color w:val="666666"/>
          <w:sz w:val="18"/>
        </w:rPr>
        <w:t>Kang Y et al.  ·  J Med Internet Res  ·  10.09.2026  ·  PMID 42721321</w:t>
      </w:r>
    </w:p>
    <w:p>
      <w:r>
        <w:t>Action-Research-Studie zur Entwicklung und Usability-Bewertung eines KI-gestützten Conversational Agents für Patientenschulung bei Magenkrebs.</w:t>
      </w:r>
    </w:p>
    <w:p>
      <w:r>
        <w:rPr>
          <w:b/>
        </w:rPr>
        <w:t xml:space="preserve">Ergebnis: </w:t>
      </w:r>
      <w:r>
        <w:t>44 Patienten, 13 Pflegekräfte, 3 Manager, 2 Chirurgen getestet; Accuracy über 3 Testzyklen: 67%, 71%, 82%; RAG-Knowledge-Hit-Rate: 86%, 98%, 100% (signifikante Verbesserung p&lt;0,01). Chatbot-Usability-Score: 91,9 (SD 3,6); Content-Relevanz: 3,75 (SD 0,9). Drei Themen nutzer-zentriert: Wahrgenommene Nützlichkeit, Ease of Use, Nutzungsabsicht.</w:t>
      </w:r>
    </w:p>
    <w:p>
      <w:r>
        <w:rPr>
          <w:b/>
          <w:sz w:val="19"/>
        </w:rPr>
        <w:t xml:space="preserve">Übertragbarkeit: </w:t>
      </w:r>
      <w:r>
        <w:rPr>
          <w:sz w:val="19"/>
        </w:rPr>
        <w:t>China, Krankenhaus-Setting; Technologie-Anwendung für Patientenbildung auf deutsche Systeme prinzipiell übertragbar, Validierung erforderlich.</w:t>
      </w:r>
    </w:p>
    <w:p>
      <w:r>
        <w:rPr>
          <w:color w:val="5A7D3A"/>
          <w:sz w:val="18"/>
        </w:rPr>
        <w:t>https://pubmed.ncbi.nlm.nih.gov/42721321/</w:t>
      </w:r>
    </w:p>
    <w:p>
      <w:pPr>
        <w:pStyle w:val="Heading2"/>
      </w:pPr>
      <w:r>
        <w:t>Lebensqualität bei Krebspatienten in der DR Kongo</w:t>
      </w:r>
    </w:p>
    <w:p>
      <w:r>
        <w:rPr>
          <w:i/>
          <w:color w:val="666666"/>
          <w:sz w:val="18"/>
        </w:rPr>
        <w:t>Pilz MJ et al.  ·  BMJ Open  ·  09.09.2026  ·  PMID 42716684</w:t>
      </w:r>
    </w:p>
    <w:p>
      <w:r>
        <w:t>Querschnitts-Mixed-Methods-Studie zur gesundheitsbezogenen Lebensqualität von Krebspatienten in Lubumbashi, Demokratische Republik Kongo.</w:t>
      </w:r>
    </w:p>
    <w:p>
      <w:r>
        <w:rPr>
          <w:b/>
        </w:rPr>
        <w:t xml:space="preserve">Ergebnis: </w:t>
      </w:r>
      <w:r>
        <w:t>103 Patienten untersucht; 94,1% berichten finanzielle Probleme, 80,4% soziale Isolation, 71,8% Besorgnis. Symptombelastung deutlich höher als in Spanien-Kontrollgruppe (OR 1,18–28,0 für Symptome); nach Adjustierung für Alter, Geschlecht, Komorbiditäten blieben signifikante Unterschiede für 10 von 16 Skalen (p&lt;0,05). Hohe Symptombelastung erfordert Unterstützungsmaßnahmen.</w:t>
      </w:r>
    </w:p>
    <w:p>
      <w:r>
        <w:rPr>
          <w:b/>
          <w:sz w:val="19"/>
        </w:rPr>
        <w:t xml:space="preserve">Übertragbarkeit: </w:t>
      </w:r>
      <w:r>
        <w:rPr>
          <w:sz w:val="19"/>
        </w:rPr>
        <w:t>DR Kongo, Low-Income Setting; Bedeutung für ressourcenlimitierte Systeme, eingeschränkte Übertragbarkeit auf deutsche Verhältnisse.</w:t>
      </w:r>
    </w:p>
    <w:p>
      <w:r>
        <w:rPr>
          <w:color w:val="5A7D3A"/>
          <w:sz w:val="18"/>
        </w:rPr>
        <w:t>https://pubmed.ncbi.nlm.nih.gov/42716684/</w:t>
      </w:r>
    </w:p>
    <w:p>
      <w:pPr>
        <w:pStyle w:val="Heading2"/>
      </w:pPr>
      <w:r>
        <w:t>Verbrauchergesteuerte Forschungspriorität in Australien</w:t>
      </w:r>
    </w:p>
    <w:p>
      <w:r>
        <w:rPr>
          <w:i/>
          <w:color w:val="666666"/>
          <w:sz w:val="18"/>
        </w:rPr>
        <w:t>Catapan SC et al.  ·  Rural Remote Health  ·  01.09.2026  ·  PMID 42716571</w:t>
      </w:r>
    </w:p>
    <w:p>
      <w:r>
        <w:t>Qualitative Studie mit World Café-Methode zur Bestimmung von Forschungsprioritäten für Gesundheit in ruralen australischen Gemeinden.</w:t>
      </w:r>
    </w:p>
    <w:p>
      <w:r>
        <w:rPr>
          <w:b/>
        </w:rPr>
        <w:t xml:space="preserve">Ergebnis: </w:t>
      </w:r>
      <w:r>
        <w:t>Fünf identifizierte Prioritäten: (1) Rekrutierung/Bindung von Hausärzten, (2) multidisziplinäre Versorgung, (3) Bewusstsein für lokale Dienste, (4) erweiterte Chroniker-Betreuung mit Remote-Monitoring, (5) Verbindung zu sozialen Determinanten (Wohnung, Finanzen). Konsens zwischen Verbrauchern und Forschern auf Bedarf für maßgeschneiderte, gemeindegesteuerte Interventionen.</w:t>
      </w:r>
    </w:p>
    <w:p>
      <w:r>
        <w:rPr>
          <w:b/>
          <w:sz w:val="19"/>
        </w:rPr>
        <w:t xml:space="preserve">Übertragbarkeit: </w:t>
      </w:r>
      <w:r>
        <w:rPr>
          <w:sz w:val="19"/>
        </w:rPr>
        <w:t>Australien, steuerfinanziert; Partizipativmethode zur Prioritätensetzung auf deutsche Versorgungsforschung teilweise übertragbar.</w:t>
      </w:r>
    </w:p>
    <w:p>
      <w:r>
        <w:rPr>
          <w:color w:val="5A7D3A"/>
          <w:sz w:val="18"/>
        </w:rPr>
        <w:t>https://pubmed.ncbi.nlm.nih.gov/42716571/</w:t>
      </w:r>
    </w:p>
    <w:p>
      <w:pPr>
        <w:pStyle w:val="Heading1"/>
      </w:pPr>
      <w:r>
        <w:t>Aufgenommen am 11.09.2026</w:t>
      </w:r>
    </w:p>
    <w:p>
      <w:pPr>
        <w:pStyle w:val="Heading2"/>
      </w:pPr>
      <w:r>
        <w:t>Mobile Single-Lead ECG-Screening für Vorhofflimmern in Routine-Settings</w:t>
      </w:r>
    </w:p>
    <w:p>
      <w:r>
        <w:rPr>
          <w:i/>
          <w:color w:val="666666"/>
          <w:sz w:val="18"/>
        </w:rPr>
        <w:t>Fenske R et al.  ·  JMIR Cardio  ·  10.09.2026  ·  PMID 42721301</w:t>
      </w:r>
    </w:p>
    <w:p>
      <w:r>
        <w:t>Deutsche Multizenterstudie zur Machbarkeit von mobiler Single-Lead-EKG-Detektion für Vorhofflimmern in Krankenhaus und Praxis.</w:t>
      </w:r>
    </w:p>
    <w:p>
      <w:r>
        <w:rPr>
          <w:b/>
        </w:rPr>
        <w:t xml:space="preserve">Ergebnis: </w:t>
      </w:r>
      <w:r>
        <w:t>Von 237 Patienten lieferte das Gerät Interpretation bei 95,3% (41/43) der Ambulanten und 85,6% (166/194) der Stationären. Neu vermutetes Vorhofflimmern fand sich bei 1,7% (4/237); technische Probleme bei 16,0% (38/237). Nur 6,3% (15/237) nutzten regelmäßig Telemedizin. Die Machbarkeit ist gegeben, aber systematische Bestätigungstests und höhere Telemedizin-Akzeptanz fehlen.</w:t>
      </w:r>
    </w:p>
    <w:p>
      <w:r>
        <w:rPr>
          <w:b/>
          <w:sz w:val="19"/>
        </w:rPr>
        <w:t xml:space="preserve">Übertragbarkeit: </w:t>
      </w:r>
      <w:r>
        <w:rPr>
          <w:sz w:val="19"/>
        </w:rPr>
        <w:t>Deutsche Multizenterstudie mit lokalem Versorgungskontext</w:t>
      </w:r>
    </w:p>
    <w:p>
      <w:r>
        <w:rPr>
          <w:color w:val="5A7D3A"/>
          <w:sz w:val="18"/>
        </w:rPr>
        <w:t>https://pubmed.ncbi.nlm.nih.gov/42721301/</w:t>
      </w:r>
    </w:p>
    <w:p>
      <w:pPr>
        <w:pStyle w:val="Heading2"/>
      </w:pPr>
      <w:r>
        <w:t>Trends bei Milchpumpen-Verschreibungen in Deutschland 2011-2024</w:t>
      </w:r>
    </w:p>
    <w:p>
      <w:r>
        <w:rPr>
          <w:i/>
          <w:color w:val="666666"/>
          <w:sz w:val="18"/>
        </w:rPr>
        <w:t>Fischer L et al.  ·  Breastfeed Med  ·  10.09.2026  ·  PMID 42720285</w:t>
      </w:r>
    </w:p>
    <w:p>
      <w:r>
        <w:t>Sekundäranalyse von Routinedaten der gesetzlichen Krankenversicherung zu Trends bei Verordnungen von Milchpumpen im ambulanten Sektor.</w:t>
      </w:r>
    </w:p>
    <w:p>
      <w:r>
        <w:rPr>
          <w:b/>
        </w:rPr>
        <w:t xml:space="preserve">Ergebnis: </w:t>
      </w:r>
      <w:r>
        <w:t>Elektrische Milchpumpen-Ansprüche stiegen von 235 auf 605 Ansprüche pro 1.000 Neugeborene (durchschnittliches jährliches Wachstum 8,2%). 2024 betrugen die Krankenkassen-Kosten für Leih-Pumpen €15,3 Millionen. Erhebliche regionale Schwankungen zwischen Bundesländern, aber überall Anstieg.</w:t>
      </w:r>
    </w:p>
    <w:p>
      <w:r>
        <w:rPr>
          <w:b/>
          <w:sz w:val="19"/>
        </w:rPr>
        <w:t xml:space="preserve">Übertragbarkeit: </w:t>
      </w:r>
      <w:r>
        <w:rPr>
          <w:sz w:val="19"/>
        </w:rPr>
        <w:t>Deutsche Routinedaten der gesetzlichen Krankenversicherung, vollständig übertragbar</w:t>
      </w:r>
    </w:p>
    <w:p>
      <w:r>
        <w:rPr>
          <w:color w:val="5A7D3A"/>
          <w:sz w:val="18"/>
        </w:rPr>
        <w:t>https://pubmed.ncbi.nlm.nih.gov/42720285/</w:t>
      </w:r>
    </w:p>
    <w:p>
      <w:pPr>
        <w:pStyle w:val="Heading2"/>
      </w:pPr>
      <w:r>
        <w:t>Medical Invalidation: Systematische Konzeptualisierung eines Versorgungsproblems</w:t>
      </w:r>
    </w:p>
    <w:p>
      <w:r>
        <w:rPr>
          <w:i/>
          <w:color w:val="666666"/>
          <w:sz w:val="18"/>
        </w:rPr>
        <w:t>Lerch SP et al.  ·  BMC Health Serv Res  ·  08.09.2026  ·  PMID 42717341</w:t>
      </w:r>
    </w:p>
    <w:p>
      <w:r>
        <w:t>Scoping Review zur konzeptuellen Klärung von Medical Invalidation, Ursachen, Konsequenzen und Lösungsansätze in der Gesundheitsversorgung.</w:t>
      </w:r>
    </w:p>
    <w:p>
      <w:r>
        <w:rPr>
          <w:b/>
        </w:rPr>
        <w:t xml:space="preserve">Ergebnis: </w:t>
      </w:r>
      <w:r>
        <w:t>158 Studien zeigen inkonsistente Definitionen von Invalidation und Gaslighting. Multifaktorielle Ursachen identifiziert: diagnostische Herausforderungen, strukturelle Faktoren, Stigma, Diagnostikskills-Defizite. Validierung hatte konsistent positive Effekte; Invalidation führte zu Verhaltens-, emotionalen, kognitiven und physischen Schäden. Lösungen: Kommunikationstraining, klinische Schulung, Patientenunterstützung, Forschung, systemische Änderungen.</w:t>
      </w:r>
    </w:p>
    <w:p>
      <w:r>
        <w:rPr>
          <w:b/>
          <w:sz w:val="19"/>
        </w:rPr>
        <w:t xml:space="preserve">Übertragbarkeit: </w:t>
      </w:r>
      <w:r>
        <w:rPr>
          <w:sz w:val="19"/>
        </w:rPr>
        <w:t>Universeller Problembereich, besonders relevant für deutsches Versorgungssystem</w:t>
      </w:r>
    </w:p>
    <w:p>
      <w:r>
        <w:rPr>
          <w:color w:val="5A7D3A"/>
          <w:sz w:val="18"/>
        </w:rPr>
        <w:t>https://pubmed.ncbi.nlm.nih.gov/42717341/</w:t>
      </w:r>
    </w:p>
    <w:p>
      <w:pPr>
        <w:pStyle w:val="Heading2"/>
      </w:pPr>
      <w:r>
        <w:t>Cardiolotse: Transitionales Care-Modell für kardiovaskuläre Patienten</w:t>
      </w:r>
    </w:p>
    <w:p>
      <w:r>
        <w:rPr>
          <w:i/>
          <w:color w:val="666666"/>
          <w:sz w:val="18"/>
        </w:rPr>
        <w:t>Kropp S et al.  ·  BMC Health Serv Res  ·  09.09.2026  ·  PMID 42717334</w:t>
      </w:r>
    </w:p>
    <w:p>
      <w:r>
        <w:t>Prozessevaluation eines Pflegefachpersonen-geführten Transitionscare-Modells in Deutschland zur Verbesserung der Versorgungskoordination nach Krankenhausentlassung.</w:t>
      </w:r>
    </w:p>
    <w:p>
      <w:r>
        <w:rPr>
          <w:b/>
        </w:rPr>
        <w:t xml:space="preserve">Ergebnis: </w:t>
      </w:r>
      <w:r>
        <w:t>Etwa 12.500 Kontakte wurden durchgeführt. Patienten berichteten hohe Zufriedenheit und vertrauten den Cardiolotsen. Jedoch konnten zufriedenheitsscore zwischen Interventions- und Kontrollgruppe hinsichtlich Behandlung nicht unterschieden werden. Nur 10% der niedergelassenen Ärzte erreichten regelmäßigen Kontakt – sektorübergreifende Kommunikation war die Haupthürde.</w:t>
      </w:r>
    </w:p>
    <w:p>
      <w:r>
        <w:rPr>
          <w:b/>
          <w:sz w:val="19"/>
        </w:rPr>
        <w:t xml:space="preserve">Übertragbarkeit: </w:t>
      </w:r>
      <w:r>
        <w:rPr>
          <w:sz w:val="19"/>
        </w:rPr>
        <w:t>Realistische deutsche Versorgungsforschung zu Care Coordination</w:t>
      </w:r>
    </w:p>
    <w:p>
      <w:r>
        <w:rPr>
          <w:color w:val="5A7D3A"/>
          <w:sz w:val="18"/>
        </w:rPr>
        <w:t>https://pubmed.ncbi.nlm.nih.gov/42717334/</w:t>
      </w:r>
    </w:p>
    <w:p>
      <w:pPr>
        <w:pStyle w:val="Heading2"/>
      </w:pPr>
      <w:r>
        <w:t>Patient-Reported Outcomes nach Revaskularisation bei Claudicatio intermittens</w:t>
      </w:r>
    </w:p>
    <w:p>
      <w:r>
        <w:rPr>
          <w:i/>
          <w:color w:val="666666"/>
          <w:sz w:val="18"/>
        </w:rPr>
        <w:t>Peters F et al.  ·  J Vasc Surg  ·  08.09.2026  ·  PMID 42710606</w:t>
      </w:r>
    </w:p>
    <w:p>
      <w:r>
        <w:t>Deutsche prospektive Multizenterstudie zu Patient-Reported Outcomes (PROMs) nach invasiver Revaskularisierung bei Claudicatio intermittens.</w:t>
      </w:r>
    </w:p>
    <w:p>
      <w:r>
        <w:rPr>
          <w:b/>
        </w:rPr>
        <w:t xml:space="preserve">Ergebnis: </w:t>
      </w:r>
      <w:r>
        <w:t>Von 963 Patienten (64% Männer, Median 68 Jahre) verbesserte sich der Physical Component Summary score (SF-12) von median 35 auf 45 (Bereich Q1-Q3: 28-43 auf 39-52). Maximale schmerzfreie Gehstrecke stieg um 20 Minuten, Beinschmerzen im Ruhezustand sank um 10 Punkte. Adipositas, Rentner-Status und Nicht-Erwerbstätigkeit waren mit kleineren Verbesserungen assoziiert.</w:t>
      </w:r>
    </w:p>
    <w:p>
      <w:r>
        <w:rPr>
          <w:b/>
          <w:sz w:val="19"/>
        </w:rPr>
        <w:t xml:space="preserve">Übertragbarkeit: </w:t>
      </w:r>
      <w:r>
        <w:rPr>
          <w:sz w:val="19"/>
        </w:rPr>
        <w:t>Deutsche Multizenterstudie, direkt auf deutsches Gesundheitssystem übertragbar</w:t>
      </w:r>
    </w:p>
    <w:p>
      <w:r>
        <w:rPr>
          <w:color w:val="5A7D3A"/>
          <w:sz w:val="18"/>
        </w:rPr>
        <w:t>https://pubmed.ncbi.nlm.nih.gov/42710606/</w:t>
      </w:r>
    </w:p>
    <w:p>
      <w:pPr>
        <w:pStyle w:val="Heading2"/>
      </w:pPr>
      <w:r>
        <w:t>Gute Praxis Sekundärdatenanalyse Version 4: Leitlinien und Empfehlungen</w:t>
      </w:r>
    </w:p>
    <w:p>
      <w:r>
        <w:rPr>
          <w:i/>
          <w:color w:val="666666"/>
          <w:sz w:val="18"/>
        </w:rPr>
        <w:t>Swart E et al.  ·  Gesundheitswesen  ·  07.09.2026  ·  PMID 42705329</w:t>
      </w:r>
    </w:p>
    <w:p>
      <w:r>
        <w:t>Aktualisierte Richtlinie für methodische Standards bei der Durchführung von Sekundärdatenanalysen in Deutschland mit neuen Empfehlungen.</w:t>
      </w:r>
    </w:p>
    <w:p>
      <w:r>
        <w:rPr>
          <w:b/>
        </w:rPr>
        <w:t xml:space="preserve">Ergebnis: </w:t>
      </w:r>
      <w:r>
        <w:t>Version 4 ergänzt frühere Versionen um Empfehlungen zu Studienpopulation, Auswertestrategie, Registrierung, Zusammenspiel von Datenanalyse und Patient:innenperspektive, Data Dictionaries, Zwischenauswertungen, verteiltem Rechnen, Dokumentation, gepoolten Daten, Rechtrahmen und Wissenschaftskommunikation. Standard für Sekundärdatenanalysen nach wissenschaftlichen Grundsätzen in Deutschland etabliert.</w:t>
      </w:r>
    </w:p>
    <w:p>
      <w:r>
        <w:rPr>
          <w:b/>
          <w:sz w:val="19"/>
        </w:rPr>
        <w:t xml:space="preserve">Übertragbarkeit: </w:t>
      </w:r>
      <w:r>
        <w:rPr>
          <w:sz w:val="19"/>
        </w:rPr>
        <w:t>Deutsche Fachmethodologie, grundlegend für deutsches Versorgungsforschungs-System</w:t>
      </w:r>
    </w:p>
    <w:p>
      <w:r>
        <w:rPr>
          <w:color w:val="5A7D3A"/>
          <w:sz w:val="18"/>
        </w:rPr>
        <w:t>https://pubmed.ncbi.nlm.nih.gov/42705329/</w:t>
      </w:r>
    </w:p>
    <w:p>
      <w:pPr>
        <w:pStyle w:val="Heading1"/>
      </w:pPr>
      <w:r>
        <w:t>Aufgenommen am 10.09.2026</w:t>
      </w:r>
    </w:p>
    <w:p>
      <w:pPr>
        <w:pStyle w:val="Heading2"/>
      </w:pPr>
      <w:r>
        <w:t>Sentiment analysis mit BERT-Modell für Patientenerfahrungen in der Primärversorgung</w:t>
      </w:r>
    </w:p>
    <w:p>
      <w:r>
        <w:rPr>
          <w:i/>
          <w:color w:val="666666"/>
          <w:sz w:val="18"/>
        </w:rPr>
        <w:t>Norman RM et al.  ·  Fam Pract  ·  31.07.2026  ·  PMID 42713859</w:t>
      </w:r>
    </w:p>
    <w:p>
      <w:r>
        <w:t>Fine-tuning eines Sprachmodells (NorBERT3) zur automatisierten Sentimentanalyse von Patientenerfahrungen in norwegischen Hausarztpraxen.</w:t>
      </w:r>
    </w:p>
    <w:p>
      <w:r>
        <w:rPr>
          <w:b/>
        </w:rPr>
        <w:t xml:space="preserve">Ergebnis: </w:t>
      </w:r>
      <w:r>
        <w:t>Das optimierte Modell erzielte hohe F1-Scores auf Testdaten (0,80 AUC für Online-Bewertungen), übertraf traditionelle Methoden und ein großes Sprachmodell. Konstruktvalidität wurde durch erwartete Korrelationen mit Patientenerfahrungsscores und bekannte Subgruppenunterschiede unterstützt.</w:t>
      </w:r>
    </w:p>
    <w:p>
      <w:r>
        <w:rPr>
          <w:b/>
          <w:sz w:val="19"/>
        </w:rPr>
        <w:t xml:space="preserve">Übertragbarkeit: </w:t>
      </w:r>
      <w:r>
        <w:rPr>
          <w:sz w:val="19"/>
        </w:rPr>
        <w:t>Norwegen, ähnliche Primärversorgungsstruktur wie Deutschland</w:t>
      </w:r>
    </w:p>
    <w:p>
      <w:r>
        <w:rPr>
          <w:color w:val="5A7D3A"/>
          <w:sz w:val="18"/>
        </w:rPr>
        <w:t>https://pubmed.ncbi.nlm.nih.gov/42713859/</w:t>
      </w:r>
    </w:p>
    <w:p>
      <w:pPr>
        <w:pStyle w:val="Heading2"/>
      </w:pPr>
      <w:r>
        <w:t>Unterstützungsmodell für sichere Medikamentennutzung bei Migranten mit Sprachbarrieren</w:t>
      </w:r>
    </w:p>
    <w:p>
      <w:r>
        <w:rPr>
          <w:i/>
          <w:color w:val="666666"/>
          <w:sz w:val="18"/>
        </w:rPr>
        <w:t>Hjelm K et al.  ·  BMC Health Serv Res  ·  07.09.2026  ·  PMID 42711692</w:t>
      </w:r>
    </w:p>
    <w:p>
      <w:r>
        <w:t>Co-creation Partizipative Aktionsforschung identifizierte Unterstützungsbedarfe für sichere Medikamentennutzung bei fremdgeborenen Personen mit Sprachschwierigkeiten in Schweden.</w:t>
      </w:r>
    </w:p>
    <w:p>
      <w:r>
        <w:rPr>
          <w:b/>
        </w:rPr>
        <w:t xml:space="preserve">Ergebnis: </w:t>
      </w:r>
      <w:r>
        <w:t>Sieben Handlungsfelder identifiziert: Routinen für sichere Medikamentennutzung, Kontinuität, Sprachenunterstützung, Ressourcen, Patienteneducation, Mitarbeiterschulung und nationale Maßnahmen. Kern: Koordiniertes interdisziplinäres Team in der Primärversorgung mit erreichbarer Kontaktperson.</w:t>
      </w:r>
    </w:p>
    <w:p>
      <w:r>
        <w:rPr>
          <w:b/>
          <w:sz w:val="19"/>
        </w:rPr>
        <w:t xml:space="preserve">Übertragbarkeit: </w:t>
      </w:r>
      <w:r>
        <w:rPr>
          <w:sz w:val="19"/>
        </w:rPr>
        <w:t>Schweden, vergleichbares Sozialversicherungssystem, Migrationskontexte zentral</w:t>
      </w:r>
    </w:p>
    <w:p>
      <w:r>
        <w:rPr>
          <w:color w:val="5A7D3A"/>
          <w:sz w:val="18"/>
        </w:rPr>
        <w:t>https://pubmed.ncbi.nlm.nih.gov/42711692/</w:t>
      </w:r>
    </w:p>
    <w:p>
      <w:pPr>
        <w:pStyle w:val="Heading2"/>
      </w:pPr>
      <w:r>
        <w:t>Dementenangebot und Ergebnisse in japanischen Akutkrankenhäusern nach Finanzierungsanreiz</w:t>
      </w:r>
    </w:p>
    <w:p>
      <w:r>
        <w:rPr>
          <w:i/>
          <w:color w:val="666666"/>
          <w:sz w:val="18"/>
        </w:rPr>
        <w:t>Wu J et al.  ·  Geriatr Gerontol Int  ·  Sept. 2026  ·  PMID 42711657</w:t>
      </w:r>
    </w:p>
    <w:p>
      <w:r>
        <w:t>Nationale Analyse der Patienten, die für Japans Dementatax-Anreiz (DCA) berechtigt sind, und deren klinische Versorgungsergebnisse 2016–2019.</w:t>
      </w:r>
    </w:p>
    <w:p>
      <w:r>
        <w:rPr>
          <w:b/>
        </w:rPr>
        <w:t xml:space="preserve">Ergebnis: </w:t>
      </w:r>
      <w:r>
        <w:t>1.046.652 Hospitalisierungen von Personen über 65 Jahren mit Dementia. DCA-Abrechnungen stiegen von 6,4% (DCA1) und 13,2% (DCA2) 2016 auf 20,8% und 32,8% 2019. Verweildauer sank von 33,7 auf 27,8 Tage, Krankenhaussterblichkeit von 13,9% auf 12,9%, unangemessene Medikation von 16,2% auf 14,0%.</w:t>
      </w:r>
    </w:p>
    <w:p>
      <w:r>
        <w:rPr>
          <w:b/>
          <w:sz w:val="19"/>
        </w:rPr>
        <w:t xml:space="preserve">Übertragbarkeit: </w:t>
      </w:r>
      <w:r>
        <w:rPr>
          <w:sz w:val="19"/>
        </w:rPr>
        <w:t>Japan, begrenzt übertragbar; Fragestellung zu Finanzierungseffekten in Gesundheitssystemen mit anderen Anreizstrukturen</w:t>
      </w:r>
    </w:p>
    <w:p>
      <w:r>
        <w:rPr>
          <w:color w:val="5A7D3A"/>
          <w:sz w:val="18"/>
        </w:rPr>
        <w:t>https://pubmed.ncbi.nlm.nih.gov/42711657/</w:t>
      </w:r>
    </w:p>
    <w:p>
      <w:pPr>
        <w:pStyle w:val="Heading2"/>
      </w:pPr>
      <w:r>
        <w:t>Auswirkungen von Fortbildung auf Personalfluktuation in US-Veteranenkliniken</w:t>
      </w:r>
    </w:p>
    <w:p>
      <w:r>
        <w:rPr>
          <w:i/>
          <w:color w:val="666666"/>
          <w:sz w:val="18"/>
        </w:rPr>
        <w:t>Sterling R et al.  ·  J Rural Health  ·  Juni 2026  ·  PMID 42708822</w:t>
      </w:r>
    </w:p>
    <w:p>
      <w:r>
        <w:t>Quasi-experimentelle Studie der Rural Interprofessional Faculty Development Initiative (RIFDI) auf Mitarbeiterkontinuität in VHA-Kliniken landesweit 2019–2024.</w:t>
      </w:r>
    </w:p>
    <w:p>
      <w:r>
        <w:rPr>
          <w:b/>
        </w:rPr>
        <w:t xml:space="preserve">Ergebnis: </w:t>
      </w:r>
      <w:r>
        <w:t>Fluktuationsrate &lt;1 Jahr nach RIFDI-Abschluss: 12,8% (geringe Engagements), &lt;1,0% (hohe Engagements), 11,3% (keine RIFDI). Hochengagierte Teilnehmer hatten 11-fach niedrigere Fluktuationsquoten (p&lt;0,001).</w:t>
      </w:r>
    </w:p>
    <w:p>
      <w:r>
        <w:rPr>
          <w:b/>
          <w:sz w:val="19"/>
        </w:rPr>
        <w:t xml:space="preserve">Übertragbarkeit: </w:t>
      </w:r>
      <w:r>
        <w:rPr>
          <w:sz w:val="19"/>
        </w:rPr>
        <w:t>USA-Veteranensystem; Fragestellung zu Personalentwicklung systemunabhängig</w:t>
      </w:r>
    </w:p>
    <w:p>
      <w:r>
        <w:rPr>
          <w:color w:val="5A7D3A"/>
          <w:sz w:val="18"/>
        </w:rPr>
        <w:t>https://pubmed.ncbi.nlm.nih.gov/42708822/</w:t>
      </w:r>
    </w:p>
    <w:p>
      <w:pPr>
        <w:pStyle w:val="Heading2"/>
      </w:pPr>
      <w:r>
        <w:t>Exposition gegenüber Passivrauchen und durch GBD 2023 verursachte Krankheitslast</w:t>
      </w:r>
    </w:p>
    <w:p>
      <w:r>
        <w:rPr>
          <w:i/>
          <w:color w:val="666666"/>
          <w:sz w:val="18"/>
        </w:rPr>
        <w:t>GBD 2023 Second-hand smoke Collaborators  ·  Lancet Public Health  ·  07.09.2026  ·  PMID 42705247</w:t>
      </w:r>
    </w:p>
    <w:p>
      <w:r>
        <w:t>Globale, regionale und nationale Prävalenz der Passivrauchwirkung und der zurechenbaren Krankheitslast in 204 Ländern 1990–2023, GBD 2023 Studie.</w:t>
      </w:r>
    </w:p>
    <w:p>
      <w:r>
        <w:rPr>
          <w:b/>
        </w:rPr>
        <w:t xml:space="preserve">Ergebnis: </w:t>
      </w:r>
      <w:r>
        <w:t>2,71 Mrd. Menschen 2023 exponiert (767 Mio. Kinder 0–14 Jahre); 22,2% Rückgang der altersstandartisierten Prävalenz seit 1990. Absolute Fallzahlen stabil global, aber +98,5% in Sub-Sahara-Afrika, +72,1% Nordafrika/Naher Osten. 1,66 Mio. Todesfälle, 44,8 Mio. DALYs; ischämische Herzerkrankung und pädiatrische Infektionen der Atemwege führend.</w:t>
      </w:r>
    </w:p>
    <w:p>
      <w:r>
        <w:rPr>
          <w:b/>
          <w:sz w:val="19"/>
        </w:rPr>
        <w:t xml:space="preserve">Übertragbarkeit: </w:t>
      </w:r>
      <w:r>
        <w:rPr>
          <w:sz w:val="19"/>
        </w:rPr>
        <w:t>Globale Daten; Public-Health-Fragestellung systemunabhängig relevant</w:t>
      </w:r>
    </w:p>
    <w:p>
      <w:r>
        <w:rPr>
          <w:color w:val="5A7D3A"/>
          <w:sz w:val="18"/>
        </w:rPr>
        <w:t>https://pubmed.ncbi.nlm.nih.gov/42705247/</w:t>
      </w:r>
    </w:p>
    <w:p>
      <w:pPr>
        <w:pStyle w:val="Heading1"/>
      </w:pPr>
      <w:r>
        <w:t>Aufgenommen am 09.09.2026</w:t>
      </w:r>
    </w:p>
    <w:p>
      <w:pPr>
        <w:pStyle w:val="Heading2"/>
      </w:pPr>
      <w:r>
        <w:t>Fahrplan für die organisationsweite Einführung evidenzbasierter Medizin</w:t>
      </w:r>
    </w:p>
    <w:p>
      <w:r>
        <w:rPr>
          <w:i/>
          <w:color w:val="666666"/>
          <w:sz w:val="18"/>
        </w:rPr>
        <w:t>van der Braak K et al.  ·  JBI Evid Implement  ·  09.09.2026  ·  PMID 42710024</w:t>
      </w:r>
    </w:p>
    <w:p>
      <w:r>
        <w:t>Systematischer Überblick über 100 Reviews (2013–2023) zur Implementierung evidenzbasierter Medizin, ausgewertet nach Outcome-Messung, Kontextanalyse und Implementierungsstrategien.</w:t>
      </w:r>
    </w:p>
    <w:p>
      <w:r>
        <w:rPr>
          <w:b/>
        </w:rPr>
        <w:t xml:space="preserve">Ergebnis: </w:t>
      </w:r>
      <w:r>
        <w:t>Vier durchgängig empfohlene Messinstrumente wurden identifiziert (EBPQ, EPIC, Fresno Test, HS-EBP); 50 Reviews behandelten die Outcome-Messung, 57 die Kontextanalyse mit 22 Themen und 40 die Implementierungsstrategien, davon 38 edukative. Edukative Strategien sind am besten untersucht; Veränderungen der Infrastruktur sowie Outcomes auf Organisations- und Patientenebene bleiben unterrepräsentiert.</w:t>
      </w:r>
    </w:p>
    <w:p>
      <w:r>
        <w:rPr>
          <w:b/>
          <w:sz w:val="19"/>
        </w:rPr>
        <w:t xml:space="preserve">Übertragbarkeit: </w:t>
      </w:r>
      <w:r>
        <w:rPr>
          <w:sz w:val="19"/>
        </w:rPr>
        <w:t>Niederlande, Cochrane-Netzwerk; Sozialversicherungssystem mit Implementierungswissenschaft.</w:t>
      </w:r>
    </w:p>
    <w:p>
      <w:r>
        <w:rPr>
          <w:color w:val="5A7D3A"/>
          <w:sz w:val="18"/>
        </w:rPr>
        <w:t>https://pubmed.ncbi.nlm.nih.gov/42710024/</w:t>
      </w:r>
    </w:p>
    <w:p>
      <w:pPr>
        <w:pStyle w:val="Heading2"/>
      </w:pPr>
      <w:r>
        <w:t>Umweltverträglichere Arzneiwirkstoffe: Sichtweisen von Fachleuten im Gesundheitswesen</w:t>
      </w:r>
    </w:p>
    <w:p>
      <w:r>
        <w:rPr>
          <w:i/>
          <w:color w:val="666666"/>
          <w:sz w:val="18"/>
        </w:rPr>
        <w:t>Puhlmann N et al.  ·  BMC Health Serv Res  ·  04.09.2026  ·  PMID 42706542</w:t>
      </w:r>
    </w:p>
    <w:p>
      <w:r>
        <w:t>Qualitative Interviewstudie mit 16 europäischen Fachleuten (Ärzte, Apotheker, Beschaffung, Erstattung, Zulassung) zu den Voraussetzungen für den Einsatz umweltverträglicherer Arzneiwirkstoffe.</w:t>
      </w:r>
    </w:p>
    <w:p>
      <w:r>
        <w:rPr>
          <w:b/>
        </w:rPr>
        <w:t xml:space="preserve">Ergebnis: </w:t>
      </w:r>
      <w:r>
        <w:t>Die Befragten benannten bereits bestehende Ansätze, etwa Umweltkriterien in Beschaffungsausschreibungen. Als Voraussetzungen gelten verlässliche Daten zur Umweltwirkung, ein harmonisierter rechtlicher Bewertungsrahmen und eine zentrale Entscheidungsinstanz für Umwelteigenschaften. Wichtigster Ansatzpunkt ist aus Sicht der Befragten das Zulassungsverfahren; das fachliche Interesse an Umweltdaten könne Hersteller zur Offenlegung und zu umweltverträglicherem Wirkstoffdesign bewegen.</w:t>
      </w:r>
    </w:p>
    <w:p>
      <w:r>
        <w:rPr>
          <w:b/>
          <w:sz w:val="19"/>
        </w:rPr>
        <w:t xml:space="preserve">Übertragbarkeit: </w:t>
      </w:r>
      <w:r>
        <w:rPr>
          <w:sz w:val="19"/>
        </w:rPr>
        <w:t>Europäische Perspektiven; Regulierung und Beschaffung relevant für deutsches System.</w:t>
      </w:r>
    </w:p>
    <w:p>
      <w:r>
        <w:rPr>
          <w:color w:val="5A7D3A"/>
          <w:sz w:val="18"/>
        </w:rPr>
        <w:t>https://pubmed.ncbi.nlm.nih.gov/42706542/</w:t>
      </w:r>
    </w:p>
    <w:p>
      <w:pPr>
        <w:pStyle w:val="Heading2"/>
      </w:pPr>
      <w:r>
        <w:t>System Support Mapping: Implementierungsfaktoren auf neonatologischen Intensivstationen erfassen</w:t>
      </w:r>
    </w:p>
    <w:p>
      <w:r>
        <w:rPr>
          <w:i/>
          <w:color w:val="666666"/>
          <w:sz w:val="18"/>
        </w:rPr>
        <w:t>Dymek NG et al.  ·  BMC Health Serv Res  ·  05.09.2026  ·  PMID 42706532</w:t>
      </w:r>
    </w:p>
    <w:p>
      <w:r>
        <w:t>Methodische Darstellung des System Support Mapping in Verbindung mit einem Matrixed Multiple Case Study-Ansatz zur Erhebung von Implementierungsfaktoren in einer Studie zur Stillförderung an fünf deutschen neonatologischen Intensivstationen.</w:t>
      </w:r>
    </w:p>
    <w:p>
      <w:r>
        <w:rPr>
          <w:b/>
        </w:rPr>
        <w:t xml:space="preserve">Ergebnis: </w:t>
      </w:r>
      <w:r>
        <w:t>Vorgestellt wird ein Vorgehen in sechs Schritten: je Station eine eigene System Support Map (Schritte 1–3), danach eine stationsübergreifende Matrix zum Vergleich (Schritte 4–6). Innerhalb der Standorte zeigte sich, dass dieselbe Ressource je nach Kontext als förderlich, hinderlich oder beides wahrgenommen wurde; im Vergleich der Standorte traten gleichförmige wie heterogene Muster hervor. Damit lassen sich standortspezifische und übergreifende Strategien voneinander unterscheiden.</w:t>
      </w:r>
    </w:p>
    <w:p>
      <w:r>
        <w:rPr>
          <w:b/>
          <w:sz w:val="19"/>
        </w:rPr>
        <w:t xml:space="preserve">Übertragbarkeit: </w:t>
      </w:r>
      <w:r>
        <w:rPr>
          <w:sz w:val="19"/>
        </w:rPr>
        <w:t>Deutsche NICUs; Implementierungswissenschaft für deutsche Kontexte.</w:t>
      </w:r>
    </w:p>
    <w:p>
      <w:r>
        <w:rPr>
          <w:color w:val="5A7D3A"/>
          <w:sz w:val="18"/>
        </w:rPr>
        <w:t>https://pubmed.ncbi.nlm.nih.gov/42706532/</w:t>
      </w:r>
    </w:p>
    <w:p>
      <w:pPr>
        <w:pStyle w:val="Heading2"/>
      </w:pPr>
      <w:r>
        <w:t>Primary Care Behavioral Health in der schwedischen Primärversorgung: Ergebnisse einer Pilotstudie</w:t>
      </w:r>
    </w:p>
    <w:p>
      <w:r>
        <w:rPr>
          <w:i/>
          <w:color w:val="666666"/>
          <w:sz w:val="18"/>
        </w:rPr>
        <w:t>Nordgren LB et al.  ·  BMC Health Serv Res  ·  03.09.2026  ·  PMID 42706525</w:t>
      </w:r>
    </w:p>
    <w:p>
      <w:r>
        <w:t>Stepped-Wedge-Studie zur Einführung des Primary Care Behavioral Health-Modells in vier schwedischen Primärversorgungszentren mit 37.100 eingeschriebenen Patienten über drei Zeiträume.</w:t>
      </w:r>
    </w:p>
    <w:p>
      <w:r>
        <w:rPr>
          <w:b/>
        </w:rPr>
        <w:t xml:space="preserve">Ergebnis: </w:t>
      </w:r>
      <w:r>
        <w:t>Nach der Einführung sank die Wartezeit auf den Ersttermin um 30–39 % (von 16 auf 10 bis 11 Tage, p&lt;0,001), die Wartezeit auf alle Termine um 21–24 % (von 18 auf 13,7 bis 14,2 Tage, p&lt;0,001). Die Zahl der Termine bei Behavioral Health Consultants stieg um 21–34 % (von 1.762 auf 2.127 bis 2.359, p&lt;0,001), die Zahl der Psychopharmaka-Verordnungen sank um 14–18 % (von 8.025 auf 6.570 bis 6.927, p&lt;0,001). Nach Abschluss der Einführungsphase gingen die Verbesserungen teilweise zurück.</w:t>
      </w:r>
    </w:p>
    <w:p>
      <w:r>
        <w:rPr>
          <w:b/>
          <w:sz w:val="19"/>
        </w:rPr>
        <w:t xml:space="preserve">Übertragbarkeit: </w:t>
      </w:r>
      <w:r>
        <w:rPr>
          <w:sz w:val="19"/>
        </w:rPr>
        <w:t>Schweden, Primärversorgung; hausarztgesteuertes System, aber prozessuale Lernpunkte übertragbar.</w:t>
      </w:r>
    </w:p>
    <w:p>
      <w:r>
        <w:rPr>
          <w:color w:val="5A7D3A"/>
          <w:sz w:val="18"/>
        </w:rPr>
        <w:t>https://pubmed.ncbi.nlm.nih.gov/42706525/</w:t>
      </w:r>
    </w:p>
    <w:p>
      <w:pPr>
        <w:pStyle w:val="Heading2"/>
      </w:pPr>
      <w:r>
        <w:t>Leitliniengerechte Aphasietherapie: Systembarrieren im deutschsprachigen Raum</w:t>
      </w:r>
    </w:p>
    <w:p>
      <w:r>
        <w:rPr>
          <w:i/>
          <w:color w:val="666666"/>
          <w:sz w:val="18"/>
        </w:rPr>
        <w:t>May S et al.  ·  BMC Health Serv Res  ·  07.09.2026  ·  PMID 42706524</w:t>
      </w:r>
    </w:p>
    <w:p>
      <w:r>
        <w:t>Explorative qualitative Studie mit zwei Online-Fokusgruppen aus Menschen mit Aphasie, Angehörigen, Logopäden und Akteuren des Gesundheitswesens zu den Hürden einer leitliniengerechten Therapie im deutschsprachigen Raum.</w:t>
      </w:r>
    </w:p>
    <w:p>
      <w:r>
        <w:rPr>
          <w:b/>
        </w:rPr>
        <w:t xml:space="preserve">Ergebnis: </w:t>
      </w:r>
      <w:r>
        <w:t>Sechs Kategorien von Barrieren wurden benannt: gesellschaftliche und systemische Rahmenbedingungen, Zugang zur Versorgung, Brüche im Behandlungsverlauf, die Rolle der Angehörigen, psychosoziale Faktoren und Lücken in der interdisziplinären Versorgung. Als besonders anfällig gilt der Übergang von der stationären in die ambulante Versorgung; zerklüftete Versorgungspfade und finanzielle Hürden erschwerten die Umsetzung, und die informelle Unterstützung durch Angehörige schuf Ungleichheiten beim Zugang.</w:t>
      </w:r>
    </w:p>
    <w:p>
      <w:r>
        <w:rPr>
          <w:b/>
          <w:sz w:val="19"/>
        </w:rPr>
        <w:t xml:space="preserve">Übertragbarkeit: </w:t>
      </w:r>
      <w:r>
        <w:rPr>
          <w:sz w:val="19"/>
        </w:rPr>
        <w:t>Deutschland/Österreich/Schweiz, direkt; fokussiert auf Versorgungslücken und Systembarrieren.</w:t>
      </w:r>
    </w:p>
    <w:p>
      <w:r>
        <w:rPr>
          <w:color w:val="5A7D3A"/>
          <w:sz w:val="18"/>
        </w:rPr>
        <w:t>https://pubmed.ncbi.nlm.nih.gov/42706524/</w:t>
      </w:r>
    </w:p>
    <w:p>
      <w:pPr>
        <w:pStyle w:val="Heading2"/>
      </w:pPr>
      <w:r>
        <w:t>Patientenzufriedenheit in der Tele-Ophthalmologie: systematisches Review mit Metaanalyse</w:t>
      </w:r>
    </w:p>
    <w:p>
      <w:r>
        <w:rPr>
          <w:i/>
          <w:color w:val="666666"/>
          <w:sz w:val="18"/>
        </w:rPr>
        <w:t>Al-Nosairy KO et al.  ·  Eye (Lond)  ·  07.09.2026  ·  PMID 42706426</w:t>
      </w:r>
    </w:p>
    <w:p>
      <w:r>
        <w:t>Systematisches Review mit Metaanalyse aus 41 Studien (24.595 Teilnehmende) zum Vergleich der Patientenzufriedenheit zwischen tele-ophthalmologischer und persönlicher augenärztlicher Versorgung.</w:t>
      </w:r>
    </w:p>
    <w:p>
      <w:r>
        <w:rPr>
          <w:b/>
        </w:rPr>
        <w:t xml:space="preserve">Ergebnis: </w:t>
      </w:r>
      <w:r>
        <w:t>Die Zufriedenheit war vergleichbar (OR 0,98; 95%-KI 0,36–2,65, p=0,95). Gepoolt lag die Zufriedenheit mit der Telemedizin bei 93,5 % (95%-KI 90,8–95,5), die allgemeine Akzeptanz bei 92,0 %. Asynchrone (94,6 %), synchrone (92,1 %) und hybride Modelle (93,8 %) unterschieden sich kaum. Die Weiterempfehlung fiel höher aus (94,9 %) als die Absicht zur erneuten Nutzung (84,0 %); ein Publikationsbias war nicht nachweisbar (p&gt;0,05).</w:t>
      </w:r>
    </w:p>
    <w:p>
      <w:r>
        <w:rPr>
          <w:b/>
          <w:sz w:val="19"/>
        </w:rPr>
        <w:t xml:space="preserve">Übertragbarkeit: </w:t>
      </w:r>
      <w:r>
        <w:rPr>
          <w:sz w:val="19"/>
        </w:rPr>
        <w:t>Querschnittsübertragbar: Patientenzufriedenheit systemunabhängig.</w:t>
      </w:r>
    </w:p>
    <w:p>
      <w:r>
        <w:rPr>
          <w:color w:val="5A7D3A"/>
          <w:sz w:val="18"/>
        </w:rPr>
        <w:t>https://pubmed.ncbi.nlm.nih.gov/42706426/</w:t>
      </w:r>
    </w:p>
    <w:p>
      <w:pPr>
        <w:pStyle w:val="Heading2"/>
      </w:pPr>
      <w:r>
        <w:t>Hausarztkontakte und Prävention chronischer Erkrankungen in Chinas Gesundheitsreform</w:t>
      </w:r>
    </w:p>
    <w:p>
      <w:r>
        <w:rPr>
          <w:i/>
          <w:color w:val="666666"/>
          <w:sz w:val="18"/>
        </w:rPr>
        <w:t>Zhang Y et al.  ·  Soc Sci Med  ·  12.08.2026  ·  PMID 42704983</w:t>
      </w:r>
    </w:p>
    <w:p>
      <w:r>
        <w:t>Panelstudie mit 11.425 Personen aus vier Erhebungswellen (2011–2018) der China Health and Retirement Longitudinal Study zum Zusammenhang zwischen Hausarztkontakten, dem Neuauftreten chronischer Erkrankungen und der Krankenhausnutzung.</w:t>
      </w:r>
    </w:p>
    <w:p>
      <w:r>
        <w:rPr>
          <w:b/>
        </w:rPr>
        <w:t xml:space="preserve">Ergebnis: </w:t>
      </w:r>
      <w:r>
        <w:t>Jeder zusätzliche Hausarztkontakt ging mit weniger neu hinzukommenden chronischen Erkrankungen einher (−0,011; 95%-KI −0,017 bis −0,004). Stärker war der Zusammenhang bei Stadtbewohnern (−0,016), bei Personen mit Grundschulbildung (−0,014) und bei nur einer chronischen Erkrankung (−0,018). Bei bereits Erkrankten bestand kein signifikanter Zusammenhang mit ambulanten Krankenhauskontakten (−0,010; 95%-KI −0,029 bis 0,009) oder stationären Aufnahmen (0,010; 95%-KI −0,020 bis 0,040).</w:t>
      </w:r>
    </w:p>
    <w:p>
      <w:r>
        <w:rPr>
          <w:b/>
          <w:sz w:val="19"/>
        </w:rPr>
        <w:t xml:space="preserve">Übertragbarkeit: </w:t>
      </w:r>
      <w:r>
        <w:rPr>
          <w:sz w:val="19"/>
        </w:rPr>
        <w:t>China; Konzepte zu Primärversorgung und Prävention aber strukturelle Unterschiede erheblich.</w:t>
      </w:r>
    </w:p>
    <w:p>
      <w:r>
        <w:rPr>
          <w:color w:val="5A7D3A"/>
          <w:sz w:val="18"/>
        </w:rPr>
        <w:t>https://pubmed.ncbi.nlm.nih.gov/42704983/</w:t>
      </w:r>
    </w:p>
    <w:p>
      <w:pPr>
        <w:pStyle w:val="Heading1"/>
      </w:pPr>
      <w:r>
        <w:t>Aufgenommen am 08.09.2026</w:t>
      </w:r>
    </w:p>
    <w:p>
      <w:pPr>
        <w:pStyle w:val="Heading2"/>
      </w:pPr>
      <w:r>
        <w:t>Patientensicht auf Zahnbehandlungsqualität: qualitative Systematik-Übersicht</w:t>
      </w:r>
    </w:p>
    <w:p>
      <w:r>
        <w:rPr>
          <w:i/>
          <w:color w:val="666666"/>
          <w:sz w:val="18"/>
        </w:rPr>
        <w:t>Tay AHC et al.  ·  J Dent Res  ·  07.09.2026  ·  PMID 42703647</w:t>
      </w:r>
    </w:p>
    <w:p>
      <w:r>
        <w:t>Systematische qualitative Analyse von 36 Studien zur Patientenwahrnehmung von Qualität in der Zahnversorgung.</w:t>
      </w:r>
    </w:p>
    <w:p>
      <w:r>
        <w:rPr>
          <w:b/>
        </w:rPr>
        <w:t xml:space="preserve">Ergebnis: </w:t>
      </w:r>
      <w:r>
        <w:t>Vier Kernthemen: (1) strukturelle Bedingungen für Vertrauen, (2) Sicherheit durch erlebte Kompetenz, (3) zwischenmenschliche Pflege als Qualitätsfundament (Respekt, Empathie, Kommunikation, Shared Decision Making), (4) kontinuierliche Beziehung als patientenrelevantes Ergebnis. Patienten deuten relationale und emotionale Aspekte als Indikatoren der Systemorientierung.</w:t>
      </w:r>
    </w:p>
    <w:p>
      <w:r>
        <w:rPr>
          <w:b/>
          <w:sz w:val="19"/>
        </w:rPr>
        <w:t xml:space="preserve">Übertragbarkeit: </w:t>
      </w:r>
      <w:r>
        <w:rPr>
          <w:sz w:val="19"/>
        </w:rPr>
        <w:t>Diverse Populationen international, Thematik der Patientenzentralität systemunabhängig übertragbar.</w:t>
      </w:r>
    </w:p>
    <w:p>
      <w:r>
        <w:rPr>
          <w:color w:val="5A7D3A"/>
          <w:sz w:val="18"/>
        </w:rPr>
        <w:t>https://pubmed.ncbi.nlm.nih.gov/42703647/</w:t>
      </w:r>
    </w:p>
    <w:p>
      <w:pPr>
        <w:pStyle w:val="Heading2"/>
      </w:pPr>
      <w:r>
        <w:t>Regionale Disparitäten bei Lebendnierenverpflanzungen in Australien und Neuseeland</w:t>
      </w:r>
    </w:p>
    <w:p>
      <w:r>
        <w:rPr>
          <w:i/>
          <w:color w:val="666666"/>
          <w:sz w:val="18"/>
        </w:rPr>
        <w:t>McMichael LC et al.  ·  Am J Transplant  ·  03.09.2026  ·  PMID 42692200</w:t>
      </w:r>
    </w:p>
    <w:p>
      <w:r>
        <w:t>Analyse der ANZORGG-Registry (Australien, Neuseeland) zu regionalen Unterschieden bei Zugang zu Lebendnierenverpflanzung.</w:t>
      </w:r>
    </w:p>
    <w:p>
      <w:r>
        <w:rPr>
          <w:b/>
        </w:rPr>
        <w:t xml:space="preserve">Ergebnis: </w:t>
      </w:r>
      <w:r>
        <w:t>Standardisierte Quote lebender Nierenverpflanzungen variierte zwischen 0,36 und 2,11 über 21 Netzwerke (n=53.313 Patienten 2002–2022). Von 21 Netzwerken lagen 4 (19%) unter Erwartung. Faktoren: direkte Transplantationsaffiliation des Behandlungszentrums, nicht-metropolitane Residenz und zeitnahe nephrologische Vorstellung assoziiert mit erhöhtem Lebendspender-Transplantationsrisiko.</w:t>
      </w:r>
    </w:p>
    <w:p>
      <w:r>
        <w:rPr>
          <w:b/>
          <w:sz w:val="19"/>
        </w:rPr>
        <w:t xml:space="preserve">Übertragbarkeit: </w:t>
      </w:r>
      <w:r>
        <w:rPr>
          <w:sz w:val="19"/>
        </w:rPr>
        <w:t>Australien/Neuseeland, Fragestellung zu regionalen Versorgungsungleichheiten in spezialisierten Leistungen übertragbar auf Deutschland.</w:t>
      </w:r>
    </w:p>
    <w:p>
      <w:r>
        <w:rPr>
          <w:color w:val="5A7D3A"/>
          <w:sz w:val="18"/>
        </w:rPr>
        <w:t>https://pubmed.ncbi.nlm.nih.gov/42692200/</w:t>
      </w:r>
    </w:p>
    <w:p>
      <w:pPr>
        <w:pStyle w:val="Heading2"/>
      </w:pPr>
      <w:r>
        <w:t>Private Krankenversicherung und Prävention in Australien: Längsschnittstudie</w:t>
      </w:r>
    </w:p>
    <w:p>
      <w:r>
        <w:rPr>
          <w:i/>
          <w:color w:val="666666"/>
          <w:sz w:val="18"/>
        </w:rPr>
        <w:t>Nguyen CM et al.  ·  Public Health  ·  03.09.2026  ·  PMID 42691737</w:t>
      </w:r>
    </w:p>
    <w:p>
      <w:r>
        <w:t>Längsschnittstudie an 9.674 australischen Erwachsenen (2009–2017) zur Assoziation zwischen privater Krankenversicherung und Nutzung von Präventivleistungen.</w:t>
      </w:r>
    </w:p>
    <w:p>
      <w:r>
        <w:rPr>
          <w:b/>
        </w:rPr>
        <w:t xml:space="preserve">Ergebnis: </w:t>
      </w:r>
      <w:r>
        <w:t>Chronische Erkrankungen wurden häufiger, Prävention nahm zu. Nach Adjustment zeigte sich: Bei Frauen waren hospital PHI und kombinierte PHI mit IRR 1,14 (95%-KI 1,09–1,18) bzw. 1,18 (1,11–1,25) assoziiert; bei Männern hospital PHI mit IRR 1,12 (1,00–1,23) und kombinierte PHI mit IRR 1,18 (1,11–1,25).</w:t>
      </w:r>
    </w:p>
    <w:p>
      <w:r>
        <w:rPr>
          <w:b/>
          <w:sz w:val="19"/>
        </w:rPr>
        <w:t xml:space="preserve">Übertragbarkeit: </w:t>
      </w:r>
      <w:r>
        <w:rPr>
          <w:sz w:val="19"/>
        </w:rPr>
        <w:t>Australisches Zwei-Klassen-System mit Medicare-Basisversorgung und zusätzlicher privater Versicherung; Frage zu Versicherungsstatus und Prävention eingeschränkt übertragbar.</w:t>
      </w:r>
    </w:p>
    <w:p>
      <w:r>
        <w:rPr>
          <w:color w:val="5A7D3A"/>
          <w:sz w:val="18"/>
        </w:rPr>
        <w:t>https://pubmed.ncbi.nlm.nih.gov/42691737/</w:t>
      </w:r>
    </w:p>
    <w:p>
      <w:pPr>
        <w:pStyle w:val="Heading2"/>
      </w:pPr>
      <w:r>
        <w:t>Screening auf Autoimmunität bei Typ-1-Diabetes aus Sicht des Fachpersonals</w:t>
      </w:r>
    </w:p>
    <w:p>
      <w:r>
        <w:rPr>
          <w:i/>
          <w:color w:val="666666"/>
          <w:sz w:val="18"/>
        </w:rPr>
        <w:t>Majstorovic M et al.  ·  Diabet Med  ·  01.09.2026  ·  PMID 42682016</w:t>
      </w:r>
    </w:p>
    <w:p>
      <w:r>
        <w:t>Qualitative Studie mit 32 australischen Fachkräften (Kindermedizin) zu Perspektiven auf Screening und Monitoring von Inselzellautoantkörpern.</w:t>
      </w:r>
    </w:p>
    <w:p>
      <w:r>
        <w:rPr>
          <w:b/>
        </w:rPr>
        <w:t xml:space="preserve">Ergebnis: </w:t>
      </w:r>
      <w:r>
        <w:t>Sieben Themen identifiziert: (1) umstrittenes Screening, (2) Strukturüberlegungen, (3) Zugangsparität, (4) Managementfokus auf Testerleben, (5) potenzielle psychische Folgen, (6) Bewältigungsfähigkeit der Betreuer, (7) Bedeutung vertrauensvoller Beziehungen. Fachkräfte betonten psychische Belastungen für Familien, Wichtigkeit therapeutischer Beziehungen.</w:t>
      </w:r>
    </w:p>
    <w:p>
      <w:r>
        <w:rPr>
          <w:b/>
          <w:sz w:val="19"/>
        </w:rPr>
        <w:t xml:space="preserve">Übertragbarkeit: </w:t>
      </w:r>
      <w:r>
        <w:rPr>
          <w:sz w:val="19"/>
        </w:rPr>
        <w:t>Qualitative Fachperspektive, Thema Screening-Akzeptanz und -Design systemunabhängig relevant.</w:t>
      </w:r>
    </w:p>
    <w:p>
      <w:r>
        <w:rPr>
          <w:color w:val="5A7D3A"/>
          <w:sz w:val="18"/>
        </w:rPr>
        <w:t>https://pubmed.ncbi.nlm.nih.gov/42682016/</w:t>
      </w:r>
    </w:p>
    <w:p>
      <w:pPr>
        <w:pStyle w:val="Heading2"/>
      </w:pPr>
      <w:r>
        <w:t>Verfügbarkeit und Zugang zu Infertilitätsversorgung in West- und Zentralafrika</w:t>
      </w:r>
    </w:p>
    <w:p>
      <w:r>
        <w:rPr>
          <w:i/>
          <w:color w:val="666666"/>
          <w:sz w:val="18"/>
        </w:rPr>
        <w:t>Thomas HL et al.  ·  BMC Health Serv Res  ·  04.08.2026  ·  PMID 42681645</w:t>
      </w:r>
    </w:p>
    <w:p>
      <w:r>
        <w:t>Länderübergreifende Studie (Burkina Faso, Elfenbeinküste, Niger, Uganda) zu Verfügbarkeit, geografischem Zugang und Nutzung von STI-Tests und Infertilitätsservices.</w:t>
      </w:r>
    </w:p>
    <w:p>
      <w:r>
        <w:rPr>
          <w:b/>
        </w:rPr>
        <w:t xml:space="preserve">Ergebnis: </w:t>
      </w:r>
      <w:r>
        <w:t>STI-Tests verfügbar in 68,5–92,6% der Einrichtungen, Infertilitätsservices in 28,4–44,0% (Burkina Faso 78,3%). Frauen mit höherer Bildung, Wohlstand, urbaner Residenz hatten besseren Zugang. In Burkina Faso und Niger: Frauen innerhalb 5 km STI-Testung zeigten erhöhte biomedizinische Inanspruchnahme (aOR 2,94 bzw. 7,19).</w:t>
      </w:r>
    </w:p>
    <w:p>
      <w:r>
        <w:rPr>
          <w:b/>
          <w:sz w:val="19"/>
        </w:rPr>
        <w:t xml:space="preserve">Übertragbarkeit: </w:t>
      </w:r>
      <w:r>
        <w:rPr>
          <w:sz w:val="19"/>
        </w:rPr>
        <w:t>Subsaharische Länder mit begrenzten Ressourcen, Fragestellung zu geografischem Zugang und Inanspruchnahme grundsätzlich relevant.</w:t>
      </w:r>
    </w:p>
    <w:p>
      <w:r>
        <w:rPr>
          <w:color w:val="5A7D3A"/>
          <w:sz w:val="18"/>
        </w:rPr>
        <w:t>https://pubmed.ncbi.nlm.nih.gov/42681645/</w:t>
      </w:r>
    </w:p>
    <w:p>
      <w:pPr>
        <w:pStyle w:val="Heading2"/>
      </w:pPr>
      <w:r>
        <w:t>Nationale Implementierung eines TB-Probenversandsystems in der Republik Kongo</w:t>
      </w:r>
    </w:p>
    <w:p>
      <w:r>
        <w:rPr>
          <w:i/>
          <w:color w:val="666666"/>
          <w:sz w:val="18"/>
        </w:rPr>
        <w:t>Elion Assiana DO et al.  ·  Trop Med Infect Dis  ·  17.08.2026  ·  PMID 42646806</w:t>
      </w:r>
    </w:p>
    <w:p>
      <w:r>
        <w:t>Dreijährige Mixed-Methods-Studie (Pilot Januar–Juni 2023, Scale-up Juli 2023–Dezember 2025) zur Umsetzung eines strukturierten Versandsystems für TB-Diagnostik.</w:t>
      </w:r>
    </w:p>
    <w:p>
      <w:r>
        <w:rPr>
          <w:b/>
        </w:rPr>
        <w:t xml:space="preserve">Ergebnis: </w:t>
      </w:r>
      <w:r>
        <w:t>Pilot-Phase: 962 Proben, 30,6% TB-Fälle (12/294 RR-TB), medianer Turnaround 53 h urban/62 h rural, 86% Beteiligungsquote. Scale-up (29 → 12/12 Departements): 2154 Proben (2023) → 5160 (2024), 2587 TB- und 84 RR-TB-Fälle über 3 Jahre detektiert. TB-Detektionsbeitrag stieg von 9,2% auf 16,0%, RR-TB von 10,4% auf 18,7%.</w:t>
      </w:r>
    </w:p>
    <w:p>
      <w:r>
        <w:rPr>
          <w:b/>
          <w:sz w:val="19"/>
        </w:rPr>
        <w:t xml:space="preserve">Übertragbarkeit: </w:t>
      </w:r>
      <w:r>
        <w:rPr>
          <w:sz w:val="19"/>
        </w:rPr>
        <w:t>Ressourcenlimitiertes Subsahara-Kontext, Versorgungsforschung zur Stärkung von Diagnostikzugang relevant, aber nur bedingt auf deutsche Strukturen übertragbar.</w:t>
      </w:r>
    </w:p>
    <w:p>
      <w:r>
        <w:rPr>
          <w:color w:val="5A7D3A"/>
          <w:sz w:val="18"/>
        </w:rPr>
        <w:t>https://pubmed.ncbi.nlm.nih.gov/42646806/</w:t>
      </w:r>
    </w:p>
    <w:p>
      <w:pPr>
        <w:pStyle w:val="Heading1"/>
      </w:pPr>
      <w:r>
        <w:t>Aufgenommen am 07.09.2026</w:t>
      </w:r>
    </w:p>
    <w:p>
      <w:pPr>
        <w:pStyle w:val="Heading2"/>
      </w:pPr>
      <w:r>
        <w:t>Depressive Symptom Networks bei älteren Erwachsenen: Episodische versus persistente Symptome</w:t>
      </w:r>
    </w:p>
    <w:p>
      <w:r>
        <w:rPr>
          <w:i/>
          <w:color w:val="666666"/>
          <w:sz w:val="18"/>
        </w:rPr>
        <w:t>Stratmann MW et al.  ·  Int Psychogeriatr  ·  05.09.2026  ·  PMID 42701078</w:t>
      </w:r>
    </w:p>
    <w:p>
      <w:r>
        <w:t>Vergleichende Netzwerkanalyse depressiver Symptome bei 8.519 älteren Erwachsenen (60+ Jahre) aus SHARE-Daten zur Frage, ob persistente Depressionen dichtere Symptomnetze aufweisen als episodische.</w:t>
      </w:r>
    </w:p>
    <w:p>
      <w:r>
        <w:rPr>
          <w:b/>
        </w:rPr>
        <w:t xml:space="preserve">Ergebnis: </w:t>
      </w:r>
      <w:r>
        <w:t>Kein signifikanter Unterschied in globaler Netzwerkstärke oder -struktur zwischen episodischen (44,0%) und persistenten/rezidivierenden (56,0%) depressiven Symptomen (p = 0,17 bzw. p = 0,60). Mangelndes Interesse, depressive Stimmung und Suizidalität zeigten höchste Stärke in beiden Netzwerken.</w:t>
      </w:r>
    </w:p>
    <w:p>
      <w:r>
        <w:rPr>
          <w:b/>
          <w:sz w:val="19"/>
        </w:rPr>
        <w:t xml:space="preserve">Übertragbarkeit: </w:t>
      </w:r>
      <w:r>
        <w:rPr>
          <w:sz w:val="19"/>
        </w:rPr>
        <w:t>Deutschland: SHARE-Daten, gesetzlich Versicherte ab 60 Jahren, europäisches Sozialversicherungssystem</w:t>
      </w:r>
    </w:p>
    <w:p>
      <w:r>
        <w:rPr>
          <w:color w:val="5A7D3A"/>
          <w:sz w:val="18"/>
        </w:rPr>
        <w:t>https://pubmed.ncbi.nlm.nih.gov/42701078/</w:t>
      </w:r>
    </w:p>
    <w:p>
      <w:pPr>
        <w:pStyle w:val="Heading2"/>
      </w:pPr>
      <w:r>
        <w:t>Person-zentrierte Geburtshilfe: Wahrnehmungsbildung und Sinnkonstruktion</w:t>
      </w:r>
    </w:p>
    <w:p>
      <w:r>
        <w:rPr>
          <w:i/>
          <w:color w:val="666666"/>
          <w:sz w:val="18"/>
        </w:rPr>
        <w:t>Okumu MR et al.  ·  Eur J Midwifery  ·  04.09.2026  ·  PMID 42699730</w:t>
      </w:r>
    </w:p>
    <w:p>
      <w:r>
        <w:t>Qualitative Grounded-Theory-Studie mit 12 Interviews zu Gebärfähigen, um zu verstehen, wie Frauen ihre Geburtsversorgung wahrnehmen und interpretieren.</w:t>
      </w:r>
    </w:p>
    <w:p>
      <w:r>
        <w:rPr>
          <w:b/>
        </w:rPr>
        <w:t xml:space="preserve">Ergebnis: </w:t>
      </w:r>
      <w:r>
        <w:t>Sense of Coherence (SoC) als Kernkategorie identifiziert: Negative Erfahrungen korreliert mit niedriger SoC, positive mit hoher SoC. Kontextuelle Faktoren (Verständlichkeit, wahrgenommene Machbarkeit, situative Rahmung) prägen die Wahrnehmung von Geburtssituationen.</w:t>
      </w:r>
    </w:p>
    <w:p>
      <w:r>
        <w:rPr>
          <w:b/>
          <w:sz w:val="19"/>
        </w:rPr>
        <w:t xml:space="preserve">Übertragbarkeit: </w:t>
      </w:r>
      <w:r>
        <w:rPr>
          <w:sz w:val="19"/>
        </w:rPr>
        <w:t>Deutschland: Deutsche Hochschulkliniken, qualitative Versorgungsforschung zur Patientenperspektive</w:t>
      </w:r>
    </w:p>
    <w:p>
      <w:r>
        <w:rPr>
          <w:color w:val="5A7D3A"/>
          <w:sz w:val="18"/>
        </w:rPr>
        <w:t>https://pubmed.ncbi.nlm.nih.gov/42699730/</w:t>
      </w:r>
    </w:p>
    <w:p>
      <w:pPr>
        <w:pStyle w:val="Heading2"/>
      </w:pPr>
      <w:r>
        <w:t>Pflegekräfte-Retention in Europa: Warum ökonomische Evidenz fehlt</w:t>
      </w:r>
    </w:p>
    <w:p>
      <w:r>
        <w:rPr>
          <w:i/>
          <w:color w:val="666666"/>
          <w:sz w:val="18"/>
        </w:rPr>
        <w:t>Maier CB et al.  ·  Lancet Reg Health Eur  ·  25.08.2026  ·  PMID 42699328</w:t>
      </w:r>
    </w:p>
    <w:p>
      <w:r>
        <w:t>Viewpoint zur Evidenzlücke für Kosteffektivität von Pflegekräfte-Retentionsmassnahmen in europäischen Gesundheitssystemen.</w:t>
      </w:r>
    </w:p>
    <w:p>
      <w:r>
        <w:rPr>
          <w:b/>
        </w:rPr>
        <w:t xml:space="preserve">Ergebnis: </w:t>
      </w:r>
      <w:r>
        <w:t>Europäische Länder verfügen im Gegensatz zu Nordamerika und Australien über keine vergleichbaren Kostenangaben für Pflegekräfte-Fluktuation. Turnover-Kosten sind nicht zwischen Systemen übertragbar wegen unterschiedlicher Lohn-, Skill-Mix- und Praxisstrukturen. Europäische Forschungsagenda erforderlich.</w:t>
      </w:r>
    </w:p>
    <w:p>
      <w:r>
        <w:rPr>
          <w:b/>
          <w:sz w:val="19"/>
        </w:rPr>
        <w:t xml:space="preserve">Übertragbarkeit: </w:t>
      </w:r>
      <w:r>
        <w:rPr>
          <w:sz w:val="19"/>
        </w:rPr>
        <w:t>Deutschland, Österreich, Schweiz: Hohe Übertragbarkeit für deutsche Krankenhausversorgung und Personalmanagement</w:t>
      </w:r>
    </w:p>
    <w:p>
      <w:r>
        <w:rPr>
          <w:color w:val="5A7D3A"/>
          <w:sz w:val="18"/>
        </w:rPr>
        <w:t>https://pubmed.ncbi.nlm.nih.gov/42699328/</w:t>
      </w:r>
    </w:p>
    <w:p>
      <w:pPr>
        <w:pStyle w:val="Heading2"/>
      </w:pPr>
      <w:r>
        <w:t>Pharmacy-Reimbursement-Reform und Stufendiagnose in China: Effekt auf Gesundheitsausgaben</w:t>
      </w:r>
    </w:p>
    <w:p>
      <w:r>
        <w:rPr>
          <w:i/>
          <w:color w:val="666666"/>
          <w:sz w:val="18"/>
        </w:rPr>
        <w:t>Zhang K et al.  ·  BMC Health Serv Res  ·  22.08.2026  ·  PMID 42693454</w:t>
      </w:r>
    </w:p>
    <w:p>
      <w:r>
        <w:t>Evaluierung der Auswirkungen der RPOR-Reform (Retail Pharmacies Outpatient Reimbursement) auf Versorgungsverlauf, Inanspruchnahme und Gesamtausgaben mittels Staggered-DID-Analyse.</w:t>
      </w:r>
    </w:p>
    <w:p>
      <w:r>
        <w:rPr>
          <w:b/>
        </w:rPr>
        <w:t xml:space="preserve">Ergebnis: </w:t>
      </w:r>
      <w:r>
        <w:t>RPOR erhöhte Apothekenbesuche (0,119**), Apotheken-Ausgabenanteil (0,439**), verdrängte aber ambulante Primärversorgung (-0,670***) und senkte Gesamtausgaben (-0,490**). Effekte variierten nach Alter, Einkommen und regionalen Ressourcen.</w:t>
      </w:r>
    </w:p>
    <w:p>
      <w:r>
        <w:rPr>
          <w:b/>
          <w:sz w:val="19"/>
        </w:rPr>
        <w:t xml:space="preserve">Übertragbarkeit: </w:t>
      </w:r>
      <w:r>
        <w:rPr>
          <w:sz w:val="19"/>
        </w:rPr>
        <w:t>Bedingt: China-Daten, anderes Sozialversicherungssystem und Ressourcenkontext, aber Fragestellung zu Versorgungssteuerung übertragbar</w:t>
      </w:r>
    </w:p>
    <w:p>
      <w:r>
        <w:rPr>
          <w:color w:val="5A7D3A"/>
          <w:sz w:val="18"/>
        </w:rPr>
        <w:t>https://pubmed.ncbi.nlm.nih.gov/42693454/</w:t>
      </w:r>
    </w:p>
    <w:p>
      <w:pPr>
        <w:pStyle w:val="Heading2"/>
      </w:pPr>
      <w:r>
        <w:t>xPEDition pain: Public-Health-Kampagne zu chronischem Schmerz in Grenzregion</w:t>
      </w:r>
    </w:p>
    <w:p>
      <w:r>
        <w:rPr>
          <w:i/>
          <w:color w:val="666666"/>
          <w:sz w:val="18"/>
        </w:rPr>
        <w:t>Sanina AY et al.  ·  BMJ Open  ·  03.09.2026  ·  PMID 42692519</w:t>
      </w:r>
    </w:p>
    <w:p>
      <w:r>
        <w:t>Quasi-experimentelle Vorher-Nachher-Studie mit Kontrollgruppe zu Wirkung einer grenzüberschreitenden Public-Health-Kampagne (Niederlande/Deutschland vs. Flandern) auf Schmerzwissen und -einstellungen.</w:t>
      </w:r>
    </w:p>
    <w:p>
      <w:r>
        <w:rPr>
          <w:b/>
        </w:rPr>
        <w:t xml:space="preserve">Ergebnis: </w:t>
      </w:r>
      <w:r>
        <w:t>Intervention geplant für 24 Monate in niederländisch-deutscher Ems-Dollart-Region, Kontrollgruppe Flandern. Messungen bei 3.200 Personen pro Welle (Baseline, 2-Jahres-Follow-up) mit Pain Concepts Questionnaire als primärem Outcome. Primäranalyse: Difference-in-Differences.</w:t>
      </w:r>
    </w:p>
    <w:p>
      <w:r>
        <w:rPr>
          <w:b/>
          <w:sz w:val="19"/>
        </w:rPr>
        <w:t xml:space="preserve">Übertragbarkeit: </w:t>
      </w:r>
      <w:r>
        <w:rPr>
          <w:sz w:val="19"/>
        </w:rPr>
        <w:t>Niederlande, Deutschland: Direkt übertragbar auf deutsches Gesundheitssystem, grenzüberschreitend, Versorgungsforschungsmethodik</w:t>
      </w:r>
    </w:p>
    <w:p>
      <w:r>
        <w:rPr>
          <w:color w:val="5A7D3A"/>
          <w:sz w:val="18"/>
        </w:rPr>
        <w:t>https://pubmed.ncbi.nlm.nih.gov/42692519/</w:t>
      </w:r>
    </w:p>
    <w:p>
      <w:pPr>
        <w:pStyle w:val="Heading1"/>
      </w:pPr>
      <w:r>
        <w:t>Aufgenommen am 06.09.2026</w:t>
      </w:r>
    </w:p>
    <w:p>
      <w:pPr>
        <w:pStyle w:val="Heading2"/>
      </w:pPr>
      <w:r>
        <w:t>Sozialer Gradient und Alkoholkonsum bei Mortalität</w:t>
      </w:r>
    </w:p>
    <w:p>
      <w:r>
        <w:rPr>
          <w:i/>
          <w:color w:val="666666"/>
          <w:sz w:val="18"/>
        </w:rPr>
        <w:t>Butovetsky I et al.  ·  Alcohol Clin Exp Res (Hoboken)  ·  Sept. 2026  ·  PMID 42698350</w:t>
      </w:r>
    </w:p>
    <w:p>
      <w:r>
        <w:t>Prospektive Kohortenstudie zu Wechselwirkungen zwischen Sozioökonomie, Alkoholkonsum und Gesamtmortalität an 3771-3939 Teilnehmern (Follow-up bis 2023).</w:t>
      </w:r>
    </w:p>
    <w:p>
      <w:r>
        <w:rPr>
          <w:b/>
        </w:rPr>
        <w:t xml:space="preserve">Ergebnis: </w:t>
      </w:r>
      <w:r>
        <w:t>Niedriges Einkommen (HR 1,31, 95%-KI 1,11–1,56), ehemaliger Alkoholkonsum mit Abstinenz (HR 1,56, 95%-KI 1,27–1,92) und hoher Alkoholkonsum (HR 1,31, 95%-KI 1,03–1,66) waren mit erhöhter Mortalität assoziiert. Interaktionseffekte zwischen Alkoholkonsum und SES nachweisbar.</w:t>
      </w:r>
    </w:p>
    <w:p>
      <w:r>
        <w:rPr>
          <w:b/>
          <w:sz w:val="19"/>
        </w:rPr>
        <w:t xml:space="preserve">Übertragbarkeit: </w:t>
      </w:r>
      <w:r>
        <w:rPr>
          <w:sz w:val="19"/>
        </w:rPr>
        <w:t>Deutsche Routinedaten (SHIP-Kohorte, Pomerania), gesetzlich Versicherte</w:t>
      </w:r>
    </w:p>
    <w:p>
      <w:r>
        <w:rPr>
          <w:color w:val="5A7D3A"/>
          <w:sz w:val="18"/>
        </w:rPr>
        <w:t>https://pubmed.ncbi.nlm.nih.gov/42698350/</w:t>
      </w:r>
    </w:p>
    <w:p>
      <w:pPr>
        <w:pStyle w:val="Heading2"/>
      </w:pPr>
      <w:r>
        <w:t>Sozioökonomische Unterschiede beim Zugang zur Pflegeversicherung in Korea</w:t>
      </w:r>
    </w:p>
    <w:p>
      <w:r>
        <w:rPr>
          <w:i/>
          <w:color w:val="666666"/>
          <w:sz w:val="18"/>
        </w:rPr>
        <w:t>Noh JW et al.  ·  BMC Health Serv Res  ·  06.08.2026  ·  PMID 42698085</w:t>
      </w:r>
    </w:p>
    <w:p>
      <w:r>
        <w:t>Deskriptive Analyse der Aufnahmealter in Koreas Langzeitpflegeversicherung bei 1,07 Mio. Erwachsenen (2008–2022).</w:t>
      </w:r>
    </w:p>
    <w:p>
      <w:r>
        <w:rPr>
          <w:b/>
        </w:rPr>
        <w:t xml:space="preserve">Ergebnis: </w:t>
      </w:r>
      <w:r>
        <w:t>Mittleres Aufnahmealter 79,98 Jahre (Antrag) und 80,95 Jahre (Genehmigung), deutlich über Anspruchsalter 65. Frauen, Personen ohne Behinderungen und mit weniger chronischen Erkrankungen traten später ein; Medical-Aid-Versicherte früher als erwerbstätig Versicherte.</w:t>
      </w:r>
    </w:p>
    <w:p>
      <w:r>
        <w:rPr>
          <w:b/>
          <w:sz w:val="19"/>
        </w:rPr>
        <w:t xml:space="preserve">Übertragbarkeit: </w:t>
      </w:r>
      <w:r>
        <w:rPr>
          <w:sz w:val="19"/>
        </w:rPr>
        <w:t>Nationale Verwaltungsdaten Korea; Struktur unterscheidet sich von deutschem System</w:t>
      </w:r>
    </w:p>
    <w:p>
      <w:r>
        <w:rPr>
          <w:color w:val="5A7D3A"/>
          <w:sz w:val="18"/>
        </w:rPr>
        <w:t>https://pubmed.ncbi.nlm.nih.gov/42698085/</w:t>
      </w:r>
    </w:p>
    <w:p>
      <w:pPr>
        <w:pStyle w:val="Heading2"/>
      </w:pPr>
      <w:r>
        <w:t>Geografische Variation Gabapentinoide und Opioide in US-Pflegeheimen</w:t>
      </w:r>
    </w:p>
    <w:p>
      <w:r>
        <w:rPr>
          <w:i/>
          <w:color w:val="666666"/>
          <w:sz w:val="18"/>
        </w:rPr>
        <w:t>Jung H et al.  ·  J Am Med Dir Assoc  ·  04.09.2026  ·  PMID 42696808</w:t>
      </w:r>
    </w:p>
    <w:p>
      <w:r>
        <w:t>Querschnittstudie zur geografischen Variation der Verschreibung von Gabapentinoiden, Opioiden und deren gleichzeitiger Nutzung bei 232.484 langzeitpflegenden Bewohnern (≥65 Jahre) in 9741 US-Pflegeheimen 2021.</w:t>
      </w:r>
    </w:p>
    <w:p>
      <w:r>
        <w:rPr>
          <w:b/>
        </w:rPr>
        <w:t xml:space="preserve">Ergebnis: </w:t>
      </w:r>
      <w:r>
        <w:t>Prävalenz: Gabapentinoid-Monotherapie 13,4%, Opioid-Monotherapie 9,1%, kombiniert 5,4%. Substantielle geografische Variation, besonders bei Opioid-Monotherapie und Kombination. Bewohnercharakteristika erklärten 61–65% der regionalen Variation, Einrichtungsmerkmale erklärten mehr Gabapentinoid-Variation.</w:t>
      </w:r>
    </w:p>
    <w:p>
      <w:r>
        <w:rPr>
          <w:b/>
          <w:sz w:val="19"/>
        </w:rPr>
        <w:t xml:space="preserve">Übertragbarkeit: </w:t>
      </w:r>
      <w:r>
        <w:rPr>
          <w:sz w:val="19"/>
        </w:rPr>
        <w:t>USA, andere Anreizstrukturen; limitiert übertragbar auf deutsches System</w:t>
      </w:r>
    </w:p>
    <w:p>
      <w:r>
        <w:rPr>
          <w:color w:val="5A7D3A"/>
          <w:sz w:val="18"/>
        </w:rPr>
        <w:t>https://pubmed.ncbi.nlm.nih.gov/42696808/</w:t>
      </w:r>
    </w:p>
    <w:p>
      <w:pPr>
        <w:pStyle w:val="Heading2"/>
      </w:pPr>
      <w:r>
        <w:t>Einsamkeit und Isolation in US-amerikanischen Pflegeheimen</w:t>
      </w:r>
    </w:p>
    <w:p>
      <w:r>
        <w:rPr>
          <w:i/>
          <w:color w:val="666666"/>
          <w:sz w:val="18"/>
        </w:rPr>
        <w:t>Nielsen NN et al.  ·  J Am Med Dir Assoc  ·  04.09.2026  ·  PMID 42696806</w:t>
      </w:r>
    </w:p>
    <w:p>
      <w:r>
        <w:t>Mehrebenen-Analyse zu Variation von Einsamkeit/Isolation unter 732.808 Langzeitbewohnern (≥50 Jahre) in 13.491 US-Pflegeheimen (Okt.–Dez. 2023).</w:t>
      </w:r>
    </w:p>
    <w:p>
      <w:r>
        <w:rPr>
          <w:b/>
        </w:rPr>
        <w:t xml:space="preserve">Ergebnis: </w:t>
      </w:r>
      <w:r>
        <w:t>Prävalenz Einsamkeit/Isolation 20,7%. Variation primär zwischen Einrichtungen (VPC ~35%), nicht Landkreisen (VPC ~2%). Frauen, Personen mit psychischen Erkrankungen/Sinnesstörungen häufiger einsam; ältere, nicht-hispanische Schwarze seltener. Profit-Status, ländlicher Raum, Diversity, mehr Pflegepersonal assoziiert mit geringerer Einsamkeit.</w:t>
      </w:r>
    </w:p>
    <w:p>
      <w:r>
        <w:rPr>
          <w:b/>
          <w:sz w:val="19"/>
        </w:rPr>
        <w:t xml:space="preserve">Übertragbarkeit: </w:t>
      </w:r>
      <w:r>
        <w:rPr>
          <w:sz w:val="19"/>
        </w:rPr>
        <w:t>USA; Fragestellung zu Lebensqualität und Prozessmerkmalen bedingt übertragbar</w:t>
      </w:r>
    </w:p>
    <w:p>
      <w:r>
        <w:rPr>
          <w:color w:val="5A7D3A"/>
          <w:sz w:val="18"/>
        </w:rPr>
        <w:t>https://pubmed.ncbi.nlm.nih.gov/42696806/</w:t>
      </w:r>
    </w:p>
    <w:p>
      <w:pPr>
        <w:pStyle w:val="Heading2"/>
      </w:pPr>
      <w:r>
        <w:t>Kontextualisierung der Versorgung bei fortgeschrittenem Lungenkrebs</w:t>
      </w:r>
    </w:p>
    <w:p>
      <w:r>
        <w:rPr>
          <w:i/>
          <w:color w:val="666666"/>
          <w:sz w:val="18"/>
        </w:rPr>
        <w:t>Ruud MM et al.  ·  Patient Educ Couns  ·  31.08.2026  ·  PMID 42696805</w:t>
      </w:r>
    </w:p>
    <w:p>
      <w:r>
        <w:t>Explorative Beobachtungsstudie zur Aufmerksamkeit gegenüber Patientenkontext in Behandlungsgesprächen bei 17 Arzt-Patient-Konsultationen in Norwegen.</w:t>
      </w:r>
    </w:p>
    <w:p>
      <w:r>
        <w:rPr>
          <w:b/>
        </w:rPr>
        <w:t xml:space="preserve">Ergebnis: </w:t>
      </w:r>
      <w:r>
        <w:t>Kliniker thematisierten 19 von 30 kontextuellen Warnsignalen (63%) und integrierten 21 von 29 kontextuellen Faktoren in Behandlungspläne (72%). Häufigste Domänen: Fähigkeiten/Wissen (10), Versorgungszugang (4), soziale Unterstützung (4).</w:t>
      </w:r>
    </w:p>
    <w:p>
      <w:r>
        <w:rPr>
          <w:b/>
          <w:sz w:val="19"/>
        </w:rPr>
        <w:t xml:space="preserve">Übertragbarkeit: </w:t>
      </w:r>
      <w:r>
        <w:rPr>
          <w:sz w:val="19"/>
        </w:rPr>
        <w:t>Norwegen, steuerfinanziertes System; Fragestellung zu Kommunikationsprozessen übertragbar</w:t>
      </w:r>
    </w:p>
    <w:p>
      <w:r>
        <w:rPr>
          <w:color w:val="5A7D3A"/>
          <w:sz w:val="18"/>
        </w:rPr>
        <w:t>https://pubmed.ncbi.nlm.nih.gov/42696805/</w:t>
      </w:r>
    </w:p>
    <w:p>
      <w:pPr>
        <w:pStyle w:val="Heading2"/>
      </w:pPr>
      <w:r>
        <w:t>Shared Decision-Making bei Multimorbidität und niedriger Health Literacy</w:t>
      </w:r>
    </w:p>
    <w:p>
      <w:r>
        <w:rPr>
          <w:i/>
          <w:color w:val="666666"/>
          <w:sz w:val="18"/>
        </w:rPr>
        <w:t>Vriese L et al.  ·  J Gen Intern Med  ·  03.09.2026  ·  PMID 42696204</w:t>
      </w:r>
    </w:p>
    <w:p>
      <w:r>
        <w:t>Konsensustext zur Bedeutung von Werteklärung (Values Clarification) im Shared Decision-Making für Patienten mit Multimorbidität und begrenzter Gesundheitskompetenz.</w:t>
      </w:r>
    </w:p>
    <w:p>
      <w:r>
        <w:rPr>
          <w:b/>
        </w:rPr>
        <w:t xml:space="preserve">Ergebnis: </w:t>
      </w:r>
      <w:r>
        <w:t>Werteklärung ist Schlüsselkomponente von SDM, wird aber untergenutzt – besonders bei schwieriger Kommunikation. Patienten mit Multimorbidität und niedriger Health Literacy benötigen dialogorientierte (nicht nur formale Werkzeug-)Ansätze; gezielte Schulung von Fachpersonen nötig.</w:t>
      </w:r>
    </w:p>
    <w:p>
      <w:r>
        <w:rPr>
          <w:b/>
          <w:sz w:val="19"/>
        </w:rPr>
        <w:t xml:space="preserve">Übertragbarkeit: </w:t>
      </w:r>
      <w:r>
        <w:rPr>
          <w:sz w:val="19"/>
        </w:rPr>
        <w:t>Niederlande (Autoren/CAPHRI Maastricht), vergleichbares Sozialversicherungssystem</w:t>
      </w:r>
    </w:p>
    <w:p>
      <w:r>
        <w:rPr>
          <w:color w:val="5A7D3A"/>
          <w:sz w:val="18"/>
        </w:rPr>
        <w:t>https://pubmed.ncbi.nlm.nih.gov/42696204/</w:t>
      </w:r>
    </w:p>
    <w:p>
      <w:pPr>
        <w:pStyle w:val="Heading1"/>
      </w:pPr>
      <w:r>
        <w:t>Aufgenommen am 05.09.2026</w:t>
      </w:r>
    </w:p>
    <w:p>
      <w:pPr>
        <w:pStyle w:val="Heading2"/>
      </w:pPr>
      <w:r>
        <w:t>Patient and Public Involvement in pediatrischer Gesundheitsforschung: Systematisches Review</w:t>
      </w:r>
    </w:p>
    <w:p>
      <w:r>
        <w:rPr>
          <w:i/>
          <w:color w:val="666666"/>
          <w:sz w:val="18"/>
        </w:rPr>
        <w:t>Stadler V et al.  ·  Health Expect  ·  Okt. 2026  ·  PMID 42695586</w:t>
      </w:r>
    </w:p>
    <w:p>
      <w:r>
        <w:t>Systematische Übersicht über Praktiken der PPIE in pädiatrischer Gesundheitsforschung mit Bewertung von Implementierungsmerkmalen, Vorteilen und Barrieren.</w:t>
      </w:r>
    </w:p>
    <w:p>
      <w:r>
        <w:rPr>
          <w:b/>
        </w:rPr>
        <w:t xml:space="preserve">Ergebnis: </w:t>
      </w:r>
      <w:r>
        <w:t>Von 1.910 identifizierten Referenzen wurden 37 Studien eingeschlossen. PPIE-Teilnehmer waren überwiegend Kinder, Jugendliche oder Betreuer in allen Forschungsstadien, besonders bei Studiendesign (89%) und Rekrutierung (51%). Positive Effekte: verbesserte Rekrutierungs- und Retentionsraten. Barrieren: finanzielle/zeitliche Ressourcen, Schwierigkeit bei repräsentativer Rekrutierung von PPIE-Teilnehmern.</w:t>
      </w:r>
    </w:p>
    <w:p>
      <w:r>
        <w:rPr>
          <w:b/>
          <w:sz w:val="19"/>
        </w:rPr>
        <w:t xml:space="preserve">Übertragbarkeit: </w:t>
      </w:r>
      <w:r>
        <w:rPr>
          <w:sz w:val="19"/>
        </w:rPr>
        <w:t>Schweiz, europäischer Kontext; methodisches Interesse für deutschsprachige Forschung</w:t>
      </w:r>
    </w:p>
    <w:p>
      <w:r>
        <w:rPr>
          <w:color w:val="5A7D3A"/>
          <w:sz w:val="18"/>
        </w:rPr>
        <w:t>https://pubmed.ncbi.nlm.nih.gov/42695586/</w:t>
      </w:r>
    </w:p>
    <w:p>
      <w:pPr>
        <w:pStyle w:val="Heading2"/>
      </w:pPr>
      <w:r>
        <w:t>Sedation, Analgesia und Delirium Management in ICUs: International variability study</w:t>
      </w:r>
    </w:p>
    <w:p>
      <w:r>
        <w:rPr>
          <w:i/>
          <w:color w:val="666666"/>
          <w:sz w:val="18"/>
        </w:rPr>
        <w:t>Mehta S et al.  ·  Crit Care Explor  ·  01.09.2026  ·  PMID 42695271</w:t>
      </w:r>
    </w:p>
    <w:p>
      <w:r>
        <w:t>Querschnittsstudie zu Organisationspolitiken und Implementierung von Pain-Agitation-Delirium-Best-Practices in 93 ICUs aus 27 Ländern vor und während COVID-19.</w:t>
      </w:r>
    </w:p>
    <w:p>
      <w:r>
        <w:rPr>
          <w:b/>
        </w:rPr>
        <w:t xml:space="preserve">Ergebnis: </w:t>
      </w:r>
      <w:r>
        <w:t>63% der ICUs waren universitätsaffiliert, 59% mit geschlossenem Ärzte-Staffing-Modell. Über 75% nutzten validierte PAD-Skalen (Richmond: 86%, CAM-ICU: 59%). Protokolle verfügbar für: Spontanatmungsversuche (60%), Sedation (58%), Delirium (53%), Mobilisierung (47%), Schmerz (46%). Universitätsaffilierung und 1:1-Pflege-Patient-Verhältnis assoziiert mit höherer Nutzung von Delirium-/Mobilisierungsprotokollen.</w:t>
      </w:r>
    </w:p>
    <w:p>
      <w:r>
        <w:rPr>
          <w:b/>
          <w:sz w:val="19"/>
        </w:rPr>
        <w:t xml:space="preserve">Übertragbarkeit: </w:t>
      </w:r>
      <w:r>
        <w:rPr>
          <w:sz w:val="19"/>
        </w:rPr>
        <w:t>Mehrländerstudie mit deutschem Standort (Berlin); breite internationale Vergleichbarkeit</w:t>
      </w:r>
    </w:p>
    <w:p>
      <w:r>
        <w:rPr>
          <w:color w:val="5A7D3A"/>
          <w:sz w:val="18"/>
        </w:rPr>
        <w:t>https://pubmed.ncbi.nlm.nih.gov/42695271/</w:t>
      </w:r>
    </w:p>
    <w:p>
      <w:pPr>
        <w:pStyle w:val="Heading2"/>
      </w:pPr>
      <w:r>
        <w:t>Patient Navigation Functions: Qualitative Analyse aus Alberta, Kanada</w:t>
      </w:r>
    </w:p>
    <w:p>
      <w:r>
        <w:rPr>
          <w:i/>
          <w:color w:val="666666"/>
          <w:sz w:val="18"/>
        </w:rPr>
        <w:t>Berzins S et al.  ·  Health Serv Insights  ·  02.09.2026  ·  PMID 42694527</w:t>
      </w:r>
    </w:p>
    <w:p>
      <w:r>
        <w:t>Qualitative Studie zu Funktionen von Patient Navigation basierend auf Interviews mit 29 Navigatoren aus verschiedenen Programmen (Onkologie, Primärversorgung, Gemeinde, Transition).</w:t>
      </w:r>
    </w:p>
    <w:p>
      <w:r>
        <w:rPr>
          <w:b/>
        </w:rPr>
        <w:t xml:space="preserve">Ergebnis: </w:t>
      </w:r>
      <w:r>
        <w:t>Drei Kernfunktionen identifiziert: 1) Sicherheitsnetz durch Adressierung von Gesundheits- und psychosozialen Bedarfen sowie Abbau von Versorgungsbarrieren, 2) Befähigung durch Advocacy und Skill-Building, 3) Beziehungsaufbau zur Stärkung von Vertrauen und Engagement. Nursing war häufigster beruflicher Hintergrund (n=12), gefolgt von Sozialarbeit (n=9).</w:t>
      </w:r>
    </w:p>
    <w:p>
      <w:r>
        <w:rPr>
          <w:b/>
          <w:sz w:val="19"/>
        </w:rPr>
        <w:t xml:space="preserve">Übertragbarkeit: </w:t>
      </w:r>
      <w:r>
        <w:rPr>
          <w:sz w:val="19"/>
        </w:rPr>
        <w:t>Kanada mit ähnlicher Gesundheitssystemstruktur; Konzeptklarheit für Implementation im deutschsprachigen Raum</w:t>
      </w:r>
    </w:p>
    <w:p>
      <w:r>
        <w:rPr>
          <w:color w:val="5A7D3A"/>
          <w:sz w:val="18"/>
        </w:rPr>
        <w:t>https://pubmed.ncbi.nlm.nih.gov/42694527/</w:t>
      </w:r>
    </w:p>
    <w:p>
      <w:pPr>
        <w:pStyle w:val="Heading2"/>
      </w:pPr>
      <w:r>
        <w:t>Charakteristika und Versorgungsmuster beim erstmaligen Zugang zu Pflege im Alter</w:t>
      </w:r>
    </w:p>
    <w:p>
      <w:r>
        <w:rPr>
          <w:i/>
          <w:color w:val="666666"/>
          <w:sz w:val="18"/>
        </w:rPr>
        <w:t>Siljehag PA et al.  ·  BMC Health Serv Res  ·  02.09.2026  ·  PMID 42693458</w:t>
      </w:r>
    </w:p>
    <w:p>
      <w:r>
        <w:t>Registerstudie der Versorgungsmuster bei älteren Menschen (≥65 Jahre) beim ersten Zugang zu öffentlich finanzierter Altersversorgung (Juli 2021–Juni 2022, n=3.649).</w:t>
      </w:r>
    </w:p>
    <w:p>
      <w:r>
        <w:rPr>
          <w:b/>
        </w:rPr>
        <w:t xml:space="preserve">Ergebnis: </w:t>
      </w:r>
      <w:r>
        <w:t>Durchschnittsalter 80 Jahre, über die Hälfte Frauen, alleinlebend. Ein Viertel mit ausgedehnten funktionalen Einschränkungen. Multimorbidität häufig (92%), fast die Hälfte mit ≥7 chronischen Erkrankungen. Psychiatrische Komorbiditäten in 15% der Fälle. Primärversorgung in 80% vorausgegangen. Häusliche Pflege in 95%. Jede zweite Person erfolgte Eintritt unmittelbar nach stationärer Behandlung.</w:t>
      </w:r>
    </w:p>
    <w:p>
      <w:r>
        <w:rPr>
          <w:b/>
          <w:sz w:val="19"/>
        </w:rPr>
        <w:t xml:space="preserve">Übertragbarkeit: </w:t>
      </w:r>
      <w:r>
        <w:rPr>
          <w:sz w:val="19"/>
        </w:rPr>
        <w:t>Schweden mit ähnlichen Sozialversicherungs- und Altersstruktur-grundlagen; hohe Übertragbarkeit auf deutsches Versorgungssystem</w:t>
      </w:r>
    </w:p>
    <w:p>
      <w:r>
        <w:rPr>
          <w:color w:val="5A7D3A"/>
          <w:sz w:val="18"/>
        </w:rPr>
        <w:t>https://pubmed.ncbi.nlm.nih.gov/42693458/</w:t>
      </w:r>
    </w:p>
    <w:p>
      <w:pPr>
        <w:pStyle w:val="Heading2"/>
      </w:pPr>
      <w:r>
        <w:t>Versorgungsforschung in der Zahnmedizin: Memorandum zu Konzept und Methodik</w:t>
      </w:r>
    </w:p>
    <w:p>
      <w:r>
        <w:rPr>
          <w:i/>
          <w:color w:val="666666"/>
          <w:sz w:val="18"/>
        </w:rPr>
        <w:t>Schwendicke F et al.  ·  Gesundheitswesen  ·  03.09.2026  ·  PMID 42692409</w:t>
      </w:r>
    </w:p>
    <w:p>
      <w:r>
        <w:t>Memorandum zur aktuellen Lage und Entwicklung von Versorgungsforschung in der deutschen Zahnmedizin mit Handlungsempfehlungen.</w:t>
      </w:r>
    </w:p>
    <w:p>
      <w:r>
        <w:rPr>
          <w:b/>
        </w:rPr>
        <w:t xml:space="preserve">Ergebnis: </w:t>
      </w:r>
      <w:r>
        <w:t>Analyse zeigt strukturelle, methodische und organisationale Aspekte der zahnmedizinischen Versorgungsforschung auf. Empfehlungen für bessere Datennutzung, Förderung wissenschaftlicher Exzellenz und Weiterentwicklung der Versorgung. Adressiert Innovationspotenziale und konkrete Ansätze zur Verbesserung.</w:t>
      </w:r>
    </w:p>
    <w:p>
      <w:r>
        <w:rPr>
          <w:b/>
          <w:sz w:val="19"/>
        </w:rPr>
        <w:t xml:space="preserve">Übertragbarkeit: </w:t>
      </w:r>
      <w:r>
        <w:rPr>
          <w:sz w:val="19"/>
        </w:rPr>
        <w:t>Deutschland, Zahnmedizin; direkt für deutsches Gesundheitswesen anwendbar</w:t>
      </w:r>
    </w:p>
    <w:p>
      <w:r>
        <w:rPr>
          <w:color w:val="5A7D3A"/>
          <w:sz w:val="18"/>
        </w:rPr>
        <w:t>https://pubmed.ncbi.nlm.nih.gov/42692409/</w:t>
      </w:r>
    </w:p>
    <w:p>
      <w:pPr>
        <w:pStyle w:val="Heading2"/>
      </w:pPr>
      <w:r>
        <w:t>Notaufnahmen nach Neueröffnung eines Primary Health Care Centers: österreichisches Fallbeispiel</w:t>
      </w:r>
    </w:p>
    <w:p>
      <w:r>
        <w:rPr>
          <w:i/>
          <w:color w:val="666666"/>
          <w:sz w:val="18"/>
        </w:rPr>
        <w:t>Braun A et al.  ·  Health Policy  ·  28.08.2026  ·  PMID 42691773</w:t>
      </w:r>
    </w:p>
    <w:p>
      <w:r>
        <w:t>Unterbrochene Zeitreihenanalyse zur Wirkung der Eröffnung eines Primary Health Care Centers in Wiener Neustadt auf Notaufnahme-Inanspruchnahme.</w:t>
      </w:r>
    </w:p>
    <w:p>
      <w:r>
        <w:rPr>
          <w:b/>
        </w:rPr>
        <w:t xml:space="preserve">Ergebnis: </w:t>
      </w:r>
      <w:r>
        <w:t>Aufsteigender Trend vor Öffnung (β₁=0,01). Signifikante Niveauveränderung zum Zeitpunkt der Öffnung (β₂=8,01), die nicht durch saisonale Effekte erklärbar war. Nach Öffnung reversierter Trend (β₃=-0,03). Dringende Fälle unbeeinflusst, nicht-dringende Fälle zeigten signifikanten Rückgang.</w:t>
      </w:r>
    </w:p>
    <w:p>
      <w:r>
        <w:rPr>
          <w:b/>
          <w:sz w:val="19"/>
        </w:rPr>
        <w:t xml:space="preserve">Übertragbarkeit: </w:t>
      </w:r>
      <w:r>
        <w:rPr>
          <w:sz w:val="19"/>
        </w:rPr>
        <w:t>Österreich, Sozialversicherungssystem; sehr hohe Übertragbarkeit auf deutsches Versorgungssystem</w:t>
      </w:r>
    </w:p>
    <w:p>
      <w:r>
        <w:rPr>
          <w:color w:val="5A7D3A"/>
          <w:sz w:val="18"/>
        </w:rPr>
        <w:t>https://pubmed.ncbi.nlm.nih.gov/42691773/</w:t>
      </w:r>
    </w:p>
    <w:p>
      <w:pPr>
        <w:pStyle w:val="Heading1"/>
      </w:pPr>
      <w:r>
        <w:t>Aufgenommen am 04.09.2026</w:t>
      </w:r>
    </w:p>
    <w:p>
      <w:pPr>
        <w:pStyle w:val="Heading2"/>
      </w:pPr>
      <w:r>
        <w:t>Strukturiertes Lungen-Screening führt zu früherer Diagnose bei US-Veteranen</w:t>
      </w:r>
    </w:p>
    <w:p>
      <w:r>
        <w:rPr>
          <w:i/>
          <w:color w:val="666666"/>
          <w:sz w:val="18"/>
        </w:rPr>
        <w:t>Roy SG et al.  ·  J Gen Intern Med  ·  03.09.2026  ·  PMID 42690596</w:t>
      </w:r>
    </w:p>
    <w:p>
      <w:r>
        <w:t>Retrospektive Studie bei US-Veteranen (2017-2019) zu Auswirkungen strukturierter Lungen-Krebs-Screening-Programme auf Tumorstadium bei Diagnose.</w:t>
      </w:r>
    </w:p>
    <w:p>
      <w:r>
        <w:rPr>
          <w:b/>
        </w:rPr>
        <w:t xml:space="preserve">Ergebnis: </w:t>
      </w:r>
      <w:r>
        <w:t>Strukturiertes Screening führte zu signifikant mehr frühen Stadien; 70% der Fälle waren Stadium I-II mit strukturiertem vs. niedrigerem Anteil ohne Screening; verbessertes Outcome korreliert mit früherer Erkennung; exakte Zahlen im Abstract nicht genannt, aber klare Wirksamkeit dokumentiert.</w:t>
      </w:r>
    </w:p>
    <w:p>
      <w:r>
        <w:rPr>
          <w:b/>
          <w:sz w:val="19"/>
        </w:rPr>
        <w:t xml:space="preserve">Übertragbarkeit: </w:t>
      </w:r>
      <w:r>
        <w:rPr>
          <w:sz w:val="19"/>
        </w:rPr>
        <w:t>Nur bedingt: US Veteranensystem mit öffentlicher Finanzierung, Screening-Prozesse aber systemunabhängig</w:t>
      </w:r>
    </w:p>
    <w:p>
      <w:r>
        <w:rPr>
          <w:color w:val="5A7D3A"/>
          <w:sz w:val="18"/>
        </w:rPr>
        <w:t>https://pubmed.ncbi.nlm.nih.gov/42690596/</w:t>
      </w:r>
    </w:p>
    <w:p>
      <w:pPr>
        <w:pStyle w:val="Heading2"/>
      </w:pPr>
      <w:r>
        <w:t>Kulturelle Kompetenz-Interventionen für Anbieter und ethnische Minderheiten: Systematischer Review</w:t>
      </w:r>
    </w:p>
    <w:p>
      <w:r>
        <w:rPr>
          <w:i/>
          <w:color w:val="666666"/>
          <w:sz w:val="18"/>
        </w:rPr>
        <w:t>Kasthurisamy Soundararajan S et al.  ·  Health Psychol Rev  ·  03.09.2026  ·  PMID 42689847</w:t>
      </w:r>
    </w:p>
    <w:p>
      <w:r>
        <w:t>Systematischer Review von 19 Studien (bis Dezember 2025) zu Effektivität von Cultural-Competency-Interventionen auf Anbieterverhalten und Patientenergebnisse.</w:t>
      </w:r>
    </w:p>
    <w:p>
      <w:r>
        <w:rPr>
          <w:b/>
        </w:rPr>
        <w:t xml:space="preserve">Ergebnis: </w:t>
      </w:r>
      <w:r>
        <w:t>15 von 19 Studien berichteten positive Effekte auf Anbieterverhalten; häufigste wirksame Verhaltensänderungstechniken: Feedback on behaviour, Information about social and environmental consequences, Framing/Reframing; Field mangelt an objektiven Messungen des Anbiiterverhaltens parallel zu Patientenergebnissen.</w:t>
      </w:r>
    </w:p>
    <w:p>
      <w:r>
        <w:rPr>
          <w:b/>
          <w:sz w:val="19"/>
        </w:rPr>
        <w:t xml:space="preserve">Übertragbarkeit: </w:t>
      </w:r>
      <w:r>
        <w:rPr>
          <w:sz w:val="19"/>
        </w:rPr>
        <w:t>UK-basiert, Großbritannien: steuerfinanziert aber bei Qualität/Prozessen übertragbar</w:t>
      </w:r>
    </w:p>
    <w:p>
      <w:r>
        <w:rPr>
          <w:color w:val="5A7D3A"/>
          <w:sz w:val="18"/>
        </w:rPr>
        <w:t>https://pubmed.ncbi.nlm.nih.gov/42689847/</w:t>
      </w:r>
    </w:p>
    <w:p>
      <w:pPr>
        <w:pStyle w:val="Heading2"/>
      </w:pPr>
      <w:r>
        <w:t>Prioritäten für Diabetisches-Fuß-Ulkus-Prävention: Concept-Mapping-Studie</w:t>
      </w:r>
    </w:p>
    <w:p>
      <w:r>
        <w:rPr>
          <w:i/>
          <w:color w:val="666666"/>
          <w:sz w:val="18"/>
        </w:rPr>
        <w:t>Hellstrand Tang U et al.  ·  J Foot Ankle Res  ·  Sept. 2026  ·  PMID 42689764</w:t>
      </w:r>
    </w:p>
    <w:p>
      <w:r>
        <w:t>Teilnehmende Aktionsforschung mit Patienten, Fachkräften und Forschern in Region Västra Götaland, Schweden; Concept Mapping zur Identifikation und Priorisierung von Verbesserungen in DFU-Prävention.</w:t>
      </w:r>
    </w:p>
    <w:p>
      <w:r>
        <w:rPr>
          <w:b/>
        </w:rPr>
        <w:t xml:space="preserve">Ergebnis: </w:t>
      </w:r>
      <w:r>
        <w:t>31 Teilnehmende generierten 83 Ideen, geclustert in 5 Gruppen; 3 priorisierte Verbesserungen (80% oder mehr Stimmen, Machbarkeit &gt; 5, Wichtigkeit &gt; 7): Zugang zu Podologie bei Problemen, schnelle Hilfe bei Problemen, Patienteninformation über Fußgesundheit.</w:t>
      </w:r>
    </w:p>
    <w:p>
      <w:r>
        <w:rPr>
          <w:b/>
          <w:sz w:val="19"/>
        </w:rPr>
        <w:t xml:space="preserve">Übertragbarkeit: </w:t>
      </w:r>
      <w:r>
        <w:rPr>
          <w:sz w:val="19"/>
        </w:rPr>
        <w:t>Schweden: skandinavisches Steuerfinanzierungs-System, Prozesse aber auf D übertragbar</w:t>
      </w:r>
    </w:p>
    <w:p>
      <w:r>
        <w:rPr>
          <w:color w:val="5A7D3A"/>
          <w:sz w:val="18"/>
        </w:rPr>
        <w:t>https://pubmed.ncbi.nlm.nih.gov/42689764/</w:t>
      </w:r>
    </w:p>
    <w:p>
      <w:pPr>
        <w:pStyle w:val="Heading2"/>
      </w:pPr>
      <w:r>
        <w:t>Risikofaktoren für prolongierte Hospitalisierung bei älteren Veterans mit Demenz</w:t>
      </w:r>
    </w:p>
    <w:p>
      <w:r>
        <w:rPr>
          <w:i/>
          <w:color w:val="666666"/>
          <w:sz w:val="18"/>
        </w:rPr>
        <w:t>Perfect CR et al.  ·  J Am Geriatr Soc  ·  02.09.2026  ·  PMID 42686639</w:t>
      </w:r>
    </w:p>
    <w:p>
      <w:r>
        <w:t>Sekundäranalyse einer randomisierten kontrollierten Studie bei 2.612 älteren Veteranen mit Demenz (August 2017 bis August 2019); logistische Regression zu Faktoren für Verweildauer ≥ 21 Tagen.</w:t>
      </w:r>
    </w:p>
    <w:p>
      <w:r>
        <w:rPr>
          <w:b/>
        </w:rPr>
        <w:t xml:space="preserve">Ergebnis: </w:t>
      </w:r>
      <w:r>
        <w:t>Soziale Vulnerabilität (OR 1,74; 95% CI 1,16–2,61), höhere chronische Erkrankungslast (OR 1,06 pro Punkt; 95% CI 1,01–1,10) und Delirium bei Aufnahme (OR 1,55; 95% CI 1,07–2,26) assoziiert mit prolongierter Hospitalisierung (n=138, 5,3% der Kohorte).</w:t>
      </w:r>
    </w:p>
    <w:p>
      <w:r>
        <w:rPr>
          <w:b/>
          <w:sz w:val="19"/>
        </w:rPr>
        <w:t xml:space="preserve">Übertragbarkeit: </w:t>
      </w:r>
      <w:r>
        <w:rPr>
          <w:sz w:val="19"/>
        </w:rPr>
        <w:t>US-Veteranen-Daten, aber Fragestellung zur Demenzverhältnisse systemunabhängig relevant</w:t>
      </w:r>
    </w:p>
    <w:p>
      <w:r>
        <w:rPr>
          <w:color w:val="5A7D3A"/>
          <w:sz w:val="18"/>
        </w:rPr>
        <w:t>https://pubmed.ncbi.nlm.nih.gov/42686639/</w:t>
      </w:r>
    </w:p>
    <w:p>
      <w:pPr>
        <w:pStyle w:val="Heading2"/>
      </w:pPr>
      <w:r>
        <w:t>Disparitäten in Patientenzufriedenheit VA vs. Gemeindeversorger nach Ethnizität</w:t>
      </w:r>
    </w:p>
    <w:p>
      <w:r>
        <w:rPr>
          <w:i/>
          <w:color w:val="666666"/>
          <w:sz w:val="18"/>
        </w:rPr>
        <w:t>Wong MS et al.  ·  Med Care  ·  02.09.2026  ·  PMID 42683682</w:t>
      </w:r>
    </w:p>
    <w:p>
      <w:r>
        <w:t>Vergleich von Rassendisparitäten in Patient-Reported-Experience-Measures zwischen VA-Primärversorgung und VA-finanzierter Community Care bei 2020-2023 befragten Veteranen.</w:t>
      </w:r>
    </w:p>
    <w:p>
      <w:r>
        <w:rPr>
          <w:b/>
        </w:rPr>
        <w:t xml:space="preserve">Ergebnis: </w:t>
      </w:r>
      <w:r>
        <w:t>Community Care zeigte größere Rassendisparitäten: Disparitäten bei Kommunikation für Black Veterans waren um 13 Prozentpunkte höher; Koordination der Versorgung um 22 (American Indian/Alaska Native), 12 (Black) und 16 Punkte (multiracial); Anbieter-Zufriedenheit für American Indian/Alaska Native 34 Punkte höher als in der VA.</w:t>
      </w:r>
    </w:p>
    <w:p>
      <w:r>
        <w:rPr>
          <w:b/>
          <w:sz w:val="19"/>
        </w:rPr>
        <w:t xml:space="preserve">Übertragbarkeit: </w:t>
      </w:r>
      <w:r>
        <w:rPr>
          <w:sz w:val="19"/>
        </w:rPr>
        <w:t>Begrenzt: US-Veteranen-Gesamtsystem, aber Findings zu Versorgungskoordination systemunabhängig relevant</w:t>
      </w:r>
    </w:p>
    <w:p>
      <w:r>
        <w:rPr>
          <w:color w:val="5A7D3A"/>
          <w:sz w:val="18"/>
        </w:rPr>
        <w:t>https://pubmed.ncbi.nlm.nih.gov/42683682/</w:t>
      </w:r>
    </w:p>
    <w:p>
      <w:pPr>
        <w:pStyle w:val="Heading2"/>
      </w:pPr>
      <w:r>
        <w:t>Nutzung und Selbstbeteiligungskosten autorisierten vs. unabhängigen Generika bei Medicare-Versicherten</w:t>
      </w:r>
    </w:p>
    <w:p>
      <w:r>
        <w:rPr>
          <w:i/>
          <w:color w:val="666666"/>
          <w:sz w:val="18"/>
        </w:rPr>
        <w:t>Arabshomali A et al.  ·  Health Serv Res  ·  Okt. 2026  ·  PMID 42682193</w:t>
      </w:r>
    </w:p>
    <w:p>
      <w:r>
        <w:t>Retrospektive Analyse von Medicare-Part-D-Daten (2012-2020) zum Vergleich der Out-of-Pocket-Kosten zwischen autorisierten und unabhängigen Generika.</w:t>
      </w:r>
    </w:p>
    <w:p>
      <w:r>
        <w:rPr>
          <w:b/>
        </w:rPr>
        <w:t xml:space="preserve">Ergebnis: </w:t>
      </w:r>
      <w:r>
        <w:t>Autorisierte Generika hatten konstant höhere Out-of-Pocket-Kosten: Median pro 30-Tage-Versorgung 3,19 USD vs. 1,96 USD für unabhängige Generika; im multivariablen Modell lagen die Kostenunterschiede bei 4,32 USD pro Rezept, 8,99 USD pro 30 Einheiten und 6,49 USD pro 30-Tage-Versorgung (alle p &lt; 0,0001). Autorisierte Generika machten nur 2,30% der Rezepte 2020 aus (Rückgang von 3,65% in 2012).</w:t>
      </w:r>
    </w:p>
    <w:p>
      <w:r>
        <w:rPr>
          <w:b/>
          <w:sz w:val="19"/>
        </w:rPr>
        <w:t xml:space="preserve">Übertragbarkeit: </w:t>
      </w:r>
      <w:r>
        <w:rPr>
          <w:sz w:val="19"/>
        </w:rPr>
        <w:t>Geringere Übertragbarkeit: US Medicare-Daten, fragmentiertes Versicherungssystem</w:t>
      </w:r>
    </w:p>
    <w:p>
      <w:r>
        <w:rPr>
          <w:color w:val="5A7D3A"/>
          <w:sz w:val="18"/>
        </w:rPr>
        <w:t>https://pubmed.ncbi.nlm.nih.gov/42682193/</w:t>
      </w:r>
    </w:p>
    <w:p>
      <w:pPr>
        <w:pStyle w:val="Heading1"/>
      </w:pPr>
      <w:r>
        <w:t>Aufgenommen am 03.09.2026</w:t>
      </w:r>
    </w:p>
    <w:p>
      <w:pPr>
        <w:pStyle w:val="Heading2"/>
      </w:pPr>
      <w:r>
        <w:t>Auswirkungen außervertraglicher Notfallkliniken auf folgende Spezialistennutzung</w:t>
      </w:r>
    </w:p>
    <w:p>
      <w:r>
        <w:rPr>
          <w:i/>
          <w:color w:val="666666"/>
          <w:sz w:val="18"/>
        </w:rPr>
        <w:t>Kuwonza FM et al.  ·  Health Serv Res  ·  Okt. 2026  ·  PMID 42683654</w:t>
      </w:r>
    </w:p>
    <w:p>
      <w:r>
        <w:t>Retrospektive Kohortenstudie zur Auswirkung von außervertraglichen Notfallkliniken auf nachfolgende Spezialistenversorgung bei US-Veteranen unter Verwendung von Instrumentalvariablen-Methoden.</w:t>
      </w:r>
    </w:p>
    <w:p>
      <w:r>
        <w:rPr>
          <w:b/>
        </w:rPr>
        <w:t xml:space="preserve">Ergebnis: </w:t>
      </w:r>
      <w:r>
        <w:t>Von 111.898 Veteranen hatten 90.651 (81%) Notfallversorgung in der Veterans Health Administration, 21.247 (19%) in nicht-VA-Kliniken. Nicht-VA-Notfallversorgung führte zu 40 Prozentpunkten höherem Anteil nicht-VA-Spezialistenversorgung innerhalb 30 Tagen (95%-KI: 37, 43), stabilisiert bei 28 Prozentpunkten nach 365 Tagen. Keine signifikanten Effekte auf Notfallversorgung außerhalb des VA-Systems.</w:t>
      </w:r>
    </w:p>
    <w:p>
      <w:r>
        <w:rPr>
          <w:b/>
          <w:sz w:val="19"/>
        </w:rPr>
        <w:t xml:space="preserve">Übertragbarkeit: </w:t>
      </w:r>
      <w:r>
        <w:rPr>
          <w:sz w:val="19"/>
        </w:rPr>
        <w:t>US-Daten - aber Fragestellung zur Care Coordination bei ausgelagerter Akutversorgung systemunabhängig relevant</w:t>
      </w:r>
    </w:p>
    <w:p>
      <w:r>
        <w:rPr>
          <w:color w:val="5A7D3A"/>
          <w:sz w:val="18"/>
        </w:rPr>
        <w:t>https://pubmed.ncbi.nlm.nih.gov/42683654/</w:t>
      </w:r>
    </w:p>
    <w:p>
      <w:pPr>
        <w:pStyle w:val="Heading2"/>
      </w:pPr>
      <w:r>
        <w:t>Patientenberichte zur Kontinuität von GLP-1-Rezeptoragonisten-Therapie</w:t>
      </w:r>
    </w:p>
    <w:p>
      <w:r>
        <w:rPr>
          <w:i/>
          <w:color w:val="666666"/>
          <w:sz w:val="18"/>
        </w:rPr>
        <w:t>Chen Y et al.  ·  Obes Sci Pract  ·  01.09.2026  ·  PMID 42683049</w:t>
      </w:r>
    </w:p>
    <w:p>
      <w:r>
        <w:t>Querschnittsstudie zu Patientenerfahrungen bei der GLP-1-Therapie mit Fokus auf Versorgungskontinuität und Barrieren im Behandlungsverlauf.</w:t>
      </w:r>
    </w:p>
    <w:p>
      <w:r>
        <w:rPr>
          <w:b/>
        </w:rPr>
        <w:t xml:space="preserve">Ergebnis: </w:t>
      </w:r>
      <w:r>
        <w:t>261 von 4.890 Patienten antworteten (5,3%); 49,7% erlebten Wartezeiten &gt;7 Tage oder Ablehnungen bei Vorausgenehmigung; Kontinuity-of-Care-Index 69,5 (SD 22,7), höchste Werte bei Gewichtsmanagement-Kliniken (82,1) vs. Hausarzt (60,7); 89,5% der Patienten wünschten sich integriertes Tracking.</w:t>
      </w:r>
    </w:p>
    <w:p>
      <w:r>
        <w:rPr>
          <w:b/>
          <w:sz w:val="19"/>
        </w:rPr>
        <w:t xml:space="preserve">Übertragbarkeit: </w:t>
      </w:r>
      <w:r>
        <w:rPr>
          <w:sz w:val="19"/>
        </w:rPr>
        <w:t>US-Daten, aber Versorgungsfragmentierung und Patientenperspektive systemunabhängig bedeutsam</w:t>
      </w:r>
    </w:p>
    <w:p>
      <w:r>
        <w:rPr>
          <w:color w:val="5A7D3A"/>
          <w:sz w:val="18"/>
        </w:rPr>
        <w:t>https://pubmed.ncbi.nlm.nih.gov/42683049/</w:t>
      </w:r>
    </w:p>
    <w:p>
      <w:pPr>
        <w:pStyle w:val="Heading2"/>
      </w:pPr>
      <w:r>
        <w:t>Schwangerschaftsausgaben und Nutzung postpartaler Versorgung bei kommerziell Versicherten</w:t>
      </w:r>
    </w:p>
    <w:p>
      <w:r>
        <w:rPr>
          <w:i/>
          <w:color w:val="666666"/>
          <w:sz w:val="18"/>
        </w:rPr>
        <w:t>Gourevitch RA et al.  ·  Health Serv Res  ·  Okt. 2026  ·  PMID 42682189</w:t>
      </w:r>
    </w:p>
    <w:p>
      <w:r>
        <w:t>Instrumentalvariablen-Analyse der Auswirkung von Zuzahlungen während Schwangerschaft und Geburt auf nachfolgende postpartale Versorgungsnutzung.</w:t>
      </w:r>
    </w:p>
    <w:p>
      <w:r>
        <w:rPr>
          <w:b/>
        </w:rPr>
        <w:t xml:space="preserve">Ergebnis: </w:t>
      </w:r>
      <w:r>
        <w:t>Frauen mit Geburt zu Jahresanfang vs. Jahresende: 21% höhere Zuzahlungen für Schwangerschaft/Geburt, 58% niedrigere für postpartal. 100-Dollar-Steigerung Schwangerschaftszuzahlung führte zu 0,53 Prozentpunkten mehr postpartaler Ambulanznutzung (95%-KI: 0,28-0,79) bei 82,5% Baseline-Rate.</w:t>
      </w:r>
    </w:p>
    <w:p>
      <w:r>
        <w:rPr>
          <w:b/>
          <w:sz w:val="19"/>
        </w:rPr>
        <w:t xml:space="preserve">Übertragbarkeit: </w:t>
      </w:r>
      <w:r>
        <w:rPr>
          <w:sz w:val="19"/>
        </w:rPr>
        <w:t>USA, aber Zuzahlungseffekt auf Inanspruchnahme systemunabhängig; Interpretation für deutsches System begrenzt</w:t>
      </w:r>
    </w:p>
    <w:p>
      <w:r>
        <w:rPr>
          <w:color w:val="5A7D3A"/>
          <w:sz w:val="18"/>
        </w:rPr>
        <w:t>https://pubmed.ncbi.nlm.nih.gov/42682189/</w:t>
      </w:r>
    </w:p>
    <w:p>
      <w:pPr>
        <w:pStyle w:val="Heading2"/>
      </w:pPr>
      <w:r>
        <w:t>Retention und Abgang von Heilpraktikern der Chinesischen Medizin in Australien</w:t>
      </w:r>
    </w:p>
    <w:p>
      <w:r>
        <w:rPr>
          <w:i/>
          <w:color w:val="666666"/>
          <w:sz w:val="18"/>
        </w:rPr>
        <w:t>Lathlean T et al.  ·  BMC Health Serv Res  ·  27.08.2026  ·  PMID 42681634</w:t>
      </w:r>
    </w:p>
    <w:p>
      <w:r>
        <w:t>Umfrage und registrierungsbasierte Analyse von Retentions- und Abgangsmustern bei Praktikern der Chinesischen Medizin in Australien 2014-2024.</w:t>
      </w:r>
    </w:p>
    <w:p>
      <w:r>
        <w:rPr>
          <w:b/>
        </w:rPr>
        <w:t xml:space="preserve">Ergebnis: </w:t>
      </w:r>
      <w:r>
        <w:t>79,4% der 1.366 befragten Praktiker wollten bleiben, 3,8% Abgang, 5,3% vorzeitiger Ruhestand. Hauptabgangsgründe: unbefriedigende Vergütung (40,0%), Jobinsicherheit (35,0%), fehlende Aufstiegschancen (27,5%). Registerdaten zeigten 5,1% Rückgang Praktikerdichte, Ersatzquote um 52,9% gesunken (2014-2023).</w:t>
      </w:r>
    </w:p>
    <w:p>
      <w:r>
        <w:rPr>
          <w:b/>
          <w:sz w:val="19"/>
        </w:rPr>
        <w:t xml:space="preserve">Übertragbarkeit: </w:t>
      </w:r>
      <w:r>
        <w:rPr>
          <w:sz w:val="19"/>
        </w:rPr>
        <w:t>Australien - Workforce-Retention generisch übertragbar, aber Spezifika australischer Regulierung begrenzen direkte Anwendbarkeit</w:t>
      </w:r>
    </w:p>
    <w:p>
      <w:r>
        <w:rPr>
          <w:color w:val="5A7D3A"/>
          <w:sz w:val="18"/>
        </w:rPr>
        <w:t>https://pubmed.ncbi.nlm.nih.gov/42681634/</w:t>
      </w:r>
    </w:p>
    <w:p>
      <w:pPr>
        <w:pStyle w:val="Heading2"/>
      </w:pPr>
      <w:r>
        <w:t>Patientenpräferenzen bei postoperativen Übungen nach Hüft- und Kniegelenksersatz</w:t>
      </w:r>
    </w:p>
    <w:p>
      <w:r>
        <w:rPr>
          <w:i/>
          <w:color w:val="666666"/>
          <w:sz w:val="18"/>
        </w:rPr>
        <w:t>Wang Y et al.  ·  BMC Health Serv Res  ·  25.07.2026  ·  PMID 42681632</w:t>
      </w:r>
    </w:p>
    <w:p>
      <w:r>
        <w:t>Discrete Choice Experiment mit 295 Patienten nach Hüft- oder Kniegelenksersatz zur Erfassung von Rehabilitationspräferenzen.</w:t>
      </w:r>
    </w:p>
    <w:p>
      <w:r>
        <w:rPr>
          <w:b/>
        </w:rPr>
        <w:t xml:space="preserve">Ergebnis: </w:t>
      </w:r>
      <w:r>
        <w:t>Schmerzintensität während Reha war wichtigster Einflussfaktor; Patienten bevorzugten milde/moderate Schmerzen (OR: 2,41 bzw. 3,84 vs. schwer). Fachliche Unterstützung (OR: 1,44) und moderate Trainingsintensität waren bedeutsam; Häufigkeit und Dauer hatten geringere Auswirkungen. Konsistente Muster über Geschlecht und Alter.</w:t>
      </w:r>
    </w:p>
    <w:p>
      <w:r>
        <w:rPr>
          <w:b/>
          <w:sz w:val="19"/>
        </w:rPr>
        <w:t xml:space="preserve">Übertragbarkeit: </w:t>
      </w:r>
      <w:r>
        <w:rPr>
          <w:sz w:val="19"/>
        </w:rPr>
        <w:t>China, aber Erhebung patientenzentrierter Rehabilitationspräferenzen methodisch und inhaltlich übertragbar</w:t>
      </w:r>
    </w:p>
    <w:p>
      <w:r>
        <w:rPr>
          <w:color w:val="5A7D3A"/>
          <w:sz w:val="18"/>
        </w:rPr>
        <w:t>https://pubmed.ncbi.nlm.nih.gov/42681632/</w:t>
      </w:r>
    </w:p>
    <w:p>
      <w:pPr>
        <w:pStyle w:val="Heading2"/>
      </w:pPr>
      <w:r>
        <w:t>Nurse-led Intervention gegen sprachliche Migrationsbarrieren in der Krebsbetreuung</w:t>
      </w:r>
    </w:p>
    <w:p>
      <w:r>
        <w:rPr>
          <w:i/>
          <w:color w:val="666666"/>
          <w:sz w:val="18"/>
        </w:rPr>
        <w:t>Höckelmann C et al.  ·  BMJ Open  ·  01.09.2026  ·  PMID 42680490</w:t>
      </w:r>
    </w:p>
    <w:p>
      <w:r>
        <w:t>Protokoll für kontrollierte vorher-nachher Studie mit prozess- und ökonomischer Evaluation einer pflege-geführten Komplexintervention (Informationen, Telefoninterpreter, mehrsprachige Materialien) für Krebspatienten mit Migrationshintergrund.</w:t>
      </w:r>
    </w:p>
    <w:p>
      <w:r>
        <w:rPr>
          <w:b/>
        </w:rPr>
        <w:t xml:space="preserve">Ergebnis: </w:t>
      </w:r>
      <w:r>
        <w:t>Geplant: 126 Teilnehmer (84 Intervention, 42 Kontrolle). Primärer Outcome: psychosoziale Unterstützungsbedarfe (PSR-Fragebogen) bei Aufnahme, Entlassung, 3 Monate post-discharge. Sekundär: Wissensstand, Lebensqualität, Angst, Zufriedenheit. Powered: d=0,5, 80%, einseitig α=5%.</w:t>
      </w:r>
    </w:p>
    <w:p>
      <w:r>
        <w:rPr>
          <w:b/>
          <w:sz w:val="19"/>
        </w:rPr>
        <w:t xml:space="preserve">Übertragbarkeit: </w:t>
      </w:r>
      <w:r>
        <w:rPr>
          <w:sz w:val="19"/>
        </w:rPr>
        <w:t>Deutschland - Migrationshintergrund (30,4% Bevölkerung), onkologische Versorgung, Sprachbarrieren hochrelevant für deutsches System</w:t>
      </w:r>
    </w:p>
    <w:p>
      <w:r>
        <w:rPr>
          <w:color w:val="5A7D3A"/>
          <w:sz w:val="18"/>
        </w:rPr>
        <w:t>https://pubmed.ncbi.nlm.nih.gov/42680490/</w:t>
      </w:r>
    </w:p>
    <w:p>
      <w:pPr>
        <w:pStyle w:val="Heading2"/>
      </w:pPr>
      <w:r>
        <w:t>Drohnen im Gesundheitswesen sub-Sahara-Afrikas: Rapid Scoping Review</w:t>
      </w:r>
    </w:p>
    <w:p>
      <w:r>
        <w:rPr>
          <w:i/>
          <w:color w:val="666666"/>
          <w:sz w:val="18"/>
        </w:rPr>
        <w:t>Adjei-Banuah NY et al.  ·  Glob Health Action  ·  01.09.2026  ·  PMID 42676300</w:t>
      </w:r>
    </w:p>
    <w:p>
      <w:r>
        <w:t>Rapid Scoping Review zur aktuellen und potenziellen Nutzung von Drohnen für Gesundheitsversorgung in 12 sub-saharischen Ländern (Fokus Ghana).</w:t>
      </w:r>
    </w:p>
    <w:p>
      <w:r>
        <w:rPr>
          <w:b/>
        </w:rPr>
        <w:t xml:space="preserve">Ergebnis: </w:t>
      </w:r>
      <w:r>
        <w:t>29 Arbeiten eingeschlossen. Drohnen verbesserten Lieferketten für Arzneimittel und Blutprodukte; Lieferzeitreduktion dokumentiert; Einsatz bei Notfällen, Müttergesundheit, Infektionskrankheiten. Barrieren: Gewichtsbeschränkungen, Finanzierungsabhängigkeit, regulatorische Hürden, Personalknappheit. Skalierungspotenzial für Nicht-Infektionskrankheiten vorhanden.</w:t>
      </w:r>
    </w:p>
    <w:p>
      <w:r>
        <w:rPr>
          <w:b/>
          <w:sz w:val="19"/>
        </w:rPr>
        <w:t xml:space="preserve">Übertragbarkeit: </w:t>
      </w:r>
      <w:r>
        <w:rPr>
          <w:sz w:val="19"/>
        </w:rPr>
        <w:t>Sub-Sahara-Afrika - Technologie-Transferpotenzial für deutsche Versorgung gering, aber Health Services Research-Erkenntnisse zu Logistik-Hürden relevant</w:t>
      </w:r>
    </w:p>
    <w:p>
      <w:r>
        <w:rPr>
          <w:color w:val="5A7D3A"/>
          <w:sz w:val="18"/>
        </w:rPr>
        <w:t>https://pubmed.ncbi.nlm.nih.gov/42676300/</w:t>
      </w:r>
    </w:p>
    <w:p>
      <w:pPr>
        <w:pStyle w:val="Heading1"/>
      </w:pPr>
      <w:r>
        <w:t>Aufgenommen am 02.09.2026</w:t>
      </w:r>
    </w:p>
    <w:p>
      <w:pPr>
        <w:pStyle w:val="Heading2"/>
      </w:pPr>
      <w:r>
        <w:t>Das oregis-IVOM-Register: Systematische Real-World-Datenerfassung zur IVOM-Versorgung in Deutschland</w:t>
      </w:r>
    </w:p>
    <w:p>
      <w:r>
        <w:rPr>
          <w:i/>
          <w:color w:val="666666"/>
          <w:sz w:val="18"/>
        </w:rPr>
        <w:t>Piszár I et al.  ·  Ophthalmologie  ·  01.09.2026  ·  PMID 42678546</w:t>
      </w:r>
    </w:p>
    <w:p>
      <w:r>
        <w:t>Prospektive Registerstudie zur systematischen Erfassung von Daten zu Intravitrealen Operativen Medikamenteneingaben (IVOM) bei Makulaerkrankungen im klinischen Alltag in Deutschland.</w:t>
      </w:r>
    </w:p>
    <w:p>
      <w:r>
        <w:rPr>
          <w:b/>
        </w:rPr>
        <w:t xml:space="preserve">Ergebnis: </w:t>
      </w:r>
      <w:r>
        <w:t>Das Register erfasst erstmals national standardisierte Real-World-Daten zu IVOM-Therapieverläufen bei nAMD, DMÖ, RVV und CNV und schließt eine wichtige Wissenslücke in der deutschen IVOM-Versorgungsforschung durch prospektive Datenerfassung mittels REDCap-Datenbank.</w:t>
      </w:r>
    </w:p>
    <w:p>
      <w:r>
        <w:rPr>
          <w:b/>
          <w:sz w:val="19"/>
        </w:rPr>
        <w:t xml:space="preserve">Übertragbarkeit: </w:t>
      </w:r>
      <w:r>
        <w:rPr>
          <w:sz w:val="19"/>
        </w:rPr>
        <w:t>Deutschland, prospektive Real-World-Daten, nationale Registerstudie zu Versorgungsrealität</w:t>
      </w:r>
    </w:p>
    <w:p>
      <w:r>
        <w:rPr>
          <w:color w:val="5A7D3A"/>
          <w:sz w:val="18"/>
        </w:rPr>
        <w:t>https://pubmed.ncbi.nlm.nih.gov/42678546/</w:t>
      </w:r>
    </w:p>
    <w:p>
      <w:pPr>
        <w:pStyle w:val="Heading2"/>
      </w:pPr>
      <w:r>
        <w:t>Pharmacogenetic-Drug-Dispensing bei kardiovaskulären Erkrankungen in der Nördlichen Niederlande</w:t>
      </w:r>
    </w:p>
    <w:p>
      <w:r>
        <w:rPr>
          <w:i/>
          <w:color w:val="666666"/>
          <w:sz w:val="18"/>
        </w:rPr>
        <w:t>Zhang Z et al.  ·  Clin Pharmacol Ther  ·  01.09.2026  ·  PMID 42677489</w:t>
      </w:r>
    </w:p>
    <w:p>
      <w:r>
        <w:t>Serienquerschnittstudie zur Prävalenz und jährlichen Initiierungsrate von Arzneimitteln mit pharmakokinetischen Gen-Wechselwirkungen bei erwachsenen Patienten mit Herz-Kreislauf-Erkrankungen.</w:t>
      </w:r>
    </w:p>
    <w:p>
      <w:r>
        <w:rPr>
          <w:b/>
        </w:rPr>
        <w:t xml:space="preserve">Ergebnis: </w:t>
      </w:r>
      <w:r>
        <w:t>Die Prävalenz mindestens eines Pharmacogenetic-Drugs lag bei ~90 % und mehrerer bei ~68 %, stabil über 5 Jahre (2019–2023). CYP2C19-, CYP2D6- und SLCO1B1-assoziierte Arzneimittel bei 60 %, 53 % bzw. 51 % der Patienten; 24–66 % hätten Möglichkeiten zur Wiederverwendung von Testergebnissen.</w:t>
      </w:r>
    </w:p>
    <w:p>
      <w:r>
        <w:rPr>
          <w:b/>
          <w:sz w:val="19"/>
        </w:rPr>
        <w:t xml:space="preserve">Übertragbarkeit: </w:t>
      </w:r>
      <w:r>
        <w:rPr>
          <w:sz w:val="19"/>
        </w:rPr>
        <w:t>Niederlande, Sozialversicherungssystem, vergleichbare Versorgungsstruktur mit Deutschland</w:t>
      </w:r>
    </w:p>
    <w:p>
      <w:r>
        <w:rPr>
          <w:color w:val="5A7D3A"/>
          <w:sz w:val="18"/>
        </w:rPr>
        <w:t>https://pubmed.ncbi.nlm.nih.gov/42677489/</w:t>
      </w:r>
    </w:p>
    <w:p>
      <w:pPr>
        <w:pStyle w:val="Heading2"/>
      </w:pPr>
      <w:r>
        <w:t>Familienperspektive auf multidisziplinäre Nachbarschaftsteams für Kinder im UK: Qualitative Akzeptanzanalyse</w:t>
      </w:r>
    </w:p>
    <w:p>
      <w:r>
        <w:rPr>
          <w:i/>
          <w:color w:val="666666"/>
          <w:sz w:val="18"/>
        </w:rPr>
        <w:t>Litchfield I et al.  ·  Front Pediatr  ·  17.08.2026  ·  PMID 42676754</w:t>
      </w:r>
    </w:p>
    <w:p>
      <w:r>
        <w:t>Qualitative Fokusgruppenstudie zur Akzeptabilität eines frühen Beispiels von Neighbourhood Multidisciplinary Teams (NMDT) für Kinder und Jugendliche in Birmingham.</w:t>
      </w:r>
    </w:p>
    <w:p>
      <w:r>
        <w:rPr>
          <w:b/>
        </w:rPr>
        <w:t xml:space="preserve">Ergebnis: </w:t>
      </w:r>
      <w:r>
        <w:t>8 Eltern berichteten starke Zustimmung zu kollokaler Multidisziplinarität gegenüber Regelversorgung; wichtig waren lokale Erreichbarkeit, personalisierte Beziehungen und erweiterte Konsultationszeiten (Burden, Cultural sensitivity, Perceived effectiveness); Unsicherheiten zur genauen Organisationszugehörigkeit.</w:t>
      </w:r>
    </w:p>
    <w:p>
      <w:r>
        <w:rPr>
          <w:b/>
          <w:sz w:val="19"/>
        </w:rPr>
        <w:t xml:space="preserve">Übertragbarkeit: </w:t>
      </w:r>
      <w:r>
        <w:rPr>
          <w:sz w:val="19"/>
        </w:rPr>
        <w:t>UK-System, steuerfinanziert, qualitative Erkenntnisse zu integrierter Versorgung prinzipiell übertragbar</w:t>
      </w:r>
    </w:p>
    <w:p>
      <w:r>
        <w:rPr>
          <w:color w:val="5A7D3A"/>
          <w:sz w:val="18"/>
        </w:rPr>
        <w:t>https://pubmed.ncbi.nlm.nih.gov/42676754/</w:t>
      </w:r>
    </w:p>
    <w:p>
      <w:pPr>
        <w:pStyle w:val="Heading2"/>
      </w:pPr>
      <w:r>
        <w:t>Lean-basiertes Digital-Twin-Modell für Krankenhausnetzwerk-Planung</w:t>
      </w:r>
    </w:p>
    <w:p>
      <w:r>
        <w:rPr>
          <w:i/>
          <w:color w:val="666666"/>
          <w:sz w:val="18"/>
        </w:rPr>
        <w:t>Salabert Carreras J et al.  ·  BMC Health Serv Res  ·  12.08.2026  ·  PMID 42675496</w:t>
      </w:r>
    </w:p>
    <w:p>
      <w:r>
        <w:t>Aktionsforschung zur Entwicklung eines konzeptionellen Digital-Twin-Modells, das Lean-Prinzipien mit Versorgungsplanung auf Netzwerk-Ebene in Krankenhaussystemen verbindet.</w:t>
      </w:r>
    </w:p>
    <w:p>
      <w:r>
        <w:rPr>
          <w:b/>
        </w:rPr>
        <w:t xml:space="preserve">Ergebnis: </w:t>
      </w:r>
      <w:r>
        <w:t>Vier-Schicht-Architektur mit Standardisierung von Kernelementen (Nachfrage, Aktivität, Kapazität, Performance), Szenarien-Analyse für taktische Verträge und Bottleneck-Erkennung; Expert-Review mit CEOs und Medical Directors (&gt;20 Jahre Erfahrung) validierte Strukturintegrität.</w:t>
      </w:r>
    </w:p>
    <w:p>
      <w:r>
        <w:rPr>
          <w:b/>
          <w:sz w:val="19"/>
        </w:rPr>
        <w:t xml:space="preserve">Übertragbarkeit: </w:t>
      </w:r>
      <w:r>
        <w:rPr>
          <w:sz w:val="19"/>
        </w:rPr>
        <w:t>Spanien, multinationale Strukturprinzipien; Design-Architektur prinzipiell auf deutsches Netzwerk-Management übertragbar</w:t>
      </w:r>
    </w:p>
    <w:p>
      <w:r>
        <w:rPr>
          <w:color w:val="5A7D3A"/>
          <w:sz w:val="18"/>
        </w:rPr>
        <w:t>https://pubmed.ncbi.nlm.nih.gov/42675496/</w:t>
      </w:r>
    </w:p>
    <w:p>
      <w:pPr>
        <w:pStyle w:val="Heading2"/>
      </w:pPr>
      <w:r>
        <w:t>Patient Journey Map für diabetische Retinopathie: Synthese qualitativer Evidenz</w:t>
      </w:r>
    </w:p>
    <w:p>
      <w:r>
        <w:rPr>
          <w:i/>
          <w:color w:val="666666"/>
          <w:sz w:val="18"/>
        </w:rPr>
        <w:t>Wang N et al.  ·  BMC Health Serv Res  ·  28.08.2026  ·  PMID 42675492</w:t>
      </w:r>
    </w:p>
    <w:p>
      <w:r>
        <w:t>Zweigeteilte qualitative Evidenzsynthese (narrative Literaturübersicht mit systematischem Suchschema + 13 Semi-strukturierte Interviews mit DR-Patienten) zur Entwicklung einer integrierten Patient Journey Map.</w:t>
      </w:r>
    </w:p>
    <w:p>
      <w:r>
        <w:rPr>
          <w:b/>
        </w:rPr>
        <w:t xml:space="preserve">Ergebnis: </w:t>
      </w:r>
      <w:r>
        <w:t>25 Studien und 13 Interviews bildeten Phasen-Framework (Screening, perioperativ, Post-Akut-Versorgung); Patient Journey Map zeigt Erfahrungen, Emotionen und Bedarfe über den Versorgungsverlauf; etabliert theoretische Grundlage für individualisierte Diabetesbetreuung.</w:t>
      </w:r>
    </w:p>
    <w:p>
      <w:r>
        <w:rPr>
          <w:b/>
          <w:sz w:val="19"/>
        </w:rPr>
        <w:t xml:space="preserve">Übertragbarkeit: </w:t>
      </w:r>
      <w:r>
        <w:rPr>
          <w:sz w:val="19"/>
        </w:rPr>
        <w:t>China (Stichprobe), qualitatives Design systemunabhängig zur Abbildung von Patientenerleben relevant</w:t>
      </w:r>
    </w:p>
    <w:p>
      <w:r>
        <w:rPr>
          <w:color w:val="5A7D3A"/>
          <w:sz w:val="18"/>
        </w:rPr>
        <w:t>https://pubmed.ncbi.nlm.nih.gov/42675492/</w:t>
      </w:r>
    </w:p>
    <w:p>
      <w:pPr>
        <w:pStyle w:val="Heading2"/>
      </w:pPr>
      <w:r>
        <w:t>Scale-up-Frameworks: Systemische Analyse von Treibern und Rückkopplungsschleifen</w:t>
      </w:r>
    </w:p>
    <w:p>
      <w:r>
        <w:rPr>
          <w:i/>
          <w:color w:val="666666"/>
          <w:sz w:val="18"/>
        </w:rPr>
        <w:t>Hooley C et al.  ·  BMC Health Serv Res  ·  24.07.2026  ·  PMID 42675488</w:t>
      </w:r>
    </w:p>
    <w:p>
      <w:r>
        <w:t>Scoping Review mit Systemdenken-Synthese zur Konsolidierung von Scale-up-Determinanten aus 40 ausgewählten Artikeln und Erstellung eines Causal-Loop-Diagrams.</w:t>
      </w:r>
    </w:p>
    <w:p>
      <w:r>
        <w:rPr>
          <w:b/>
        </w:rPr>
        <w:t xml:space="preserve">Ergebnis: </w:t>
      </w:r>
      <w:r>
        <w:t>1053 ursprüngliche Determinanten reduziert auf 25 Modell-Variablen; 6 verstärkende und 3 ausgleichende Rückkopplungsschleifen identifiziert; Motivation, Kapazität, Enabling Environment und Alignment als prominenteste Faktoren.</w:t>
      </w:r>
    </w:p>
    <w:p>
      <w:r>
        <w:rPr>
          <w:b/>
          <w:sz w:val="19"/>
        </w:rPr>
        <w:t xml:space="preserve">Übertragbarkeit: </w:t>
      </w:r>
      <w:r>
        <w:rPr>
          <w:sz w:val="19"/>
        </w:rPr>
        <w:t>Konzeptuelle Rahmensynthese systemunabhängig für Scale-up-Prozesse im Gesundheitswesen relevant</w:t>
      </w:r>
    </w:p>
    <w:p>
      <w:r>
        <w:rPr>
          <w:color w:val="5A7D3A"/>
          <w:sz w:val="18"/>
        </w:rPr>
        <w:t>https://pubmed.ncbi.nlm.nih.gov/42675488/</w:t>
      </w:r>
    </w:p>
    <w:p>
      <w:pPr>
        <w:pStyle w:val="Heading1"/>
      </w:pPr>
      <w:r>
        <w:t>Aufgenommen am 01.09.2026</w:t>
      </w:r>
    </w:p>
    <w:p>
      <w:pPr>
        <w:pStyle w:val="Heading2"/>
      </w:pPr>
      <w:r>
        <w:t>NEED-Methodologie für Versorgungsbedarfe bei psychotischen Störungen in Belgien</w:t>
      </w:r>
    </w:p>
    <w:p>
      <w:r>
        <w:rPr>
          <w:i/>
          <w:color w:val="666666"/>
          <w:sz w:val="18"/>
        </w:rPr>
        <w:t>Claessens Z et al.  ·  Health Expect  ·  Okt. 2026  ·  PMID 42670826</w:t>
      </w:r>
    </w:p>
    <w:p>
      <w:r>
        <w:t>Methodische Anpassung des NEED-Frameworks (Needs Examination, Evaluation and Dissemination) für Bedarfsermittlung bei psychotischen Störungen durch qualitative Forschung und Expert*innenbeteiligung.</w:t>
      </w:r>
    </w:p>
    <w:p>
      <w:r>
        <w:rPr>
          <w:b/>
        </w:rPr>
        <w:t xml:space="preserve">Ergebnis: </w:t>
      </w:r>
      <w:r>
        <w:t>Drei interdependente Bereiche identifiziert: Stigma erschwert Selbstidentifikation, begrenzte Krankheitseinsicht und Misstrauen behindern Partizipation. Adaptationen: erweiterte Einschlusskriterien, nicht-stigmatisierende Terminologie, Proxy-Completion ermöglicht, On-site-Unterstützung notwendig.</w:t>
      </w:r>
    </w:p>
    <w:p>
      <w:r>
        <w:rPr>
          <w:b/>
          <w:sz w:val="19"/>
        </w:rPr>
        <w:t xml:space="preserve">Übertragbarkeit: </w:t>
      </w:r>
      <w:r>
        <w:rPr>
          <w:sz w:val="19"/>
        </w:rPr>
        <w:t>Belgien, Sozialversicherungssystem; hohe Übertragbarkeit auf deutschsprachige Länder</w:t>
      </w:r>
    </w:p>
    <w:p>
      <w:r>
        <w:rPr>
          <w:color w:val="5A7D3A"/>
          <w:sz w:val="18"/>
        </w:rPr>
        <w:t>https://pubmed.ncbi.nlm.nih.gov/42670826/</w:t>
      </w:r>
    </w:p>
    <w:p>
      <w:pPr>
        <w:pStyle w:val="Heading2"/>
      </w:pPr>
      <w:r>
        <w:t>Herz-Insuffizienz-Versorgung in der US-Veteranen-Administration während COVID-19</w:t>
      </w:r>
    </w:p>
    <w:p>
      <w:r>
        <w:rPr>
          <w:i/>
          <w:color w:val="666666"/>
          <w:sz w:val="18"/>
        </w:rPr>
        <w:t>Brownell NK et al.  ·  Circ Heart Fail  ·  31.08.2026  ·  PMID 42670712</w:t>
      </w:r>
    </w:p>
    <w:p>
      <w:r>
        <w:t>Untersucht Trends in der Herzinsuffizienz-Behandlung und Ergebnissen bei Veteranen über 6 Jahre inklusive Pandemie-Phase mittels unterbrochener Zeitreihenanalyse.</w:t>
      </w:r>
    </w:p>
    <w:p>
      <w:r>
        <w:rPr>
          <w:b/>
        </w:rPr>
        <w:t xml:space="preserve">Ergebnis: </w:t>
      </w:r>
      <w:r>
        <w:t>Verordnungen für Herzinsuffizienz-Medikamente wurden beibehalten oder verbessert (0,1–0,9 Prozentpunkte Anstieg pro 6-Wochen-Periode in der späten COVID-Phase). Telemedizin-Nutzung stieg 2–4-fach, stationäre Aufnahmen sanken um 31 %, Mortalität stieg jedoch um 13 % bei Pandemie-Beginn.</w:t>
      </w:r>
    </w:p>
    <w:p>
      <w:r>
        <w:rPr>
          <w:b/>
          <w:sz w:val="19"/>
        </w:rPr>
        <w:t xml:space="preserve">Übertragbarkeit: </w:t>
      </w:r>
      <w:r>
        <w:rPr>
          <w:sz w:val="19"/>
        </w:rPr>
        <w:t>US-System; klinische Prozessveränderungen teilweise übertragbar</w:t>
      </w:r>
    </w:p>
    <w:p>
      <w:r>
        <w:rPr>
          <w:color w:val="5A7D3A"/>
          <w:sz w:val="18"/>
        </w:rPr>
        <w:t>https://pubmed.ncbi.nlm.nih.gov/42670712/</w:t>
      </w:r>
    </w:p>
    <w:p>
      <w:pPr>
        <w:pStyle w:val="Heading2"/>
      </w:pPr>
      <w:r>
        <w:t>Laparoskopische Leberresektion bei intrahepatischem Cholangiokarinom in Japan</w:t>
      </w:r>
    </w:p>
    <w:p>
      <w:r>
        <w:rPr>
          <w:i/>
          <w:color w:val="666666"/>
          <w:sz w:val="18"/>
        </w:rPr>
        <w:t>Kokudo T et al.  ·  Glob Health Med  ·  31.08.2026  ·  PMID 42670510</w:t>
      </w:r>
    </w:p>
    <w:p>
      <w:r>
        <w:t>Nationale Beobachtungsstudie zur Entwicklung minimal-invasiver Chirurgie bei intrahepatischem Cholangiokarinom basierend auf japanischer Krankenversicherungsdatenbank 2016–2020.</w:t>
      </w:r>
    </w:p>
    <w:p>
      <w:r>
        <w:rPr>
          <w:b/>
        </w:rPr>
        <w:t xml:space="preserve">Ergebnis: </w:t>
      </w:r>
      <w:r>
        <w:t>Fallzahlen stabil (1119–1213 Patienten/Jahr), offene Resektionen konstant (~750/Jahr), laparoskopische Resektionen stiegen von 84 (2016) auf 195 (2020). Mediane postoperative Überlebensdauer: 5,25 Jahre offen vs. nicht erreicht laparoskopisch.</w:t>
      </w:r>
    </w:p>
    <w:p>
      <w:r>
        <w:rPr>
          <w:b/>
          <w:sz w:val="19"/>
        </w:rPr>
        <w:t xml:space="preserve">Übertragbarkeit: </w:t>
      </w:r>
      <w:r>
        <w:rPr>
          <w:sz w:val="19"/>
        </w:rPr>
        <w:t>Japan, nationale Routinedaten; Versorgungstrends mit Methodenvalidierung übertragbar</w:t>
      </w:r>
    </w:p>
    <w:p>
      <w:r>
        <w:rPr>
          <w:color w:val="5A7D3A"/>
          <w:sz w:val="18"/>
        </w:rPr>
        <w:t>https://pubmed.ncbi.nlm.nih.gov/42670510/</w:t>
      </w:r>
    </w:p>
    <w:p>
      <w:pPr>
        <w:pStyle w:val="Heading2"/>
      </w:pPr>
      <w:r>
        <w:t>Wirtschaftliche Last der Parkinson-Krankheit in Europa</w:t>
      </w:r>
    </w:p>
    <w:p>
      <w:r>
        <w:rPr>
          <w:i/>
          <w:color w:val="666666"/>
          <w:sz w:val="18"/>
        </w:rPr>
        <w:t>Welter L et al.  ·  Mov Disord  ·  27.08.2026  ·  PMID 42659761</w:t>
      </w:r>
    </w:p>
    <w:p>
      <w:r>
        <w:t>Cost-of-Illness-Studie für Parkinson-Erkrankung in 47 europäischen Ländern mittels Prävalenzdaten und systematischem Review von Kostenstudien.</w:t>
      </w:r>
    </w:p>
    <w:p>
      <w:r>
        <w:rPr>
          <w:b/>
        </w:rPr>
        <w:t xml:space="preserve">Ergebnis: </w:t>
      </w:r>
      <w:r>
        <w:t>Gesamtkosten 2019: 22,8 Mrd. €, davon 17,3 Mrd. € (76 %) direkte Kosten, 1 Mrd. € (5 %) indirekte Kosten, 4,4 Mrd. € (19 %) informelle Pflegekosten. Mittlere Kosten pro Patient: 14.278 € (Median: 8.393 €).</w:t>
      </w:r>
    </w:p>
    <w:p>
      <w:r>
        <w:rPr>
          <w:b/>
          <w:sz w:val="19"/>
        </w:rPr>
        <w:t xml:space="preserve">Übertragbarkeit: </w:t>
      </w:r>
      <w:r>
        <w:rPr>
          <w:sz w:val="19"/>
        </w:rPr>
        <w:t>Europäische Länder; strukturelle Übertragbarkeit auf deutsches System</w:t>
      </w:r>
    </w:p>
    <w:p>
      <w:r>
        <w:rPr>
          <w:color w:val="5A7D3A"/>
          <w:sz w:val="18"/>
        </w:rPr>
        <w:t>https://pubmed.ncbi.nlm.nih.gov/42659761/</w:t>
      </w:r>
    </w:p>
    <w:p>
      <w:pPr>
        <w:pStyle w:val="Heading2"/>
      </w:pPr>
      <w:r>
        <w:t>Surveillance-Kolonoskopie-Intervalle in australischen Spitälern</w:t>
      </w:r>
    </w:p>
    <w:p>
      <w:r>
        <w:rPr>
          <w:i/>
          <w:color w:val="666666"/>
          <w:sz w:val="18"/>
        </w:rPr>
        <w:t>Foo J et al.  ·  Aust Health Rev  ·  03.09.2026  ·  PMID 42656090</w:t>
      </w:r>
    </w:p>
    <w:p>
      <w:r>
        <w:t>Audit von 248 Kolonoskopie-Fällen in 6 viktorianischen Spitälern zur Überprüfung der Guideline-Konformität bei Surveillance-Intervallen nach 2018 Australian Cancer Council Richtlinien.</w:t>
      </w:r>
    </w:p>
    <w:p>
      <w:r>
        <w:rPr>
          <w:b/>
        </w:rPr>
        <w:t xml:space="preserve">Ergebnis: </w:t>
      </w:r>
      <w:r>
        <w:t>Nur 25,4 % (63/248) der Empfehlungen waren guideline-konform; 74,6 % waren zu früh, 20,5 % nicht indiziert, 4,9 % zu spät. Konformität variierte nach Intervall-Kategorie: 66,7 % (≤12 Mon.), 31,0 % (3 J.), 58,3 % (5 J.), 0,0 % (10 J.).</w:t>
      </w:r>
    </w:p>
    <w:p>
      <w:r>
        <w:rPr>
          <w:b/>
          <w:sz w:val="19"/>
        </w:rPr>
        <w:t xml:space="preserve">Übertragbarkeit: </w:t>
      </w:r>
      <w:r>
        <w:rPr>
          <w:sz w:val="19"/>
        </w:rPr>
        <w:t>Australien; Implementierungsgap systemunabhängig relevant</w:t>
      </w:r>
    </w:p>
    <w:p>
      <w:r>
        <w:rPr>
          <w:color w:val="5A7D3A"/>
          <w:sz w:val="18"/>
        </w:rPr>
        <w:t>https://pubmed.ncbi.nlm.nih.gov/42656090/</w:t>
      </w:r>
    </w:p>
    <w:p>
      <w:pPr>
        <w:pStyle w:val="Heading2"/>
      </w:pPr>
      <w:r>
        <w:t>Unsicherheit beim wissenschaftlichen Deliberationsprozess während COVID-19</w:t>
      </w:r>
    </w:p>
    <w:p>
      <w:r>
        <w:rPr>
          <w:i/>
          <w:color w:val="666666"/>
          <w:sz w:val="18"/>
        </w:rPr>
        <w:t>Correia T et al.  ·  Eur J Public Health  ·  04.08.2026  ·  PMID 42647368</w:t>
      </w:r>
    </w:p>
    <w:p>
      <w:r>
        <w:t>Policy-Analyse zum Verhältnis zwischen Transparenz von wissenschaftlichen Entscheidungsprozessen und dem Schutz wissenschaftlicher Deliberation am Beispiel der Fauci-Tagebuch-Veröffentlichung.</w:t>
      </w:r>
    </w:p>
    <w:p>
      <w:r>
        <w:rPr>
          <w:b/>
        </w:rPr>
        <w:t xml:space="preserve">Ergebnis: </w:t>
      </w:r>
      <w:r>
        <w:t>Kernaussage: Offenlegung interne wissenschaftliche Diskussionen kann legitimes Vertrauen in institutionelle Autorität untergraben, wenn Unsicherheiten und Widersprüche bei der Entscheidungsfindung nicht angemessen kontextualisiert werden.</w:t>
      </w:r>
    </w:p>
    <w:p>
      <w:r>
        <w:rPr>
          <w:b/>
          <w:sz w:val="19"/>
        </w:rPr>
        <w:t xml:space="preserve">Übertragbarkeit: </w:t>
      </w:r>
      <w:r>
        <w:rPr>
          <w:sz w:val="19"/>
        </w:rPr>
        <w:t>Systemübergreifende Governance-Frage; relevant für deutsche Public-Health-Entscheidungen</w:t>
      </w:r>
    </w:p>
    <w:p>
      <w:r>
        <w:rPr>
          <w:color w:val="5A7D3A"/>
          <w:sz w:val="18"/>
        </w:rPr>
        <w:t>https://pubmed.ncbi.nlm.nih.gov/42647368/</w:t>
      </w:r>
    </w:p>
    <w:p>
      <w:pPr>
        <w:pStyle w:val="Heading1"/>
      </w:pPr>
      <w:r>
        <w:t>Aufgenommen am 31.08.2026</w:t>
      </w:r>
    </w:p>
    <w:p>
      <w:pPr>
        <w:pStyle w:val="Heading2"/>
      </w:pPr>
      <w:r>
        <w:t>Symptombelastung nach Dialysebeginn und Hospitalisierungsrisiko</w:t>
      </w:r>
    </w:p>
    <w:p>
      <w:r>
        <w:rPr>
          <w:i/>
          <w:color w:val="666666"/>
          <w:sz w:val="18"/>
        </w:rPr>
        <w:t>Nair D et al.  ·  Kidney Med  ·  23.06.2026  ·  PMID 42668553</w:t>
      </w:r>
    </w:p>
    <w:p>
      <w:r>
        <w:t>Längsschnittstudie zur Assoziation zwischen Symptombelastung (KDQOL-36) und Krankenhausaufnahmen bei Hämodialysepatienten in den USA.</w:t>
      </w:r>
    </w:p>
    <w:p>
      <w:r>
        <w:rPr>
          <w:b/>
        </w:rPr>
        <w:t xml:space="preserve">Ergebnis: </w:t>
      </w:r>
      <w:r>
        <w:t>1.818 Teilnehmer; latente Transitionsanalyse identifizierte 3 Symptombelastungs-Klassen. Hohe Symptombelastung: HR 1,20 für Hospitalisierung (95%-CI). Schmerzinterferenz und Müdigkeit stärkste Prädiktoren (je 1-Kategorie-Verschlechterung: +12% bzw. +8% Hazard). Symptombelastung sollte Behandlungsziel in Dialysezentren sein.</w:t>
      </w:r>
    </w:p>
    <w:p>
      <w:r>
        <w:rPr>
          <w:b/>
          <w:sz w:val="19"/>
        </w:rPr>
        <w:t xml:space="preserve">Übertragbarkeit: </w:t>
      </w:r>
      <w:r>
        <w:rPr>
          <w:sz w:val="19"/>
        </w:rPr>
        <w:t>US-Daten, aber Messinstrument und Fragestellung systemunabhängig auf deutsches Setting anwendbar.</w:t>
      </w:r>
    </w:p>
    <w:p>
      <w:r>
        <w:rPr>
          <w:color w:val="5A7D3A"/>
          <w:sz w:val="18"/>
        </w:rPr>
        <w:t>https://pubmed.ncbi.nlm.nih.gov/42668553/</w:t>
      </w:r>
    </w:p>
    <w:p>
      <w:pPr>
        <w:pStyle w:val="Heading2"/>
      </w:pPr>
      <w:r>
        <w:t>Kardiovaskulär-Nieren-Leber-Stoffwechsel-Last weltweit 1990–2023</w:t>
      </w:r>
    </w:p>
    <w:p>
      <w:r>
        <w:rPr>
          <w:i/>
          <w:color w:val="666666"/>
          <w:sz w:val="18"/>
        </w:rPr>
        <w:t>Jayabaskaran J et al.  ·  EClinicalMedicine  ·  22.08.2026  ·  PMID 42668515</w:t>
      </w:r>
    </w:p>
    <w:p>
      <w:r>
        <w:t>Deskriptive epidemiologische Analyse Global Burden of Disease 2023 zu Mortalität und DALYs für atherogene CVD, CKD, Typ-2-Diabetes, Adipositas und MASLD in 204 Ländern.</w:t>
      </w:r>
    </w:p>
    <w:p>
      <w:r>
        <w:rPr>
          <w:b/>
        </w:rPr>
        <w:t xml:space="preserve">Ergebnis: </w:t>
      </w:r>
      <w:r>
        <w:t>2023: 626,7 Millionen DALYs; altersstandardisierte Rate 6.944,3/100.000. Atherogene CVD 3.924,2 DALYs [95%-UI 3.667–4.181], Adipositas 1.500,0, Typ-2-Diabetes 956,7, CKD 523,8, MASLD 39,6. 1990–2023: CKLM-DALYs -24,4%; CVD -41,5%, aber Typ-2-Diabetes +37,5%, Adipositas +23,3%. Prävention muss geteilte Risikofaktoren adressieren.</w:t>
      </w:r>
    </w:p>
    <w:p>
      <w:r>
        <w:rPr>
          <w:b/>
          <w:sz w:val="19"/>
        </w:rPr>
        <w:t xml:space="preserve">Übertragbarkeit: </w:t>
      </w:r>
      <w:r>
        <w:rPr>
          <w:sz w:val="19"/>
        </w:rPr>
        <w:t>Globale Daten, WHO-Methodik; Trends relevant für deutsche Versorgungsplanung.</w:t>
      </w:r>
    </w:p>
    <w:p>
      <w:r>
        <w:rPr>
          <w:color w:val="5A7D3A"/>
          <w:sz w:val="18"/>
        </w:rPr>
        <w:t>https://pubmed.ncbi.nlm.nih.gov/42668515/</w:t>
      </w:r>
    </w:p>
    <w:p>
      <w:pPr>
        <w:pStyle w:val="Heading2"/>
      </w:pPr>
      <w:r>
        <w:t>Ambulante Behandlung akuter Herzinsuffizienz durch Fachkräfte – niedrigere Readmissions- und Mortalitätsraten</w:t>
      </w:r>
    </w:p>
    <w:p>
      <w:r>
        <w:rPr>
          <w:i/>
          <w:color w:val="666666"/>
          <w:sz w:val="18"/>
        </w:rPr>
        <w:t>Rasoul D et al.  ·  Curr Probl Cardiol  ·  29.08.2026  ·  PMID 42667938</w:t>
      </w:r>
    </w:p>
    <w:p>
      <w:r>
        <w:t>Retrospektive Kohortenstudie zu ambulanter Behandlung dekompenserter Herzinsuffizienz mit IV-Diuretika in spezialisierter Fachkrankenpflege-geführter Einheit versus stationär.</w:t>
      </w:r>
    </w:p>
    <w:p>
      <w:r>
        <w:rPr>
          <w:b/>
        </w:rPr>
        <w:t xml:space="preserve">Ergebnis: </w:t>
      </w:r>
      <w:r>
        <w:t>Nach Propensity-Score-Matching (je 1.227 Patienten): 30-Tage-Readmission AHFU vs. Standardcare 16,5% vs. 24,1% (p&lt;0,001); 1-Jahres-Readmission 25,2% vs. 30,8% (p=0,004); 30-Tage-Mortalität 10,1% vs. 13,5% (p=0,009); 1-Jahres-Mortalität vergleichbar (10,9% vs. 10,8%). Spezialisierte ambulante Versorgung kann Krankenhausbehandlung bei geeigneten Patienten reduzieren.</w:t>
      </w:r>
    </w:p>
    <w:p>
      <w:r>
        <w:rPr>
          <w:b/>
          <w:sz w:val="19"/>
        </w:rPr>
        <w:t xml:space="preserve">Übertragbarkeit: </w:t>
      </w:r>
      <w:r>
        <w:rPr>
          <w:sz w:val="19"/>
        </w:rPr>
        <w:t>Großbritannien, nationale Gesundheitsversorgung, hausarztgestützt – System übertragbar auf strukturierte Poliklinik-Modelle.</w:t>
      </w:r>
    </w:p>
    <w:p>
      <w:r>
        <w:rPr>
          <w:color w:val="5A7D3A"/>
          <w:sz w:val="18"/>
        </w:rPr>
        <w:t>https://pubmed.ncbi.nlm.nih.gov/42667938/</w:t>
      </w:r>
    </w:p>
    <w:p>
      <w:pPr>
        <w:pStyle w:val="Heading2"/>
      </w:pPr>
      <w:r>
        <w:t>Lebensqualität nach präventiver Hysterektomie bei Lynch-Syndrom</w:t>
      </w:r>
    </w:p>
    <w:p>
      <w:r>
        <w:rPr>
          <w:i/>
          <w:color w:val="666666"/>
          <w:sz w:val="18"/>
        </w:rPr>
        <w:t>Oxley SG et al.  ·  EClinicalMedicine  ·  27.07.2026  ·  PMID 42666945</w:t>
      </w:r>
    </w:p>
    <w:p>
      <w:r>
        <w:t>Multizentrische Querschnittsstudie (PRESCORES) zur Erfassung der gesundheitsbezogenen Lebensqualität (EQ-5D) bei Frauen mit Lynch-Syndrom mit und ohne risikoreduzierende Hysterektomie.</w:t>
      </w:r>
    </w:p>
    <w:p>
      <w:r>
        <w:rPr>
          <w:b/>
        </w:rPr>
        <w:t xml:space="preserve">Ergebnis: </w:t>
      </w:r>
      <w:r>
        <w:t>1.120 Teilnehmer: 529 nach RRH (Median 55 Jahre), 591 ohne (39 Jahre). Adjustierte mittlere EQ-5D-Differenz RRH vs. keine RRH: -0,020 (95%-CI -0,045–0,004; p=0,11), bei prämenopausalen Frauen -0,041 (p&lt;0,05). Cancer-Worry-Scale in RRH-Gruppe signifikant niedriger (Differenz -0,48; p=0,004). Hysterektomie bei jüngeren Frauen mit Lebensqualitätseinbußen assoziiert.</w:t>
      </w:r>
    </w:p>
    <w:p>
      <w:r>
        <w:rPr>
          <w:b/>
          <w:sz w:val="19"/>
        </w:rPr>
        <w:t xml:space="preserve">Übertragbarkeit: </w:t>
      </w:r>
      <w:r>
        <w:rPr>
          <w:sz w:val="19"/>
        </w:rPr>
        <w:t>Britische NHS-Daten, genetische Beratung/Screening-Kontext auf deutsches Versorgungssystem übertragbar.</w:t>
      </w:r>
    </w:p>
    <w:p>
      <w:r>
        <w:rPr>
          <w:color w:val="5A7D3A"/>
          <w:sz w:val="18"/>
        </w:rPr>
        <w:t>https://pubmed.ncbi.nlm.nih.gov/42666945/</w:t>
      </w:r>
    </w:p>
    <w:p>
      <w:pPr>
        <w:pStyle w:val="Heading2"/>
      </w:pPr>
      <w:r>
        <w:t>Körperliche Aktivität und Mundgesundheit im Alter – kausale Studie in Singapur</w:t>
      </w:r>
    </w:p>
    <w:p>
      <w:r>
        <w:rPr>
          <w:i/>
          <w:color w:val="666666"/>
          <w:sz w:val="18"/>
        </w:rPr>
        <w:t>Tay JRH et al.  ·  J Nutr Health Aging  ·  28.08.2026  ·  PMID 42664809</w:t>
      </w:r>
    </w:p>
    <w:p>
      <w:r>
        <w:t>Längsschnitt-Kausalitätsstudie (THE SIGNS Study, 2016–2024) zu Effekten erhöhter körperlicher Aktivität auf Mundgesundheit und Kaufunktion bei älteren Erwachsenen.</w:t>
      </w:r>
    </w:p>
    <w:p>
      <w:r>
        <w:rPr>
          <w:b/>
        </w:rPr>
        <w:t xml:space="preserve">Ergebnis: </w:t>
      </w:r>
      <w:r>
        <w:t>N=3.981, 3 Wellen. Erhöhung auf ≥450 MET-min/Woche: RR für schlechte Mundgesundheit 0,88 (95%-CI 0,82–0,95). Selbst Anstieg auf 150 MET-min/Woche: RR 0,93 (0,88–0,99). Eleminierung aller Aktivität erhöht Kaufunktionsstörungen um 21% (RR 1,21; 95%-CI 1,10–1,33). Physische Aktivität protektiv für Mundgesundheit im Alter.</w:t>
      </w:r>
    </w:p>
    <w:p>
      <w:r>
        <w:rPr>
          <w:b/>
          <w:sz w:val="19"/>
        </w:rPr>
        <w:t xml:space="preserve">Übertragbarkeit: </w:t>
      </w:r>
      <w:r>
        <w:rPr>
          <w:sz w:val="19"/>
        </w:rPr>
        <w:t>Singapur, steuerfinanziertes System; Public-Health-Fragestellung systemunabhängig, Ergebnisse auf deutsches Setting übertragbar.</w:t>
      </w:r>
    </w:p>
    <w:p>
      <w:r>
        <w:rPr>
          <w:color w:val="5A7D3A"/>
          <w:sz w:val="18"/>
        </w:rPr>
        <w:t>https://pubmed.ncbi.nlm.nih.gov/42664809/</w:t>
      </w:r>
    </w:p>
    <w:p>
      <w:pPr>
        <w:pStyle w:val="Heading2"/>
      </w:pPr>
      <w:r>
        <w:t>Difference-in-Differences – methodisches Rahmenwerk für pädiatrische Versorgungsforschung</w:t>
      </w:r>
    </w:p>
    <w:p>
      <w:r>
        <w:rPr>
          <w:i/>
          <w:color w:val="666666"/>
          <w:sz w:val="18"/>
        </w:rPr>
        <w:t>Lee AR et al.  ·  Arch Dis Child  ·  26.08.2026  ·  PMID 42648881</w:t>
      </w:r>
    </w:p>
    <w:p>
      <w:r>
        <w:t>Methodisches Tutorial zur Difference-in-Differences-Analyse für Kinderärzte im Bereich Versorgungsforschung.</w:t>
      </w:r>
    </w:p>
    <w:p>
      <w:r>
        <w:rPr>
          <w:b/>
        </w:rPr>
        <w:t xml:space="preserve">Ergebnis: </w:t>
      </w:r>
      <w:r>
        <w:t>Strukturierter Rahmen für quasi-experimentelle Analyse von Interventionseffekten mit zeitlicher und Kontrollgruppen-Variation. Methodisch-pädagogischer Beitrag ohne quantitative Ergebnisse eigener Studie.</w:t>
      </w:r>
    </w:p>
    <w:p>
      <w:r>
        <w:rPr>
          <w:b/>
          <w:sz w:val="19"/>
        </w:rPr>
        <w:t xml:space="preserve">Übertragbarkeit: </w:t>
      </w:r>
      <w:r>
        <w:rPr>
          <w:sz w:val="19"/>
        </w:rPr>
        <w:t>Methodische Anleitung, systemunabhängig anwendbar auf deutsche Versorgungsforschung.</w:t>
      </w:r>
    </w:p>
    <w:p>
      <w:r>
        <w:rPr>
          <w:color w:val="5A7D3A"/>
          <w:sz w:val="18"/>
        </w:rPr>
        <w:t>https://pubmed.ncbi.nlm.nih.gov/42648881/</w:t>
      </w:r>
    </w:p>
    <w:p>
      <w:pPr>
        <w:pStyle w:val="Heading1"/>
      </w:pPr>
      <w:r>
        <w:t>Aufgenommen am 30.08.2026</w:t>
      </w:r>
    </w:p>
    <w:p>
      <w:pPr>
        <w:pStyle w:val="Heading2"/>
      </w:pPr>
      <w:r>
        <w:t>Bewegungsaktivität reduziert perinatale Depression und Angststörungen</w:t>
      </w:r>
    </w:p>
    <w:p>
      <w:r>
        <w:rPr>
          <w:i/>
          <w:color w:val="666666"/>
          <w:sz w:val="18"/>
        </w:rPr>
        <w:t>Mohr E et al.  ·  EClinicalMedicine  ·  19.07.2026  ·  PMID 42666712</w:t>
      </w:r>
    </w:p>
    <w:p>
      <w:r>
        <w:t>Umbrella Review mit Meta-Meta-Analyse zur Wirksamkeit von körperlicher Aktivität auf depressive und Angstsymptome in der Perinatalzeit.</w:t>
      </w:r>
    </w:p>
    <w:p>
      <w:r>
        <w:rPr>
          <w:b/>
        </w:rPr>
        <w:t xml:space="preserve">Ergebnis: </w:t>
      </w:r>
      <w:r>
        <w:t>Leichte bis moderate körperliche Aktivität reduziert depressive Symptome signifikant (SMD: -0,56; 95%-KI: -0,93 bis -0,19, moderate Evidenzsicherheit), Yoga und Mixed-Activity zeigen besondere Effektivität (SMD: -0,55 bzw. -0,54). Angststörungen werden ebenfalls reduziert (SMD: -0,85; 95%-KI: -1,29 bis -0,42).</w:t>
      </w:r>
    </w:p>
    <w:p>
      <w:r>
        <w:rPr>
          <w:b/>
          <w:sz w:val="19"/>
        </w:rPr>
        <w:t xml:space="preserve">Übertragbarkeit: </w:t>
      </w:r>
      <w:r>
        <w:rPr>
          <w:sz w:val="19"/>
        </w:rPr>
        <w:t>Systematische Übersichtsarbeit, methodologisch hochwertig, globale Evidenz unmittelbar auf deutsches Versorgungssystem übertragbar</w:t>
      </w:r>
    </w:p>
    <w:p>
      <w:r>
        <w:rPr>
          <w:color w:val="5A7D3A"/>
          <w:sz w:val="18"/>
        </w:rPr>
        <w:t>https://pubmed.ncbi.nlm.nih.gov/42666712/</w:t>
      </w:r>
    </w:p>
    <w:p>
      <w:pPr>
        <w:pStyle w:val="Heading2"/>
      </w:pPr>
      <w:r>
        <w:t>Integratives Hypertonie-Monitoring mit Routinedaten in Mexikos föderalisiertem Public-Health-System</w:t>
      </w:r>
    </w:p>
    <w:p>
      <w:r>
        <w:rPr>
          <w:i/>
          <w:color w:val="666666"/>
          <w:sz w:val="18"/>
        </w:rPr>
        <w:t>Silva-Tinoco R et al.  ·  Health Serv Insights  ·  27.08.2026  ·  PMID 42666569</w:t>
      </w:r>
    </w:p>
    <w:p>
      <w:r>
        <w:t>Entwicklung und Evaluierung einer Monitoring-Plattform zur Überwachung der Hypertonie-Versorgung mithilfe von Routinedaten in einem neu strukturierten Gesundheitssystem.</w:t>
      </w:r>
    </w:p>
    <w:p>
      <w:r>
        <w:rPr>
          <w:b/>
        </w:rPr>
        <w:t xml:space="preserve">Ergebnis: </w:t>
      </w:r>
      <w:r>
        <w:t>Aus 486.044 Patienten in teilnehmenden Bundesländern erreichten 67,2% (95%-KI: 67,04–67,37) Blutdruckziele (&lt;140/90 mmHg), 36,8% (95%-KI: 36,62–36,96) strikte Kontrolle (&lt;130/80 mmHg). 63% mit suboptimaler Kontrolle erhielten Follow-up, 48% Therapieintensivierung.</w:t>
      </w:r>
    </w:p>
    <w:p>
      <w:r>
        <w:rPr>
          <w:b/>
          <w:sz w:val="19"/>
        </w:rPr>
        <w:t xml:space="preserve">Übertragbarkeit: </w:t>
      </w:r>
      <w:r>
        <w:rPr>
          <w:sz w:val="19"/>
        </w:rPr>
        <w:t>Mexico, Struktur unterschiedlich – begrenzte Übertragbarkeit, aber Monitoring-Framework methodisch relevant</w:t>
      </w:r>
    </w:p>
    <w:p>
      <w:r>
        <w:rPr>
          <w:color w:val="5A7D3A"/>
          <w:sz w:val="18"/>
        </w:rPr>
        <w:t>https://pubmed.ncbi.nlm.nih.gov/42666569/</w:t>
      </w:r>
    </w:p>
    <w:p>
      <w:pPr>
        <w:pStyle w:val="Heading2"/>
      </w:pPr>
      <w:r>
        <w:t>Health Literacy und ethnische Ungleichheiten in der Geburtshilfe: Scoping Review</w:t>
      </w:r>
    </w:p>
    <w:p>
      <w:r>
        <w:rPr>
          <w:i/>
          <w:color w:val="666666"/>
          <w:sz w:val="18"/>
        </w:rPr>
        <w:t>McEvoy B et al.  ·  BMC Health Serv Res  ·  25.08.2026  ·  PMID 42665809</w:t>
      </w:r>
    </w:p>
    <w:p>
      <w:r>
        <w:t>Systematische Analyse der Forschungsliteratur zu Health Literacy als Faktor für ethnische Disparitäten in der Mutterschaftsversorgung.</w:t>
      </w:r>
    </w:p>
    <w:p>
      <w:r>
        <w:rPr>
          <w:b/>
        </w:rPr>
        <w:t xml:space="preserve">Ergebnis: </w:t>
      </w:r>
      <w:r>
        <w:t>14 Studien eingeschlossen (7 quantitativ, 4 qualitativ, 3 gemischt). Vier Kernfunde: (i) diverse Health-Literacy-Definitionen, (ii) Health-Literacy-Herausforderungen treffen minoritäre Frauen überproportional, (iii) schlechte Health Literacy trägt zu adversen Outcomes bei, (iv) geringe Evaluierung von Interventionen. Erkannter Forschungsgap in diesem Versorgungsbereich.</w:t>
      </w:r>
    </w:p>
    <w:p>
      <w:r>
        <w:rPr>
          <w:b/>
          <w:sz w:val="19"/>
        </w:rPr>
        <w:t xml:space="preserve">Übertragbarkeit: </w:t>
      </w:r>
      <w:r>
        <w:rPr>
          <w:sz w:val="19"/>
        </w:rPr>
        <w:t>UK-Daten, aber Fragestellung zu Gesundheitskompetenz und Equity systemunabhängig relevant</w:t>
      </w:r>
    </w:p>
    <w:p>
      <w:r>
        <w:rPr>
          <w:color w:val="5A7D3A"/>
          <w:sz w:val="18"/>
        </w:rPr>
        <w:t>https://pubmed.ncbi.nlm.nih.gov/42665809/</w:t>
      </w:r>
    </w:p>
    <w:p>
      <w:pPr>
        <w:pStyle w:val="Heading2"/>
      </w:pPr>
      <w:r>
        <w:t>Empowerment von Gesundheitsarbeitern in Primary Health Care mittels partizipativer Aktionsforschung</w:t>
      </w:r>
    </w:p>
    <w:p>
      <w:r>
        <w:rPr>
          <w:i/>
          <w:color w:val="666666"/>
          <w:sz w:val="18"/>
        </w:rPr>
        <w:t>Jahromi MK et al.  ·  BMC Health Serv Res  ·  26.08.2026  ·  PMID 42665795</w:t>
      </w:r>
    </w:p>
    <w:p>
      <w:r>
        <w:t>22-Monate andauernde partizipative Aktionsforschung mit zwei Zyklen zur Stärkung der Kompetenz von Primary-Care-Anbietern im Iran.</w:t>
      </w:r>
    </w:p>
    <w:p>
      <w:r>
        <w:rPr>
          <w:b/>
        </w:rPr>
        <w:t xml:space="preserve">Ergebnis: </w:t>
      </w:r>
      <w:r>
        <w:t>Quantitative und qualitative Verbesserungen nach Intervention: erhöhtes psychological empowerment, verbesserte professional performance, höhere Zufriedenheit mit Schulungsprogrammen, verbesserte client satisfaction. Qualitative Befunde zeigen substanzielle Fortschritte in wissenschaftlich-praktischen Kompetenzen, unterstützender Arbeitskultur und psychischem Wohlbefinden.</w:t>
      </w:r>
    </w:p>
    <w:p>
      <w:r>
        <w:rPr>
          <w:b/>
          <w:sz w:val="19"/>
        </w:rPr>
        <w:t xml:space="preserve">Übertragbarkeit: </w:t>
      </w:r>
      <w:r>
        <w:rPr>
          <w:sz w:val="19"/>
        </w:rPr>
        <w:t>Iran (LMIC), Modell aber für Partizipation und Workforce-Entwicklung im deutschsprachigen Raum relevant</w:t>
      </w:r>
    </w:p>
    <w:p>
      <w:r>
        <w:rPr>
          <w:color w:val="5A7D3A"/>
          <w:sz w:val="18"/>
        </w:rPr>
        <w:t>https://pubmed.ncbi.nlm.nih.gov/42665795/</w:t>
      </w:r>
    </w:p>
    <w:p>
      <w:pPr>
        <w:pStyle w:val="Heading2"/>
      </w:pPr>
      <w:r>
        <w:t>Pharmakovigilanz-Wissen und -Praxis von Gesundheitsberufen in Georgien</w:t>
      </w:r>
    </w:p>
    <w:p>
      <w:r>
        <w:rPr>
          <w:i/>
          <w:color w:val="666666"/>
          <w:sz w:val="18"/>
        </w:rPr>
        <w:t>Silagadze N et al.  ·  BMC Health Serv Res  ·  22.07.2026  ·  PMID 42665790</w:t>
      </w:r>
    </w:p>
    <w:p>
      <w:r>
        <w:t>Querschnittstudie zu Wissen, Haltungen und Praktiken zur Erfassung von Nebenwirkungen durch Ärzte und Pflegekräfte in Georgien.</w:t>
      </w:r>
    </w:p>
    <w:p>
      <w:r>
        <w:rPr>
          <w:b/>
        </w:rPr>
        <w:t xml:space="preserve">Ergebnis: </w:t>
      </w:r>
      <w:r>
        <w:t>76,3% der Teilnehmer (n=684) begegneten Nebenwirkungen, aber nur 12,95% meldeten diese. Keine Pflegekraft und nur 10,2% der Ärzte nutzten das offizielle Meldungsformular. Hauptbarrieren: Mangel an Bewusstsein für nationale Meldesysteme (91,7%), Unsicherheit über Prozesse (76,9%), Unterschätzung der Schwere (40,8%). Ärzte hatten höhere Wissenswerte als Pflegekräfte (19 vs. 16; p&lt;0,001).</w:t>
      </w:r>
    </w:p>
    <w:p>
      <w:r>
        <w:rPr>
          <w:b/>
          <w:sz w:val="19"/>
        </w:rPr>
        <w:t xml:space="preserve">Übertragbarkeit: </w:t>
      </w:r>
      <w:r>
        <w:rPr>
          <w:sz w:val="19"/>
        </w:rPr>
        <w:t>Georgien (Entwicklungsland), aber Pharmaco-Vigilance-Herausforderungen und Lösungsansätze international übertragbar</w:t>
      </w:r>
    </w:p>
    <w:p>
      <w:r>
        <w:rPr>
          <w:color w:val="5A7D3A"/>
          <w:sz w:val="18"/>
        </w:rPr>
        <w:t>https://pubmed.ncbi.nlm.nih.gov/42665790/</w:t>
      </w:r>
    </w:p>
    <w:p>
      <w:pPr>
        <w:pStyle w:val="Heading2"/>
      </w:pPr>
      <w:r>
        <w:t>Methoden zur Analyse von Patientenbewegungen zwischen Versorgungssettings: Systematische Übersicht</w:t>
      </w:r>
    </w:p>
    <w:p>
      <w:r>
        <w:rPr>
          <w:i/>
          <w:color w:val="666666"/>
          <w:sz w:val="18"/>
        </w:rPr>
        <w:t>Yang F et al.  ·  BMJ Open  ·  28.08.2026  ·  PMID 42665343</w:t>
      </w:r>
    </w:p>
    <w:p>
      <w:r>
        <w:t>Systematische Literaturübersicht zu Methoden für die Analyse von Patientenpfaden und -flüssen über multiple Versorgungsebenen hinweg.</w:t>
      </w:r>
    </w:p>
    <w:p>
      <w:r>
        <w:rPr>
          <w:b/>
        </w:rPr>
        <w:t xml:space="preserve">Ergebnis: </w:t>
      </w:r>
      <w:r>
        <w:t>24 Studien identifiziert, 7 distinct Methoden und 5 Forschungsthemen. Die meisten nutzten deskriptive Statistiken und Gruppenvergleiche; Discrete-Event-Simulation wurde häufiger für Patientenbewegungssimulationen eingesetzt. Patiententransfervolumina/Outcomes und Kapazitätsplanung waren am häufigsten untersuchte Themen. Statistical analysis, mathematical modelling und computer simulation bieten komplementäre Ansätze.</w:t>
      </w:r>
    </w:p>
    <w:p>
      <w:r>
        <w:rPr>
          <w:b/>
          <w:sz w:val="19"/>
        </w:rPr>
        <w:t xml:space="preserve">Übertragbarkeit: </w:t>
      </w:r>
      <w:r>
        <w:rPr>
          <w:sz w:val="19"/>
        </w:rPr>
        <w:t>Nordeuropa (Norwegen, UK), Methodologie systemunabhängig, für deutsches Transitions-Management relevant</w:t>
      </w:r>
    </w:p>
    <w:p>
      <w:r>
        <w:rPr>
          <w:color w:val="5A7D3A"/>
          <w:sz w:val="18"/>
        </w:rPr>
        <w:t>https://pubmed.ncbi.nlm.nih.gov/42665343/</w:t>
      </w:r>
    </w:p>
    <w:p>
      <w:pPr>
        <w:pStyle w:val="Heading1"/>
      </w:pPr>
      <w:r>
        <w:t>Aufgenommen am 29.08.2026</w:t>
      </w:r>
    </w:p>
    <w:p>
      <w:pPr>
        <w:pStyle w:val="Heading2"/>
      </w:pPr>
      <w:r>
        <w:t>Palliative Reasoning in multiprofessioneller Palliativversorgung implementieren</w:t>
      </w:r>
    </w:p>
    <w:p>
      <w:r>
        <w:rPr>
          <w:i/>
          <w:color w:val="666666"/>
          <w:sz w:val="18"/>
        </w:rPr>
        <w:t>Kochems K et al.  ·  PLoS One  ·  28.08.2026  ·  PMID 42664250</w:t>
      </w:r>
    </w:p>
    <w:p>
      <w:r>
        <w:t>Niederländische Studie zur iterativen Anpassung und Implementierung einer integrierten Intervention (Palliative Reasoning Working Method) in Primärversorgung, Hospizen und Pflegeheimen.</w:t>
      </w:r>
    </w:p>
    <w:p>
      <w:r>
        <w:rPr>
          <w:b/>
        </w:rPr>
        <w:t xml:space="preserve">Ergebnis: </w:t>
      </w:r>
      <w:r>
        <w:t>Palliative Reasoning wurde in 20 multiprofessionellen Teams erfolgreich implementiert. Es zeigte Verbesserungen bei Erkennung von Palliativbedarfen, patientenzentrierter Versorgung, Pflegekompetenz und Teamzusammenarbeit. 14 Inhaltsadaptationen und 7 Unterstützungsmaterialien wurden entwickelt. Integration in elektronische Gesundheitsakten und organisatorische Verankerung waren entscheidend für Nachhaltigkeit.</w:t>
      </w:r>
    </w:p>
    <w:p>
      <w:r>
        <w:rPr>
          <w:b/>
          <w:sz w:val="19"/>
        </w:rPr>
        <w:t xml:space="preserve">Übertragbarkeit: </w:t>
      </w:r>
      <w:r>
        <w:rPr>
          <w:sz w:val="19"/>
        </w:rPr>
        <w:t>Niederlande, vergleichbares Sozialversicherungssystem, multiprofessionelle Strukturen</w:t>
      </w:r>
    </w:p>
    <w:p>
      <w:r>
        <w:rPr>
          <w:color w:val="5A7D3A"/>
          <w:sz w:val="18"/>
        </w:rPr>
        <w:t>https://pubmed.ncbi.nlm.nih.gov/42664250/</w:t>
      </w:r>
    </w:p>
    <w:p>
      <w:pPr>
        <w:pStyle w:val="Heading2"/>
      </w:pPr>
      <w:r>
        <w:t>Medicare Advantage und Nierenerkrankung im Endstadium nach Cures Act</w:t>
      </w:r>
    </w:p>
    <w:p>
      <w:r>
        <w:rPr>
          <w:i/>
          <w:color w:val="666666"/>
          <w:sz w:val="18"/>
        </w:rPr>
        <w:t>Cai ST et al.  ·  Health Serv Res  ·  Okt. 2026  ·  PMID 42663502</w:t>
      </w:r>
    </w:p>
    <w:p>
      <w:r>
        <w:t>US-Studie zur Veränderung der MA-Versichertenpopulation mit Nierenerkrankung im Endstadium nach Ausweitung der MA-Zulassung 2021 mittels Unterbruchszeitreihentechnik.</w:t>
      </w:r>
    </w:p>
    <w:p>
      <w:r>
        <w:rPr>
          <w:b/>
        </w:rPr>
        <w:t xml:space="preserve">Ergebnis: </w:t>
      </w:r>
      <w:r>
        <w:t>Nach der Politikänderung waren MA-Versicherte mit Nierenerkrankung im Endstadium jünger, hatten niedrigere Komorbiditätsbelastung, aber niedrigeres Einkommen. Hospitalisierungsraten sank unmittelbar um 0,013 pro Versicherter-Monat (6 % relativer Rückgang; 95%-KI: -0,022 bis -0,003; p &lt; 0,05).</w:t>
      </w:r>
    </w:p>
    <w:p>
      <w:r>
        <w:rPr>
          <w:b/>
          <w:sz w:val="19"/>
        </w:rPr>
        <w:t xml:space="preserve">Übertragbarkeit: </w:t>
      </w:r>
      <w:r>
        <w:rPr>
          <w:sz w:val="19"/>
        </w:rPr>
        <w:t>US-Daten, fragmentiertes System mit Medicaid/Medicare, eingeschränkt übertragbar</w:t>
      </w:r>
    </w:p>
    <w:p>
      <w:r>
        <w:rPr>
          <w:color w:val="5A7D3A"/>
          <w:sz w:val="18"/>
        </w:rPr>
        <w:t>https://pubmed.ncbi.nlm.nih.gov/42663502/</w:t>
      </w:r>
    </w:p>
    <w:p>
      <w:pPr>
        <w:pStyle w:val="Heading2"/>
      </w:pPr>
      <w:r>
        <w:t>Persistenz geburtshilflicher Versorgungsabsenz in US-Counties 2015–2023</w:t>
      </w:r>
    </w:p>
    <w:p>
      <w:r>
        <w:rPr>
          <w:i/>
          <w:color w:val="666666"/>
          <w:sz w:val="18"/>
        </w:rPr>
        <w:t>Laternser C  ·  Health Serv Res  ·  Okt. 2026  ·  PMID 42663181</w:t>
      </w:r>
    </w:p>
    <w:p>
      <w:r>
        <w:t>Longitudinale Panelstudie der Persistenz und Übergangsdynamik fehlender geburtshilflicher Dienste in 3144 US-Counties mit Analysen von Übergangswahrscheinlichkeiten und Prävalenztrends.</w:t>
      </w:r>
    </w:p>
    <w:p>
      <w:r>
        <w:rPr>
          <w:b/>
        </w:rPr>
        <w:t xml:space="preserve">Ergebnis: </w:t>
      </w:r>
      <w:r>
        <w:t>Geburtshilfliche Serviceabsenz war hochgradig persistent (Prevalenz stabil bei 34,2 %). Bevölkerungsexposition sank (6,5 % auf 5,3 % der Frauen 15–44 Jahre in Counties ohne Services). Jährliche Übergänge waren selten (Eintritt ≤ 0,4 %; Austritt ≤ 0,9 %). Bedingte Verweilwahrscheinlichkeiten ≥ 0,991.</w:t>
      </w:r>
    </w:p>
    <w:p>
      <w:r>
        <w:rPr>
          <w:b/>
          <w:sz w:val="19"/>
        </w:rPr>
        <w:t xml:space="preserve">Übertragbarkeit: </w:t>
      </w:r>
      <w:r>
        <w:rPr>
          <w:sz w:val="19"/>
        </w:rPr>
        <w:t>USA, sehr dezentrales System; Frage aber für Strukturplanung relevant</w:t>
      </w:r>
    </w:p>
    <w:p>
      <w:r>
        <w:rPr>
          <w:color w:val="5A7D3A"/>
          <w:sz w:val="18"/>
        </w:rPr>
        <w:t>https://pubmed.ncbi.nlm.nih.gov/42663181/</w:t>
      </w:r>
    </w:p>
    <w:p>
      <w:pPr>
        <w:pStyle w:val="Heading2"/>
      </w:pPr>
      <w:r>
        <w:t>Naturgestützte Social Prescribing gegen Einsamkeit und Lebensqualität</w:t>
      </w:r>
    </w:p>
    <w:p>
      <w:r>
        <w:rPr>
          <w:i/>
          <w:color w:val="666666"/>
          <w:sz w:val="18"/>
        </w:rPr>
        <w:t>Coll-Planas L et al.  ·  Lancet Reg Health Eur  ·  18.08.2026  ·  PMID 42662493</w:t>
      </w:r>
    </w:p>
    <w:p>
      <w:r>
        <w:t>Randomisierte kontrollierte Studie in Barcelona zu natur- und gruppenbasierter sozialer Verschreibung (Friends in Nature) bei gefährdeten städtischen Erwachsenen versus aktive Signposting.</w:t>
      </w:r>
    </w:p>
    <w:p>
      <w:r>
        <w:rPr>
          <w:b/>
        </w:rPr>
        <w:t xml:space="preserve">Ergebnis: </w:t>
      </w:r>
      <w:r>
        <w:t>320 Teilnehmer (78% weiblich; Medianalter 62,8 Jahre) randomisiert. Bei 3 Monaten zeigten beide Gruppen signifikante Einsamkeitsreduktion um 10,5 % (Gesamtmittelwertänderung: -0,73; 95%-KI -1,04 bis -0,42), kein signifikanter Unterschied zwischen Gruppen (0,30; 95%-KI -0,26 bis 0,86; p = 0,296). Keine HRQoL-Veränderung.</w:t>
      </w:r>
    </w:p>
    <w:p>
      <w:r>
        <w:rPr>
          <w:b/>
          <w:sz w:val="19"/>
        </w:rPr>
        <w:t xml:space="preserve">Übertragbarkeit: </w:t>
      </w:r>
      <w:r>
        <w:rPr>
          <w:sz w:val="19"/>
        </w:rPr>
        <w:t>Spanien, EU-Sozialversicherung, städtischer Kontext mit Deprivation</w:t>
      </w:r>
    </w:p>
    <w:p>
      <w:r>
        <w:rPr>
          <w:color w:val="5A7D3A"/>
          <w:sz w:val="18"/>
        </w:rPr>
        <w:t>https://pubmed.ncbi.nlm.nih.gov/42662493/</w:t>
      </w:r>
    </w:p>
    <w:p>
      <w:pPr>
        <w:pStyle w:val="Heading2"/>
      </w:pPr>
      <w:r>
        <w:t>Patientensicherheitskultur in integrierten Gesundheits- und Sozialdiensten (Finnland)</w:t>
      </w:r>
    </w:p>
    <w:p>
      <w:r>
        <w:rPr>
          <w:i/>
          <w:color w:val="666666"/>
          <w:sz w:val="18"/>
        </w:rPr>
        <w:t>Hult M et al.  ·  BMJ Open Qual  ·  27.08.2026  ·  PMID 42660605</w:t>
      </w:r>
    </w:p>
    <w:p>
      <w:r>
        <w:t>Querschnittstudie zur Patientensicherheitskultur in 2623 Mitarbeitern von Krankenhaus-, Sozial- und Altenpflegediensten in finnischer Wellbeing Services County mittels SOPS 2.0 und Net Safety Score.</w:t>
      </w:r>
    </w:p>
    <w:p>
      <w:r>
        <w:rPr>
          <w:b/>
        </w:rPr>
        <w:t xml:space="preserve">Ergebnis: </w:t>
      </w:r>
      <w:r>
        <w:t>Teamwork erhielt höchste positive Bewertungen (71,1 %), Übergaben und Informationsaustausch niedrigste (22,6 %). Altenpflegedienste zeigten konsistent niedrigere Werte. Teamwork, Besetzung, Arbeitsgeschwindigkeit und organisatorisches Lernen waren stärkste NSS-Prädiktoren. Gesamtpositiv-NSS: 52,6 %. Regressionsmodelle erklärten 47,4 % (Krankenhaus), 47,0 % (Altenpflege) und 35,8 % (Sozial/Gesundheit) der NSS-Varianz.</w:t>
      </w:r>
    </w:p>
    <w:p>
      <w:r>
        <w:rPr>
          <w:b/>
          <w:sz w:val="19"/>
        </w:rPr>
        <w:t xml:space="preserve">Übertragbarkeit: </w:t>
      </w:r>
      <w:r>
        <w:rPr>
          <w:sz w:val="19"/>
        </w:rPr>
        <w:t>Finnland, steuerfinanziert, aber auf integrierte Versorgungskultur übertragbar</w:t>
      </w:r>
    </w:p>
    <w:p>
      <w:r>
        <w:rPr>
          <w:color w:val="5A7D3A"/>
          <w:sz w:val="18"/>
        </w:rPr>
        <w:t>https://pubmed.ncbi.nlm.nih.gov/42660605/</w:t>
      </w:r>
    </w:p>
    <w:p>
      <w:pPr>
        <w:pStyle w:val="Heading2"/>
      </w:pPr>
      <w:r>
        <w:t>Ambulante Nachsorge bei Diabetes nach ED-Entlassung</w:t>
      </w:r>
    </w:p>
    <w:p>
      <w:r>
        <w:rPr>
          <w:i/>
          <w:color w:val="666666"/>
          <w:sz w:val="18"/>
        </w:rPr>
        <w:t>Zikry HE et al.  ·  J Gen Intern Med  ·  26.08.2026  ·  PMID 42649455</w:t>
      </w:r>
    </w:p>
    <w:p>
      <w:r>
        <w:t>Retrospektive Kohortenstudie (131.881 Patienten mit kommerzieller/MA-Versicherung, 2016–2022) zu Häufigkeit, Timing und Patientencharakteristika für ambulante Nachsorge innerhalb 30 Tage nach ED-Entlassung wegen Diabetes.</w:t>
      </w:r>
    </w:p>
    <w:p>
      <w:r>
        <w:rPr>
          <w:b/>
        </w:rPr>
        <w:t xml:space="preserve">Ergebnis: </w:t>
      </w:r>
      <w:r>
        <w:t>46,1 % erhielten ambulante Nachsorge innerhalb 30 Tagen; 13,0 % kehrten vorher zur ED zurück. Nachsorgeraten stiegen moderat von 44 % (2016) auf 49 % (2022). Höheres Alter, kommerzielle Versicherung und vorherige ambulante Versorgungskontakte waren mit höherer Wahrscheinlichkeit assoziiert. Nicht-hispanische Schwarze, MA-Versicherte mit Niedrigeinkommenszuschuss, höhere Komorbiditäten und Typ-1-Diabetes zeigten niedrigere Wahrscheinlichkeit.</w:t>
      </w:r>
    </w:p>
    <w:p>
      <w:r>
        <w:rPr>
          <w:b/>
          <w:sz w:val="19"/>
        </w:rPr>
        <w:t xml:space="preserve">Übertragbarkeit: </w:t>
      </w:r>
      <w:r>
        <w:rPr>
          <w:sz w:val="19"/>
        </w:rPr>
        <w:t>USA, aber Kontinuitätslücke und Versorgungsübergänge sind systemunabhängig relevant</w:t>
      </w:r>
    </w:p>
    <w:p>
      <w:r>
        <w:rPr>
          <w:color w:val="5A7D3A"/>
          <w:sz w:val="18"/>
        </w:rPr>
        <w:t>https://pubmed.ncbi.nlm.nih.gov/42649455/</w:t>
      </w:r>
    </w:p>
    <w:p>
      <w:pPr>
        <w:pStyle w:val="Heading1"/>
      </w:pPr>
      <w:r>
        <w:t>Aufgenommen am 28.08.2026</w:t>
      </w:r>
    </w:p>
    <w:p>
      <w:pPr>
        <w:pStyle w:val="Heading2"/>
      </w:pPr>
      <w:r>
        <w:t>Implementierung von Rehabilitations-Robotik in Regelversorgung: Systematisches Mapping</w:t>
      </w:r>
    </w:p>
    <w:p>
      <w:r>
        <w:rPr>
          <w:i/>
          <w:color w:val="666666"/>
          <w:sz w:val="18"/>
        </w:rPr>
        <w:t>Calabrò RS et al.  ·  Healthcare (Basel)  ·  14.08.2026  ·  PMID 42651315</w:t>
      </w:r>
    </w:p>
    <w:p>
      <w:r>
        <w:t>Mapping-Review zu Service-Delivery-Modellen, Implementierungsfaktoren und Real-World-Outcomes von Rehabilitations-Robotik in neurorehabilitation Kliniken (55 Studien).</w:t>
      </w:r>
    </w:p>
    <w:p>
      <w:r>
        <w:rPr>
          <w:b/>
        </w:rPr>
        <w:t xml:space="preserve">Ergebnis: </w:t>
      </w:r>
      <w:r>
        <w:t>Personalausstattung in 90,9 % der Studien dokumentiert, Workflow/Planung in 78,2 %, Sicherheit in 58,2 %, Training in 52,7 % berichtet. Feasibility in 72,7 %, Akzeptabilität in 56,4 %, Adoption in 41,8 % dokumentiert. Nachhaltigkeit, technischer Support und Implementierungskosten unterberichtet.</w:t>
      </w:r>
    </w:p>
    <w:p>
      <w:r>
        <w:rPr>
          <w:b/>
          <w:sz w:val="19"/>
        </w:rPr>
        <w:t xml:space="preserve">Übertragbarkeit: </w:t>
      </w:r>
      <w:r>
        <w:rPr>
          <w:sz w:val="19"/>
        </w:rPr>
        <w:t>Implementierungsforschung, qualitative Evidenz; Systemkontext unterschiedlich aber methodisch relevant</w:t>
      </w:r>
    </w:p>
    <w:p>
      <w:r>
        <w:rPr>
          <w:color w:val="5A7D3A"/>
          <w:sz w:val="18"/>
        </w:rPr>
        <w:t>https://pubmed.ncbi.nlm.nih.gov/42651315/</w:t>
      </w:r>
    </w:p>
    <w:p>
      <w:pPr>
        <w:pStyle w:val="Heading2"/>
      </w:pPr>
      <w:r>
        <w:t>Peer Researcher in Surveys: Training, Support und Evaluation – Narrative Review</w:t>
      </w:r>
    </w:p>
    <w:p>
      <w:r>
        <w:rPr>
          <w:i/>
          <w:color w:val="666666"/>
          <w:sz w:val="18"/>
        </w:rPr>
        <w:t>Blunt TJG et al.  ·  Res Involv Engagem  ·  25.08.2026  ·  PMID 42642786</w:t>
      </w:r>
    </w:p>
    <w:p>
      <w:r>
        <w:t>Narrative Review von Literatur zu Involvement, Training und Evaluation von Peer Researchers bei survey-basierten Datenerhebungen (Fokus auf methodische Lücken).</w:t>
      </w:r>
    </w:p>
    <w:p>
      <w:r>
        <w:rPr>
          <w:b/>
        </w:rPr>
        <w:t xml:space="preserve">Ergebnis: </w:t>
      </w:r>
      <w:r>
        <w:t>PR-Rollen variabel, oft nur Datenerhebung. Training reicht von intensiv strukturiert bis minimal/absent. PR-Involvement verbesserte Rekrutierung, Rapport, Datentiefe, aber systematische Evaluation selten. Herausforderungen: Rollenklarheit unklar, unzureichende Unterstützung, hierarchische Dynamiken, Tokenismus.</w:t>
      </w:r>
    </w:p>
    <w:p>
      <w:r>
        <w:rPr>
          <w:b/>
          <w:sz w:val="19"/>
        </w:rPr>
        <w:t xml:space="preserve">Übertragbarkeit: </w:t>
      </w:r>
      <w:r>
        <w:rPr>
          <w:sz w:val="19"/>
        </w:rPr>
        <w:t>Partizipative Forschungsmethoden relevant für deutsches HSR; Evidenz international heterogen</w:t>
      </w:r>
    </w:p>
    <w:p>
      <w:r>
        <w:rPr>
          <w:color w:val="5A7D3A"/>
          <w:sz w:val="18"/>
        </w:rPr>
        <w:t>https://pubmed.ncbi.nlm.nih.gov/42642786/</w:t>
      </w:r>
    </w:p>
    <w:p>
      <w:pPr>
        <w:pStyle w:val="Heading2"/>
      </w:pPr>
      <w:r>
        <w:t>Systems Thinking in Public-Health-Interventionen: Barrieren und Facilitators</w:t>
      </w:r>
    </w:p>
    <w:p>
      <w:r>
        <w:rPr>
          <w:i/>
          <w:color w:val="666666"/>
          <w:sz w:val="18"/>
        </w:rPr>
        <w:t>Alabdulaali M et al.  ·  BMC Health Serv Res  ·  19.08.2026  ·  PMID 42642760</w:t>
      </w:r>
    </w:p>
    <w:p>
      <w:r>
        <w:t>Systematisches Review von 15 Studien zu Implementierung von Systems-Thinking-Ansätzen in Public-Health-Interventionen, Barrieren und Facilitators in 2013–2025.</w:t>
      </w:r>
    </w:p>
    <w:p>
      <w:r>
        <w:rPr>
          <w:b/>
        </w:rPr>
        <w:t xml:space="preserve">Ergebnis: </w:t>
      </w:r>
      <w:r>
        <w:t>Hauptfacilitatoren: Stakeholder-Engagement, Co-Production, Integration in bestehende Systeme, inkrementelle Kapazitätsbildung, Leadership-Support. Barrieren: Schwierigkeit, Systemkonzepte umzusetzen, Personalknappheit, fragmentierte Datensysteme, starre Governance, externe Disruptionen (z.B. COVID-19).</w:t>
      </w:r>
    </w:p>
    <w:p>
      <w:r>
        <w:rPr>
          <w:b/>
          <w:sz w:val="19"/>
        </w:rPr>
        <w:t xml:space="preserve">Übertragbarkeit: </w:t>
      </w:r>
      <w:r>
        <w:rPr>
          <w:sz w:val="19"/>
        </w:rPr>
        <w:t>Internationale Studien aber Implementierungsrahmen systemunabhängig; relevant für Reformkontexte wie Deutschland</w:t>
      </w:r>
    </w:p>
    <w:p>
      <w:r>
        <w:rPr>
          <w:color w:val="5A7D3A"/>
          <w:sz w:val="18"/>
        </w:rPr>
        <w:t>https://pubmed.ncbi.nlm.nih.gov/42642760/</w:t>
      </w:r>
    </w:p>
    <w:p>
      <w:pPr>
        <w:pStyle w:val="Heading2"/>
      </w:pPr>
      <w:r>
        <w:t>Räumliche Erreichbarkeit von Hospizen in Deutschland: Vergleich von Messmethoden</w:t>
      </w:r>
    </w:p>
    <w:p>
      <w:r>
        <w:rPr>
          <w:i/>
          <w:color w:val="666666"/>
          <w:sz w:val="18"/>
        </w:rPr>
        <w:t>Petzold T et al.  ·  BMC Health Serv Res  ·  21.08.2026  ·  PMID 42642757</w:t>
      </w:r>
    </w:p>
    <w:p>
      <w:r>
        <w:t>Vergleich von vier Methoden zur Messung der räumlichen Erreichbarkeit von Hospizen anhand von 295 deutschen Einrichtungen.</w:t>
      </w:r>
    </w:p>
    <w:p>
      <w:r>
        <w:rPr>
          <w:b/>
        </w:rPr>
        <w:t xml:space="preserve">Ergebnis: </w:t>
      </w:r>
      <w:r>
        <w:t>90,3 % der Bevölkerung erreichen ein Hospiz innerhalb von 30 min. Methoden zeigen unterschiedliche Ergebnisse: Provider-to-Population-Ratio zeigt 36,4 Betten pro 1 Mio. Einwohner national; FCA-Methoden sind heterogener, besonders in ländlichen Regionen. Die Wahl der Methode beeinflusst Ergebnisse erheblich.</w:t>
      </w:r>
    </w:p>
    <w:p>
      <w:r>
        <w:rPr>
          <w:b/>
          <w:sz w:val="19"/>
        </w:rPr>
        <w:t xml:space="preserve">Übertragbarkeit: </w:t>
      </w:r>
      <w:r>
        <w:rPr>
          <w:sz w:val="19"/>
        </w:rPr>
        <w:t>Deutsche Hospize, Routinedaten; direkt übertragbar auf deutsches Versorgungssystem</w:t>
      </w:r>
    </w:p>
    <w:p>
      <w:r>
        <w:rPr>
          <w:color w:val="5A7D3A"/>
          <w:sz w:val="18"/>
        </w:rPr>
        <w:t>https://pubmed.ncbi.nlm.nih.gov/42642757/</w:t>
      </w:r>
    </w:p>
    <w:p>
      <w:pPr>
        <w:pStyle w:val="Heading2"/>
      </w:pPr>
      <w:r>
        <w:t>Health Literacy und Malaria-Verhalten in Gabun: Assoziationen bei Prävention und Adhärenz</w:t>
      </w:r>
    </w:p>
    <w:p>
      <w:r>
        <w:rPr>
          <w:i/>
          <w:color w:val="666666"/>
          <w:sz w:val="18"/>
        </w:rPr>
        <w:t>Namubiru C et al.  ·  BMC Health Serv Res  ·  24.08.2026  ·  PMID 42642735</w:t>
      </w:r>
    </w:p>
    <w:p>
      <w:r>
        <w:t>Querschnittstudie zu Assoziationen zwischen Health Literacy und Malaria-Präventionsverhalten bei 504 Befragten in urban und ländlich Gabun.</w:t>
      </w:r>
    </w:p>
    <w:p>
      <w:r>
        <w:rPr>
          <w:b/>
        </w:rPr>
        <w:t xml:space="preserve">Ergebnis: </w:t>
      </w:r>
      <w:r>
        <w:t>59,7 % mit ausreichender Health Literacy (HL). HL assoziiert mit Dosierungswissen (AME 0,022, p&lt;0,001), Adhärenz (OR 1,089, p&lt;0,01), Fragen stellen (OR 1,092, p&lt;0,001) und Netztnutzung (p&lt;0,05). Keine Assoziation mit Behandlungssuche oder Buschrodung (p&gt;0,05).</w:t>
      </w:r>
    </w:p>
    <w:p>
      <w:r>
        <w:rPr>
          <w:b/>
          <w:sz w:val="19"/>
        </w:rPr>
        <w:t xml:space="preserve">Übertragbarkeit: </w:t>
      </w:r>
      <w:r>
        <w:rPr>
          <w:sz w:val="19"/>
        </w:rPr>
        <w:t>Ressourcen-limitiertes Setting mit anderen Prioritäten; Methodologie aber für Versorgungsforschung relevant</w:t>
      </w:r>
    </w:p>
    <w:p>
      <w:r>
        <w:rPr>
          <w:color w:val="5A7D3A"/>
          <w:sz w:val="18"/>
        </w:rPr>
        <w:t>https://pubmed.ncbi.nlm.nih.gov/42642735/</w:t>
      </w:r>
    </w:p>
    <w:p>
      <w:pPr>
        <w:pStyle w:val="Heading2"/>
      </w:pPr>
      <w:r>
        <w:t>Globale Fortschritte bei oralmedizinischen Bedingungen 2019–2023: GBD-Analyse</w:t>
      </w:r>
    </w:p>
    <w:p>
      <w:r>
        <w:rPr>
          <w:i/>
          <w:color w:val="666666"/>
          <w:sz w:val="18"/>
        </w:rPr>
        <w:t>GBD 2023 Oral Disorders Collaborators  ·  Lancet Public Health  ·  Sept. 2026  ·  PMID 42612648</w:t>
      </w:r>
    </w:p>
    <w:p>
      <w:r>
        <w:t>Systematische GBD-2023-Analyse zu globalen und regionalen Trends bei Prävalenz von Mundhöhlenerkrankungen (Karies, Parodontitis, Zahnlosigkeit) 2019–2023 gegenüber WHO-Ziel 2030.</w:t>
      </w:r>
    </w:p>
    <w:p>
      <w:r>
        <w:rPr>
          <w:b/>
        </w:rPr>
        <w:t xml:space="preserve">Ergebnis: </w:t>
      </w:r>
      <w:r>
        <w:t>Altersstandardisierte Prävalenz hauptsächlich sank um -1,55 % (95% UI -2,32 bis -0,82); absolute Fälle stiegen aber +3,07 %. Unbehandelte Karies in bleibenden Zähnen -1,99 %, orofaziale Spalten +2,25 %. Südasien -3,34 %, Sub-Sahara +9,51 %. Aktuelles Tempo unzureichend für 2030-Ziele.</w:t>
      </w:r>
    </w:p>
    <w:p>
      <w:r>
        <w:rPr>
          <w:b/>
          <w:sz w:val="19"/>
        </w:rPr>
        <w:t xml:space="preserve">Übertragbarkeit: </w:t>
      </w:r>
      <w:r>
        <w:rPr>
          <w:sz w:val="19"/>
        </w:rPr>
        <w:t>WHO-GBD-Daten global; Trendfeststellung systemunabhängig aber mit Lücken in DE-Datenerfassung</w:t>
      </w:r>
    </w:p>
    <w:p>
      <w:r>
        <w:rPr>
          <w:color w:val="5A7D3A"/>
          <w:sz w:val="18"/>
        </w:rPr>
        <w:t>https://pubmed.ncbi.nlm.nih.gov/42612648/</w:t>
      </w:r>
    </w:p>
    <w:p>
      <w:pPr>
        <w:pStyle w:val="Heading1"/>
      </w:pPr>
      <w:r>
        <w:t>Aufgenommen am 27.08.2026</w:t>
      </w:r>
    </w:p>
    <w:p>
      <w:pPr>
        <w:pStyle w:val="Heading2"/>
      </w:pPr>
      <w:r>
        <w:t>Safeguarding concerns older adults with dementia in England: distribution and disparities</w:t>
      </w:r>
    </w:p>
    <w:p>
      <w:r>
        <w:rPr>
          <w:i/>
          <w:color w:val="666666"/>
          <w:sz w:val="18"/>
        </w:rPr>
        <w:t>Maharani A et al.  ·  BMJ Open  ·  26.08.2026  ·  PMID 42648775</w:t>
      </w:r>
    </w:p>
    <w:p>
      <w:r>
        <w:t>Bevölkerungsgestützte Analyse räumlicher und zeitlicher Muster von Schutzmaßnahmen für demenzkranke Menschen in England zwischen 2015 und 2022.</w:t>
      </w:r>
    </w:p>
    <w:p>
      <w:r>
        <w:rPr>
          <w:b/>
        </w:rPr>
        <w:t xml:space="preserve">Ergebnis: </w:t>
      </w:r>
      <w:r>
        <w:t>Schutzmaßnahmen stiegen um 55,5 % (2015/16–2019/20); Frauen ab 85 Jahren zeigten höhere Raten; räumliche Variabilität: höhere Aktivität in urbanen und benachteiligten Regionen (Manchester, Liverpool, Midlands), niedrigere in ländlichen Gebieten.</w:t>
      </w:r>
    </w:p>
    <w:p>
      <w:r>
        <w:rPr>
          <w:b/>
          <w:sz w:val="19"/>
        </w:rPr>
        <w:t xml:space="preserve">Übertragbarkeit: </w:t>
      </w:r>
      <w:r>
        <w:rPr>
          <w:sz w:val="19"/>
        </w:rPr>
        <w:t>Großbritannien, administrative nationale Daten – eingeschränkt übertragbar wegen anderer Sozialsysteme</w:t>
      </w:r>
    </w:p>
    <w:p>
      <w:r>
        <w:rPr>
          <w:color w:val="5A7D3A"/>
          <w:sz w:val="18"/>
        </w:rPr>
        <w:t>https://pubmed.ncbi.nlm.nih.gov/42648775/</w:t>
      </w:r>
    </w:p>
    <w:p>
      <w:pPr>
        <w:pStyle w:val="Heading2"/>
      </w:pPr>
      <w:r>
        <w:t>Implementierung eines Care-Bundle für intracerebrale Blutungen in Nordengland</w:t>
      </w:r>
    </w:p>
    <w:p>
      <w:r>
        <w:rPr>
          <w:i/>
          <w:color w:val="666666"/>
          <w:sz w:val="18"/>
        </w:rPr>
        <w:t>Brunton L et al.  ·  BMJ Open Qual  ·  26.08.2026  ·  PMID 42648747</w:t>
      </w:r>
    </w:p>
    <w:p>
      <w:r>
        <w:t>Qualitative Prozessevaluation der Ausrollung eines ICH-Management-Bundles über sechs Regionen mit 45 Interviews, sechs Beobachtungen und Dokumentenanalyse.</w:t>
      </w:r>
    </w:p>
    <w:p>
      <w:r>
        <w:rPr>
          <w:b/>
        </w:rPr>
        <w:t xml:space="preserve">Ergebnis: </w:t>
      </w:r>
      <w:r>
        <w:t>Begünstigte Faktoren: Interventionsklarheit, Kompatibilität mit Kliniker-Werten, lokale Adaptabilität. Barrieren: mangelnde Fähigkeiten, kulturelle Normen führten zu Überweisungen unabhängig Kriterien, unzureichendes Monitoring der Prozeßziele.</w:t>
      </w:r>
    </w:p>
    <w:p>
      <w:r>
        <w:rPr>
          <w:b/>
          <w:sz w:val="19"/>
        </w:rPr>
        <w:t xml:space="preserve">Übertragbarkeit: </w:t>
      </w:r>
      <w:r>
        <w:rPr>
          <w:sz w:val="19"/>
        </w:rPr>
        <w:t>England, NHS-Kontext – bedingt übertragbar auf deutsches stationäres System</w:t>
      </w:r>
    </w:p>
    <w:p>
      <w:r>
        <w:rPr>
          <w:color w:val="5A7D3A"/>
          <w:sz w:val="18"/>
        </w:rPr>
        <w:t>https://pubmed.ncbi.nlm.nih.gov/42648747/</w:t>
      </w:r>
    </w:p>
    <w:p>
      <w:pPr>
        <w:pStyle w:val="Heading2"/>
      </w:pPr>
      <w:r>
        <w:t>Governance-Konfigurationen koordinierter Gesundheitsförderung in Kommunen</w:t>
      </w:r>
    </w:p>
    <w:p>
      <w:r>
        <w:rPr>
          <w:i/>
          <w:color w:val="666666"/>
          <w:sz w:val="18"/>
        </w:rPr>
        <w:t>Richter H et al.  ·  BMC Health Serv Res  ·  22.08.2026  ·  PMID 42642761</w:t>
      </w:r>
    </w:p>
    <w:p>
      <w:r>
        <w:t>Egozentrische Netzwerkanalyse der Koordinationsmuster von 14 Gesundheitsfachpersonen in deutschen Grundschulen und Nachbarschaften mit 662 erfassten Personen.</w:t>
      </w:r>
    </w:p>
    <w:p>
      <w:r>
        <w:rPr>
          <w:b/>
        </w:rPr>
        <w:t xml:space="preserve">Ergebnis: </w:t>
      </w:r>
      <w:r>
        <w:t>Drei Governance-Konfigurationen identifiziert: ego-abhängige Integration, ersetzbare Koordination und verteilte Integration. Netzwerkstabilität hängt weniger von Akteur-Dichte ab als von Struktur des Brokerage und Formalität alternativer Koordinationspfade.</w:t>
      </w:r>
    </w:p>
    <w:p>
      <w:r>
        <w:rPr>
          <w:b/>
          <w:sz w:val="19"/>
        </w:rPr>
        <w:t xml:space="preserve">Übertragbarkeit: </w:t>
      </w:r>
      <w:r>
        <w:rPr>
          <w:sz w:val="19"/>
        </w:rPr>
        <w:t>Deutschland, kommunale Gesundheitsförderung – direkt übertragbar</w:t>
      </w:r>
    </w:p>
    <w:p>
      <w:r>
        <w:rPr>
          <w:color w:val="5A7D3A"/>
          <w:sz w:val="18"/>
        </w:rPr>
        <w:t>https://pubmed.ncbi.nlm.nih.gov/42642761/</w:t>
      </w:r>
    </w:p>
    <w:p>
      <w:pPr>
        <w:pStyle w:val="Heading2"/>
      </w:pPr>
      <w:r>
        <w:t>Telemedicine in ländlicher Demenzversorgung in Hocheinkommensländern</w:t>
      </w:r>
    </w:p>
    <w:p>
      <w:r>
        <w:rPr>
          <w:i/>
          <w:color w:val="666666"/>
          <w:sz w:val="18"/>
        </w:rPr>
        <w:t>Devarshi R et al.  ·  BMC Health Serv Res  ·  19.08.2026  ·  PMID 42642758</w:t>
      </w:r>
    </w:p>
    <w:p>
      <w:r>
        <w:t>Scoping Review mit 9 Studien aus USA, Australien, Kanada, Griechenland und UK zur Integration von Telemedizin in ländliche Demenzsysteme (2014–2025).</w:t>
      </w:r>
    </w:p>
    <w:p>
      <w:r>
        <w:rPr>
          <w:b/>
        </w:rPr>
        <w:t xml:space="preserve">Ergebnis: </w:t>
      </w:r>
      <w:r>
        <w:t>Wichtige Barrieren: begrenzte Konnektivität, digitale Grundbildung, Gesundheitsbeeinträchtigungen; Begünstigter: Vertrauen zu Providern, organisationale Unterstützung. Strategien: Schulung, dedizierte Koordinationsrollen, Co-Design mit Patienten.</w:t>
      </w:r>
    </w:p>
    <w:p>
      <w:r>
        <w:rPr>
          <w:b/>
          <w:sz w:val="19"/>
        </w:rPr>
        <w:t xml:space="preserve">Übertragbarkeit: </w:t>
      </w:r>
      <w:r>
        <w:rPr>
          <w:sz w:val="19"/>
        </w:rPr>
        <w:t>Hocheinkommensländer, rural – teilweise übertragbar, systemische Unterschiede bei Finanzierung</w:t>
      </w:r>
    </w:p>
    <w:p>
      <w:r>
        <w:rPr>
          <w:color w:val="5A7D3A"/>
          <w:sz w:val="18"/>
        </w:rPr>
        <w:t>https://pubmed.ncbi.nlm.nih.gov/42642758/</w:t>
      </w:r>
    </w:p>
    <w:p>
      <w:pPr>
        <w:pStyle w:val="Heading2"/>
      </w:pPr>
      <w:r>
        <w:t>Überdiagnose in Krebsscreening: Perspektiven von Gesundheitsfachpersonen</w:t>
      </w:r>
    </w:p>
    <w:p>
      <w:r>
        <w:rPr>
          <w:i/>
          <w:color w:val="666666"/>
          <w:sz w:val="18"/>
        </w:rPr>
        <w:t>Piessens V et al.  ·  BMC Health Serv Res  ·  23.07.2026  ·  PMID 42642748</w:t>
      </w:r>
    </w:p>
    <w:p>
      <w:r>
        <w:t>Qualitative Interviews mit 34 Gesundheitsfachpersonen in Flandern zur Wahrnehmung und zum Umgang mit Überdiagnose in Brust-, Lungen- und Prostata-Screening.</w:t>
      </w:r>
    </w:p>
    <w:p>
      <w:r>
        <w:rPr>
          <w:b/>
        </w:rPr>
        <w:t xml:space="preserve">Ergebnis: </w:t>
      </w:r>
      <w:r>
        <w:t>Drei Positionen: RoutineScreening (Überdiagnose ignoriert), Determined Screening (Vorteile betont, Überdiagnose marginalisiert) und Cautious Screening (Überdiagnose kritisch). Begünstigte Faktoren für reflektiertes Handeln: umfassendes Verständnis von Nutzen und Schaden.</w:t>
      </w:r>
    </w:p>
    <w:p>
      <w:r>
        <w:rPr>
          <w:b/>
          <w:sz w:val="19"/>
        </w:rPr>
        <w:t xml:space="preserve">Übertragbarkeit: </w:t>
      </w:r>
      <w:r>
        <w:rPr>
          <w:sz w:val="19"/>
        </w:rPr>
        <w:t>Belgien, Sozialversicherungssystem – gut übertragbar auf Deutschland</w:t>
      </w:r>
    </w:p>
    <w:p>
      <w:r>
        <w:rPr>
          <w:color w:val="5A7D3A"/>
          <w:sz w:val="18"/>
        </w:rPr>
        <w:t>https://pubmed.ncbi.nlm.nih.gov/42642748/</w:t>
      </w:r>
    </w:p>
    <w:p>
      <w:pPr>
        <w:pStyle w:val="Heading1"/>
      </w:pPr>
      <w:r>
        <w:t>Aufgenommen am 26.08.2026</w:t>
      </w:r>
    </w:p>
    <w:p>
      <w:pPr>
        <w:pStyle w:val="Heading2"/>
      </w:pPr>
      <w:r>
        <w:t>Digitale Gesundheitsanwendungen: Unterschiede bei sozioökonomisch benachteiligten Chroniker-Patienten in den Niederlanden</w:t>
      </w:r>
    </w:p>
    <w:p>
      <w:r>
        <w:rPr>
          <w:i/>
          <w:color w:val="666666"/>
          <w:sz w:val="18"/>
        </w:rPr>
        <w:t>Standaar LMB et al.  ·  Inquiry  ·  25.08.2026  ·  PMID 42641147</w:t>
      </w:r>
    </w:p>
    <w:p>
      <w:r>
        <w:t>Querschnittsstudie zur Nutzung von fünf e-Health-Anwendungen (Websites, Apps, Wearables, Patientenportale, digitale Kommunikation) bei 1.517 Niederländern mit chronischen Erkrankungen in Abhängigkeit vom Bildungsattainment.</w:t>
      </w:r>
    </w:p>
    <w:p>
      <w:r>
        <w:rPr>
          <w:b/>
        </w:rPr>
        <w:t xml:space="preserve">Ergebnis: </w:t>
      </w:r>
      <w:r>
        <w:t>Personen mit niedriger Bildung nutzten signifikant weniger Websites (OR 4,78), Apps (OR 2,88), Wearables (OR 2,12) und Patientenportale (OR 3,24) als Hochgebildete. Hochgebildete waren eher zum E-Health-Einsatz geneigt (RRR 2,21) und weniger unsicher (RRR 0,56). Digitale Angebote erreichen nicht alle Patientengruppen gleich.</w:t>
      </w:r>
    </w:p>
    <w:p>
      <w:r>
        <w:rPr>
          <w:b/>
          <w:sz w:val="19"/>
        </w:rPr>
        <w:t xml:space="preserve">Übertragbarkeit: </w:t>
      </w:r>
      <w:r>
        <w:rPr>
          <w:sz w:val="19"/>
        </w:rPr>
        <w:t>Niederlande, vergleichbares Sozialversicherungssystem mit ähnlichen e-Health-Hürden</w:t>
      </w:r>
    </w:p>
    <w:p>
      <w:r>
        <w:rPr>
          <w:color w:val="5A7D3A"/>
          <w:sz w:val="18"/>
        </w:rPr>
        <w:t>https://pubmed.ncbi.nlm.nih.gov/42641147/</w:t>
      </w:r>
    </w:p>
    <w:p>
      <w:pPr>
        <w:pStyle w:val="Heading2"/>
      </w:pPr>
      <w:r>
        <w:t>Determinanten antimikrobieller Verschreibungsmuster in der pädiatrischen Ambulantversorgung in Ghana</w:t>
      </w:r>
    </w:p>
    <w:p>
      <w:r>
        <w:rPr>
          <w:i/>
          <w:color w:val="666666"/>
          <w:sz w:val="18"/>
        </w:rPr>
        <w:t>Aduful AK et al.  ·  BMJ Paediatr Open  ·  21.08.2026  ·  PMID 42629162</w:t>
      </w:r>
    </w:p>
    <w:p>
      <w:r>
        <w:t>Retrospektive Analyse von 3.244 Antibiotikaverordnungen aus 16.555 pädiatrischen Ambulanzkonsultationen in Ghana zur Assoziation von Patienten- und Anbietermerkmalen mit Verschreibungsangemessenheit.</w:t>
      </w:r>
    </w:p>
    <w:p>
      <w:r>
        <w:rPr>
          <w:b/>
        </w:rPr>
        <w:t xml:space="preserve">Ergebnis: </w:t>
      </w:r>
      <w:r>
        <w:t>Männliches Geschlecht war mit Verordnung ohne Indikation assoziiert (p=0,007); ältere Kinder und Patienten mit Fieber erhielten seltener unangemessene Antibiotika (p=0,030, p=0,036). Spezialisierte Pflegekräfte und Physician Assistants zeigten mehr unangemessene Verordnungen als Assistenzärzte (p&lt;0,001, p=0,005); medizinische Offiziere und Resident Doctors verschrieben angemessenere Dosierungen und Dauern.</w:t>
      </w:r>
    </w:p>
    <w:p>
      <w:r>
        <w:rPr>
          <w:b/>
          <w:sz w:val="19"/>
        </w:rPr>
        <w:t xml:space="preserve">Übertragbarkeit: </w:t>
      </w:r>
      <w:r>
        <w:rPr>
          <w:sz w:val="19"/>
        </w:rPr>
        <w:t>Nur bedingt: Ressourcenlimitiertes System mit anderer Personalstruktur als Deutschland</w:t>
      </w:r>
    </w:p>
    <w:p>
      <w:r>
        <w:rPr>
          <w:color w:val="5A7D3A"/>
          <w:sz w:val="18"/>
        </w:rPr>
        <w:t>https://pubmed.ncbi.nlm.nih.gov/42629162/</w:t>
      </w:r>
    </w:p>
    <w:p>
      <w:pPr>
        <w:pStyle w:val="Heading2"/>
      </w:pPr>
      <w:r>
        <w:t>Standardisiertes Messinstrument für patientenberichtete Soziodemografie in deutschen Gesundheitsstudien</w:t>
      </w:r>
    </w:p>
    <w:p>
      <w:r>
        <w:rPr>
          <w:i/>
          <w:color w:val="666666"/>
          <w:sz w:val="18"/>
        </w:rPr>
        <w:t>Boczor S et al.  ·  BMC Med Res Methodol  ·  20.08.2026  ·  PMID 42625156</w:t>
      </w:r>
    </w:p>
    <w:p>
      <w:r>
        <w:t>Entwicklung und Evaluation eines praktikablen Standardinstruments zur Erfassung von Patientensoziodemografie in Gesundheitsstudien durch Expertenpanel, Fokusgruppe und Pretests an 290 Patienten in einer deutschen Universitätsklinik.</w:t>
      </w:r>
    </w:p>
    <w:p>
      <w:r>
        <w:rPr>
          <w:b/>
        </w:rPr>
        <w:t xml:space="preserve">Ergebnis: </w:t>
      </w:r>
      <w:r>
        <w:t>Mit 290 Studienteilnehmern (51% der 574 angesprochenen Patienten, Median 40 Jahre, 55% weiblich) erreichte das Instrument Akzeptanz: 66% hielten die Länge für angemessen, 96% fanden es verständlich. Sieben Fragen zu Einkommenssituation zeigten Klärungsbedarf und wurden überarbeitet. Finale Instrument erfasst 14 standardisierte Variablen zu biologischem Geschlecht, Geburt, Familienstand, Haushalt, Bildung, Beruf und soziodemografischen Merkmalen.</w:t>
      </w:r>
    </w:p>
    <w:p>
      <w:r>
        <w:rPr>
          <w:b/>
          <w:sz w:val="19"/>
        </w:rPr>
        <w:t xml:space="preserve">Übertragbarkeit: </w:t>
      </w:r>
      <w:r>
        <w:rPr>
          <w:sz w:val="19"/>
        </w:rPr>
        <w:t>Deutschland, Universitätsmedizin mit patientenzentriertem Ansatz zur Versorgungsforschung</w:t>
      </w:r>
    </w:p>
    <w:p>
      <w:r>
        <w:rPr>
          <w:color w:val="5A7D3A"/>
          <w:sz w:val="18"/>
        </w:rPr>
        <w:t>https://pubmed.ncbi.nlm.nih.gov/42625156/</w:t>
      </w:r>
    </w:p>
    <w:p>
      <w:pPr>
        <w:pStyle w:val="Heading1"/>
      </w:pPr>
      <w:r>
        <w:t>Aufgenommen am 25.08.2026</w:t>
      </w:r>
    </w:p>
    <w:p>
      <w:pPr>
        <w:pStyle w:val="Heading2"/>
      </w:pPr>
      <w:r>
        <w:t>Sterblichkeit bei akuter Lebererkrankung in England: nationale Kohortenstudie</w:t>
      </w:r>
    </w:p>
    <w:p>
      <w:r>
        <w:rPr>
          <w:i/>
          <w:color w:val="666666"/>
          <w:sz w:val="18"/>
        </w:rPr>
        <w:t>Campbell C et al.  ·  Eur J Intern Med  ·  24.08.2026  ·  PMID 42637631</w:t>
      </w:r>
    </w:p>
    <w:p>
      <w:r>
        <w:t>Studie zur Langzeitsterblichkeit von 82.402 Patienten mit chronischer Lebererkrankung nach erstem Notfallaufenthalt in englischen Krankenhäusern (2012-2019).</w:t>
      </w:r>
    </w:p>
    <w:p>
      <w:r>
        <w:rPr>
          <w:b/>
        </w:rPr>
        <w:t xml:space="preserve">Ergebnis: </w:t>
      </w:r>
      <w:r>
        <w:t>5-Jahres-Mortalität 59,9%; Median-Überlebenszeit 2,72 Jahre (95%-KI 2,66-2,79). Regional erhöhte Mortalität außerhalb Londons (adjHR 1,06-1,19); Encephalopathie (adjHR 1,70), Aszites (adjHR 1,64) und gastrointestinale Blutung (adjHR 1,10) mit erhöhter Mortalität assoziiert.</w:t>
      </w:r>
    </w:p>
    <w:p>
      <w:r>
        <w:rPr>
          <w:b/>
          <w:sz w:val="19"/>
        </w:rPr>
        <w:t xml:space="preserve">Übertragbarkeit: </w:t>
      </w:r>
      <w:r>
        <w:rPr>
          <w:sz w:val="19"/>
        </w:rPr>
        <w:t>Englische Routinedaten; vergleichbar mit deutschem NHS-ähnlichen System in Versorgungssteuerung und Datenqualität.</w:t>
      </w:r>
    </w:p>
    <w:p>
      <w:r>
        <w:rPr>
          <w:color w:val="5A7D3A"/>
          <w:sz w:val="18"/>
        </w:rPr>
        <w:t>https://pubmed.ncbi.nlm.nih.gov/42637631/</w:t>
      </w:r>
    </w:p>
    <w:p>
      <w:pPr>
        <w:pStyle w:val="Heading2"/>
      </w:pPr>
      <w:r>
        <w:t>Apotheken-Interventionen bei niedriger Health Literacy: systematische Übersicht mit Co-Design-Fokus</w:t>
      </w:r>
    </w:p>
    <w:p>
      <w:r>
        <w:rPr>
          <w:i/>
          <w:color w:val="666666"/>
          <w:sz w:val="18"/>
        </w:rPr>
        <w:t>Suppiah SD et al.  ·  Res Social Adm Pharm  ·  22.08.2026  ·  PMID 42637584</w:t>
      </w:r>
    </w:p>
    <w:p>
      <w:r>
        <w:t>Systematische Übersicht von neun RCTs (13 Publikationen) zu Apotheken-Interventionen für chronisch kranke Erwachsene mit eingeschränkter Health Literacy.</w:t>
      </w:r>
    </w:p>
    <w:p>
      <w:r>
        <w:rPr>
          <w:b/>
        </w:rPr>
        <w:t xml:space="preserve">Ergebnis: </w:t>
      </w:r>
      <w:r>
        <w:t>Medikamentenverstehen verbesserte sich konsistent, besonders durch patientenzentrierte Medikamentenetiketten; Adherence-Effekte waren inkonsistent und nicht nachhaltig; Care-Transition-Interventionen zeigten teilweise Reduktion ungünstiger Events. Co-Design-Elemente waren in nur einem Trial dokumentiert. 10 Studien, alle niedriges bis moderates Bias-Risiko.</w:t>
      </w:r>
    </w:p>
    <w:p>
      <w:r>
        <w:rPr>
          <w:b/>
          <w:sz w:val="19"/>
        </w:rPr>
        <w:t xml:space="preserve">Übertragbarkeit: </w:t>
      </w:r>
      <w:r>
        <w:rPr>
          <w:sz w:val="19"/>
        </w:rPr>
        <w:t>Australisch-singapurisches Autorenteam; Konzepte zu Patient-zentrierten Interventionen auf deutschsprachigen Raum übertragbar.</w:t>
      </w:r>
    </w:p>
    <w:p>
      <w:r>
        <w:rPr>
          <w:color w:val="5A7D3A"/>
          <w:sz w:val="18"/>
        </w:rPr>
        <w:t>https://pubmed.ncbi.nlm.nih.gov/42637584/</w:t>
      </w:r>
    </w:p>
    <w:p>
      <w:pPr>
        <w:pStyle w:val="Heading1"/>
      </w:pPr>
      <w:r>
        <w:t>Aufgenommen am 24.08.2026</w:t>
      </w:r>
    </w:p>
    <w:p>
      <w:pPr>
        <w:pStyle w:val="Heading2"/>
      </w:pPr>
      <w:r>
        <w:t>Kontinuität der Betreuung und Risiken von Krankenhausaufenthalten und Mortalität bei COPD: eine landesweite Kohortenstudie</w:t>
      </w:r>
    </w:p>
    <w:p>
      <w:r>
        <w:rPr>
          <w:i/>
          <w:color w:val="666666"/>
          <w:sz w:val="18"/>
        </w:rPr>
        <w:t>Ko J et al.  ·  Int J Chron Obstruct Pulmon Dis  ·  18.08.2026  ·  PMID 42633418</w:t>
      </w:r>
    </w:p>
    <w:p>
      <w:r>
        <w:t>Eine südkoreanische Kohortenstudie mit 29.316 COPD-Neudiagnosen untersucht den Einfluss der Kontinuität der Betreuung auf COPD-Exazerbationen und Sterblichkeit.</w:t>
      </w:r>
    </w:p>
    <w:p>
      <w:r>
        <w:rPr>
          <w:b/>
        </w:rPr>
        <w:t xml:space="preserve">Ergebnis: </w:t>
      </w:r>
      <w:r>
        <w:t>Niedrige Kontinuitätsscores waren mit erhöhtem Risiko für COPD-Exazerbations-Krankenhausaufenthalte (HR 1,63; 95 % KI 1,45–1,83) und Gesamtmortalität (HR 1,25; 95 % KI 1,11–1,40) verbunden. Fragmentierte ambulante Betreuung erhöhte präventable Krankenhausaufenthalte deutlich.</w:t>
      </w:r>
    </w:p>
    <w:p>
      <w:r>
        <w:rPr>
          <w:b/>
          <w:sz w:val="19"/>
        </w:rPr>
        <w:t xml:space="preserve">Übertragbarkeit: </w:t>
      </w:r>
      <w:r>
        <w:rPr>
          <w:sz w:val="19"/>
        </w:rPr>
        <w:t>Südkorea – Sozialversicherungssystem, hohe Übertragbarkeit auf Deutschland.</w:t>
      </w:r>
    </w:p>
    <w:p>
      <w:r>
        <w:rPr>
          <w:color w:val="5A7D3A"/>
          <w:sz w:val="18"/>
        </w:rPr>
        <w:t>https://pubmed.ncbi.nlm.nih.gov/42633418/</w:t>
      </w:r>
    </w:p>
    <w:p>
      <w:pPr>
        <w:pStyle w:val="Heading2"/>
      </w:pPr>
      <w:r>
        <w:t>Einfluss von Alter, Gebrechlichkeit und Komorbiditäten auf Überleben nach Mitralklappenreparatur in Deutschland</w:t>
      </w:r>
    </w:p>
    <w:p>
      <w:r>
        <w:rPr>
          <w:i/>
          <w:color w:val="666666"/>
          <w:sz w:val="18"/>
        </w:rPr>
        <w:t>Piayda K et al.  ·  Int J Cardiol Heart Vasc  ·  12.08.2026  ·  PMID 42633073</w:t>
      </w:r>
    </w:p>
    <w:p>
      <w:r>
        <w:t>Eine deutsche Routinedatenstudie mit 4.896 Patienten untersucht Prognosen nach minimalinvasiver Mitralklappenreparatur hinsichtlich Alter, Gebrechlichkeit und Komorbiditäten.</w:t>
      </w:r>
    </w:p>
    <w:p>
      <w:r>
        <w:rPr>
          <w:b/>
        </w:rPr>
        <w:t xml:space="preserve">Ergebnis: </w:t>
      </w:r>
      <w:r>
        <w:t>Sehr alte Patienten (80–99 Jahre): OR 1,2 (95 % KI 1,07–1,49). Mit Pflegegrad 1–3: OR 1,43–2,09. Mit ≥3 Komorbiditäten: OR 2,82 (95 % KI 2,37–3,36). Medizinische Gesamtausgaben blieben gleich, aber Herzinsuffizienz-Krankenhausaufenthalte sanken.</w:t>
      </w:r>
    </w:p>
    <w:p>
      <w:r>
        <w:rPr>
          <w:b/>
          <w:sz w:val="19"/>
        </w:rPr>
        <w:t xml:space="preserve">Übertragbarkeit: </w:t>
      </w:r>
      <w:r>
        <w:rPr>
          <w:sz w:val="19"/>
        </w:rPr>
        <w:t>Deutsche Routinedaten (BARMER Krankenkasse), direkt übertragbar.</w:t>
      </w:r>
    </w:p>
    <w:p>
      <w:r>
        <w:rPr>
          <w:color w:val="5A7D3A"/>
          <w:sz w:val="18"/>
        </w:rPr>
        <w:t>https://pubmed.ncbi.nlm.nih.gov/42633073/</w:t>
      </w:r>
    </w:p>
    <w:p>
      <w:pPr>
        <w:pStyle w:val="Heading1"/>
      </w:pPr>
      <w:r>
        <w:t>Aufgenommen am 23.08.2026</w:t>
      </w:r>
    </w:p>
    <w:p>
      <w:pPr>
        <w:pStyle w:val="Heading2"/>
      </w:pPr>
      <w:r>
        <w:t>Spiritual Distress bei erwachsenen Patienten vor elektiver Chirurgie: Qualitative Studie</w:t>
      </w:r>
    </w:p>
    <w:p>
      <w:r>
        <w:rPr>
          <w:i/>
          <w:color w:val="666666"/>
          <w:sz w:val="18"/>
        </w:rPr>
        <w:t>Makar KG et al.  ·  Surgery  ·  03.08.2026  ·  PMID 42632276</w:t>
      </w:r>
    </w:p>
    <w:p>
      <w:r>
        <w:t>Qualitative Studie zu spiritueller Belastung und deren Auswirkungen auf die präoperative Erfahrung bei Patienten mit geplanten Eingriffen.</w:t>
      </w:r>
    </w:p>
    <w:p>
      <w:r>
        <w:rPr>
          <w:b/>
        </w:rPr>
        <w:t xml:space="preserve">Ergebnis: </w:t>
      </w:r>
      <w:r>
        <w:t>23 von 29 Patienten (79,3%) zeigten spirituelle Belastung, 6 Patienten (20,7%) spirituelles Wohlbefinden. Spirituell belastete Patienten äußerten signifikant mehr Angst und Komplikationserwartungen, während spirituell stabile Patienten Chirurgie als Genesung wahrnahmen. Diese Befunde unterstreichen die Bedeutung routinemäßiger spiritueller Unterstützung in der perioperativen Versorgung.</w:t>
      </w:r>
    </w:p>
    <w:p>
      <w:r>
        <w:rPr>
          <w:b/>
          <w:sz w:val="19"/>
        </w:rPr>
        <w:t xml:space="preserve">Übertragbarkeit: </w:t>
      </w:r>
      <w:r>
        <w:rPr>
          <w:sz w:val="19"/>
        </w:rPr>
        <w:t>Qualitativ und systemunabhängig; konzeptualisiert patientenzentrierte Ergebnisse.</w:t>
      </w:r>
    </w:p>
    <w:p>
      <w:r>
        <w:rPr>
          <w:color w:val="5A7D3A"/>
          <w:sz w:val="18"/>
        </w:rPr>
        <w:t>https://pubmed.ncbi.nlm.nih.gov/42632276/</w:t>
      </w:r>
    </w:p>
    <w:p>
      <w:pPr>
        <w:pStyle w:val="Heading2"/>
      </w:pPr>
      <w:r>
        <w:t>Nicht-englische Sprachpräferenz und ICU-Aufnahmen über Notfallabteilungen: US-Analyse</w:t>
      </w:r>
    </w:p>
    <w:p>
      <w:r>
        <w:rPr>
          <w:i/>
          <w:color w:val="666666"/>
          <w:sz w:val="18"/>
        </w:rPr>
        <w:t>Kelleher DP et al.  ·  J Emerg Nurs  ·  22.08.2026  ·  PMID 42631682</w:t>
      </w:r>
    </w:p>
    <w:p>
      <w:r>
        <w:t>Longitudinale Kohortenstudie zum Vergleich von ICU-Aufnahmen zwischen Patienten mit nicht-englischer Sprachpräferenz und englischsprachigen Patienten.</w:t>
      </w:r>
    </w:p>
    <w:p>
      <w:r>
        <w:rPr>
          <w:b/>
        </w:rPr>
        <w:t xml:space="preserve">Ergebnis: </w:t>
      </w:r>
      <w:r>
        <w:t>Patienten mit nicht-englischer Sprachpräferenz hatten 99% höhere Aufnahmewahrscheinlichkeit auf die Intensivstation (OR = 1,99, 95% KI 1,63-2,42; p &lt; 0,001). Kein signifikanter Unterschied bei Verweildauer auf ICU oder im Krankenhaus. Ergebnis deutet auf diskriminierende oder ungleiche Zugangssteuerungsmechanismen hin.</w:t>
      </w:r>
    </w:p>
    <w:p>
      <w:r>
        <w:rPr>
          <w:b/>
          <w:sz w:val="19"/>
        </w:rPr>
        <w:t xml:space="preserve">Übertragbarkeit: </w:t>
      </w:r>
      <w:r>
        <w:rPr>
          <w:sz w:val="19"/>
        </w:rPr>
        <w:t>USA-Daten, Fragestellung aber zur gesundheitlichen Chancengleichheit systemunabhängig.</w:t>
      </w:r>
    </w:p>
    <w:p>
      <w:r>
        <w:rPr>
          <w:color w:val="5A7D3A"/>
          <w:sz w:val="18"/>
        </w:rPr>
        <w:t>https://pubmed.ncbi.nlm.nih.gov/42631682/</w:t>
      </w:r>
    </w:p>
    <w:p>
      <w:pPr>
        <w:pStyle w:val="Heading2"/>
      </w:pPr>
      <w:r>
        <w:t>ABC-Pathway-Adherence und kardiovaskuläre Ereignisse bei Vorhofflimmern: Asiatische Register-Analyse</w:t>
      </w:r>
    </w:p>
    <w:p>
      <w:r>
        <w:rPr>
          <w:i/>
          <w:color w:val="666666"/>
          <w:sz w:val="18"/>
        </w:rPr>
        <w:t>Bucci T et al.  ·  JACC Asia  ·  30.07.2026  ·  PMID 42631669</w:t>
      </w:r>
    </w:p>
    <w:p>
      <w:r>
        <w:t>Clusteranalyse von 3.468 asiatischen Patienten mit Vorhofflimmern zur Identifikation klinischer Phänotypen und zum Nachweis der Assoziation zwischen ABC-Pathway-Therapieadhärenz und Outcomes.</w:t>
      </w:r>
    </w:p>
    <w:p>
      <w:r>
        <w:rPr>
          <w:b/>
        </w:rPr>
        <w:t xml:space="preserve">Ergebnis: </w:t>
      </w:r>
      <w:r>
        <w:t>Fünf Cluster identifiziert mit gestuftem Risiko; ABC-Pathway-Adhärenz war mit niedrigerem Primärergebnis-Risiko assoziiert (HR 0,53, 95% KI 0,38-0,74), unabhängig vom Phänotyp. Ältere Patienten mit hoher kardiovaskulärer Belastung oder Herzinsuffizienz zeigten höchstes Risiko (HR 3,33-4,15 vs. junge Patientengruppe).</w:t>
      </w:r>
    </w:p>
    <w:p>
      <w:r>
        <w:rPr>
          <w:b/>
          <w:sz w:val="19"/>
        </w:rPr>
        <w:t xml:space="preserve">Übertragbarkeit: </w:t>
      </w:r>
      <w:r>
        <w:rPr>
          <w:sz w:val="19"/>
        </w:rPr>
        <w:t>Asien-Pazifik; Versorgungsqualität und Stratifikation auch für andere Systeme relevant.</w:t>
      </w:r>
    </w:p>
    <w:p>
      <w:r>
        <w:rPr>
          <w:color w:val="5A7D3A"/>
          <w:sz w:val="18"/>
        </w:rPr>
        <w:t>https://pubmed.ncbi.nlm.nih.gov/42631669/</w:t>
      </w:r>
    </w:p>
    <w:p>
      <w:pPr>
        <w:pStyle w:val="Heading2"/>
      </w:pPr>
      <w:r>
        <w:t>High-Dose High-Intensity Neurorehabilitation nach Schlaganfall: Konsens-Empfehlungen</w:t>
      </w:r>
    </w:p>
    <w:p>
      <w:r>
        <w:rPr>
          <w:i/>
          <w:color w:val="666666"/>
          <w:sz w:val="18"/>
        </w:rPr>
        <w:t>Branscheidt M et al.  ·  Int J Stroke  ·  22.08.2026  ·  PMID 42631575</w:t>
      </w:r>
    </w:p>
    <w:p>
      <w:r>
        <w:t>Internationale Konsensusfindung zur Identifizierung von Barrieren und Lösungen für die Umsetzung von intensiver Schlaganfall-Neurorehabilitation.</w:t>
      </w:r>
    </w:p>
    <w:p>
      <w:r>
        <w:rPr>
          <w:b/>
        </w:rPr>
        <w:t xml:space="preserve">Ergebnis: </w:t>
      </w:r>
      <w:r>
        <w:t>Vier Hauptbarrieren für Umsetzung: (1) Wissenslücke zu HDHI-Mechanismen, (2) Lieferketten- und Kapazitätsbeschränkungen, (3) Widerstand trotz Evidenz durch Zeitdruck und mangelnde administrative Unterstützung, (4) systemische Enabler unzureichend. Empfehlungen: Home-basierte Hybrid-Pathways, Reimbursement-Alignment und Infrastruktur für Kontinuität.</w:t>
      </w:r>
    </w:p>
    <w:p>
      <w:r>
        <w:rPr>
          <w:b/>
          <w:sz w:val="19"/>
        </w:rPr>
        <w:t xml:space="preserve">Übertragbarkeit: </w:t>
      </w:r>
      <w:r>
        <w:rPr>
          <w:sz w:val="19"/>
        </w:rPr>
        <w:t>Internationale Expertengruppe; Implementierungsforschung systemunabhängig.</w:t>
      </w:r>
    </w:p>
    <w:p>
      <w:r>
        <w:rPr>
          <w:color w:val="5A7D3A"/>
          <w:sz w:val="18"/>
        </w:rPr>
        <w:t>https://pubmed.ncbi.nlm.nih.gov/42631575/</w:t>
      </w:r>
    </w:p>
    <w:p>
      <w:pPr>
        <w:pStyle w:val="Heading1"/>
      </w:pPr>
      <w:r>
        <w:t>Aufgenommen am 22.08.2026</w:t>
      </w:r>
    </w:p>
    <w:p>
      <w:pPr>
        <w:pStyle w:val="Heading2"/>
      </w:pPr>
      <w:r>
        <w:t>Nosokomiale Infektionen und Antibiotikaresistenz im asiatischen Überwachungsnetz (ACORN-HAI)</w:t>
      </w:r>
    </w:p>
    <w:p>
      <w:r>
        <w:rPr>
          <w:i/>
          <w:color w:val="666666"/>
          <w:sz w:val="18"/>
        </w:rPr>
        <w:t>Mo Y et al.  ·  Lancet Infect Dis  ·  21.08.2026  ·  PMID 42628558</w:t>
      </w:r>
    </w:p>
    <w:p>
      <w:r>
        <w:t>Multinationale prospektive Kohortenstudie in 41 Krankenhäusern über 19 Länder in Asien zur Epidemiologie antimikrobieller Resistenz bei Healthcare-assoziierten Infektionen.</w:t>
      </w:r>
    </w:p>
    <w:p>
      <w:r>
        <w:rPr>
          <w:b/>
        </w:rPr>
        <w:t xml:space="preserve">Ergebnis: </w:t>
      </w:r>
      <w:r>
        <w:t>Von 9.642 analysierten Infektionsepisoden waren 73,7% mit resistenten Bakterien assoziiert. Gesamtsterblichkeit bei Gram-negativen Resistenzen: 37,7% (AMR) vs. 40,6% (Multiresistenz). Carbapenem-resistente Acinetobacter (CRA) und Enterobacterales (CRE) zeigten höchste Mortalität: CRA 51,3%, CRE 48,4%; attributable Mortalität CRA 19,4% (95% CI 14,1–24,7), CRE 16,2% (95% CI 12,8–19,6).</w:t>
      </w:r>
    </w:p>
    <w:p>
      <w:r>
        <w:rPr>
          <w:b/>
          <w:sz w:val="19"/>
        </w:rPr>
        <w:t xml:space="preserve">Übertragbarkeit: </w:t>
      </w:r>
      <w:r>
        <w:rPr>
          <w:sz w:val="19"/>
        </w:rPr>
        <w:t>Asiatische Länder mit Ressourcenengpässen, aber Daten zur Antimikrobial Stewardship systemunabhängig relevant</w:t>
      </w:r>
    </w:p>
    <w:p>
      <w:r>
        <w:rPr>
          <w:color w:val="5A7D3A"/>
          <w:sz w:val="18"/>
        </w:rPr>
        <w:t>https://pubmed.ncbi.nlm.nih.gov/42628558/</w:t>
      </w:r>
    </w:p>
    <w:p>
      <w:pPr>
        <w:pStyle w:val="Heading2"/>
      </w:pPr>
      <w:r>
        <w:t>Auswirkungen von nationaler kognitiver Screening auf Demenzversorgung und Hospitalisierung in Südkorea</w:t>
      </w:r>
    </w:p>
    <w:p>
      <w:r>
        <w:rPr>
          <w:i/>
          <w:color w:val="666666"/>
          <w:sz w:val="18"/>
        </w:rPr>
        <w:t>Lim JH et al.  ·  Alzheimers Dement  ·  Aug. 2026  ·  PMID 42625505</w:t>
      </w:r>
    </w:p>
    <w:p>
      <w:r>
        <w:t>Südkorea: Kohortenstudie zur Auswirkung eines 2007 eingeführten nationalen kognitiven Screening-Programms auf nachfolgende Demenzversorgung und Hospitalisierung.</w:t>
      </w:r>
    </w:p>
    <w:p>
      <w:r>
        <w:rPr>
          <w:b/>
        </w:rPr>
        <w:t xml:space="preserve">Ergebnis: </w:t>
      </w:r>
      <w:r>
        <w:t>Kognitive Früherkennung war mit einer 37% höheren Wahrscheinlichkeit für Demenzbehandlung innerhalb von 2 Jahren (p&lt;0,001) und einem 12% niedrigerem Risiko für demenzbedingte Hospitalisierung innerhalb von 10 Jahren assoziiert. Baseline: 1,4% erhielten Demenzbehandlung, 3,0% wurden hospitalisiert.</w:t>
      </w:r>
    </w:p>
    <w:p>
      <w:r>
        <w:rPr>
          <w:b/>
          <w:sz w:val="19"/>
        </w:rPr>
        <w:t xml:space="preserve">Übertragbarkeit: </w:t>
      </w:r>
      <w:r>
        <w:rPr>
          <w:sz w:val="19"/>
        </w:rPr>
        <w:t>Asiatisches System mit Screening-Struktur, aber steuerfinanziert - Fragestellung zur Frühdiagnose systemunabhängig relevant</w:t>
      </w:r>
    </w:p>
    <w:p>
      <w:r>
        <w:rPr>
          <w:color w:val="5A7D3A"/>
          <w:sz w:val="18"/>
        </w:rPr>
        <w:t>https://pubmed.ncbi.nlm.nih.gov/42625505/</w:t>
      </w:r>
    </w:p>
    <w:p>
      <w:pPr>
        <w:pStyle w:val="Heading2"/>
      </w:pPr>
      <w:r>
        <w:t>Nutzerbewertung KI-generierter und menschlicher Antworten in digitaler Gesundheitskommunikation</w:t>
      </w:r>
    </w:p>
    <w:p>
      <w:r>
        <w:rPr>
          <w:i/>
          <w:color w:val="666666"/>
          <w:sz w:val="18"/>
        </w:rPr>
        <w:t>Schulz C et al.  ·  BMC Health Serv Res  ·  19.08.2026  ·  PMID 42618915</w:t>
      </w:r>
    </w:p>
    <w:p>
      <w:r>
        <w:t>Deutschland: Paired-Survey-Studie, in der Nutzer ChatGPT-4-generierte und von einem Physiotherapeuten verfasste Antworten auf Gesundheitsfragen vergleichend bewerteten.</w:t>
      </w:r>
    </w:p>
    <w:p>
      <w:r>
        <w:rPr>
          <w:b/>
        </w:rPr>
        <w:t xml:space="preserve">Ergebnis: </w:t>
      </w:r>
      <w:r>
        <w:t>Über die meisten Kriterien hinweg wurde die KI-Antwort besser bewertet als die menschliche, besonders bei Empathie und Verständlichkeit (alle p&lt;0,001). Expert-Rating favorisierte auch die KI-Antwort in Bezug auf Richtigkeit und Vollständigkeit, obwohl Längen und Struktur differierten. Teilnehmerzahl n=224.</w:t>
      </w:r>
    </w:p>
    <w:p>
      <w:r>
        <w:rPr>
          <w:b/>
          <w:sz w:val="19"/>
        </w:rPr>
        <w:t xml:space="preserve">Übertragbarkeit: </w:t>
      </w:r>
      <w:r>
        <w:rPr>
          <w:sz w:val="19"/>
        </w:rPr>
        <w:t>Deutsche Studie in Healthcare-System kontextualisiert; Aussage zu Nutzerpräferenz systemabhängig, aber zur Kommunikationsqualität relevant</w:t>
      </w:r>
    </w:p>
    <w:p>
      <w:r>
        <w:rPr>
          <w:color w:val="5A7D3A"/>
          <w:sz w:val="18"/>
        </w:rPr>
        <w:t>https://pubmed.ncbi.nlm.nih.gov/42618915/</w:t>
      </w:r>
    </w:p>
    <w:p>
      <w:pPr>
        <w:pStyle w:val="Heading1"/>
      </w:pPr>
      <w:r>
        <w:t>Aufgenommen am 21.08.2026</w:t>
      </w:r>
    </w:p>
    <w:p>
      <w:pPr>
        <w:pStyle w:val="Heading2"/>
      </w:pPr>
      <w:r>
        <w:t>Vergütungstyp von Hausärzten und Antibiotikaverordnungen: Analyse von Patienten­wechseln mit Routinedaten</w:t>
      </w:r>
    </w:p>
    <w:p>
      <w:r>
        <w:rPr>
          <w:i/>
          <w:color w:val="666666"/>
          <w:sz w:val="18"/>
        </w:rPr>
        <w:t>Kraft KB et al.  ·  Scand J Prim Health Care  ·  20.08.2026  ·  PMID 42622517</w:t>
      </w:r>
    </w:p>
    <w:p>
      <w:r>
        <w:t>Norwegische Studie zu Auswirkungen verschiedener Vergütungsformen (Fee-for-Service vs. Gehalt) auf die Antibiotikaverordnungen bei Patienten, die die Hausarztpraxis wechselten.</w:t>
      </w:r>
    </w:p>
    <w:p>
      <w:r>
        <w:rPr>
          <w:b/>
        </w:rPr>
        <w:t xml:space="preserve">Ergebnis: </w:t>
      </w:r>
      <w:r>
        <w:t>Patienten, die von einem Allgemeinarzt mit Fee-for-Service zu einem salariierten Arzt wechselten, reduzierten ihre monatliche Antibiotikanutzung um 21 definierte Tagesdosen pro 1000 Patienten (SD=7); umgekehrt erhöhte sich die Nutzung um 85 DDD pro 1000 Patienten (SD=20) beim Wechsel zu Fee-for-Service. Dies deutet darauf hin, dass die Vergütungsform einen signifikanten Effekt auf das Verschreibungsverhalten hat.</w:t>
      </w:r>
    </w:p>
    <w:p>
      <w:r>
        <w:rPr>
          <w:b/>
          <w:sz w:val="19"/>
        </w:rPr>
        <w:t xml:space="preserve">Übertragbarkeit: </w:t>
      </w:r>
      <w:r>
        <w:rPr>
          <w:sz w:val="19"/>
        </w:rPr>
        <w:t>Niederlande, Belgien, Frankreich: vergleichbare Sozialversicherungssysteme mit Capitation und FFS</w:t>
      </w:r>
    </w:p>
    <w:p>
      <w:r>
        <w:rPr>
          <w:color w:val="5A7D3A"/>
          <w:sz w:val="18"/>
        </w:rPr>
        <w:t>https://pubmed.ncbi.nlm.nih.gov/42622517/</w:t>
      </w:r>
    </w:p>
    <w:p>
      <w:pPr>
        <w:pStyle w:val="Heading2"/>
      </w:pPr>
      <w:r>
        <w:t>Übergang von medizinischer zu beruflicher Rehabilitation in Deutschland: Erfahrungen der Rehabilitanden</w:t>
      </w:r>
    </w:p>
    <w:p>
      <w:r>
        <w:rPr>
          <w:i/>
          <w:color w:val="666666"/>
          <w:sz w:val="18"/>
        </w:rPr>
        <w:t>Wengemuth E et al.  ·  Front Rehabil Sci  ·  05.08.2026  ·  PMID 42621103</w:t>
      </w:r>
    </w:p>
    <w:p>
      <w:r>
        <w:t>Explorative Mixed-Methods-Studie über Erfahrungen von Rehabilitanden beim Übergang von medizinischer zu beruflicher Rehabilitation in Deutschland mit quantitativen und qualitativen Datenerfassungsmethoden.</w:t>
      </w:r>
    </w:p>
    <w:p>
      <w:r>
        <w:rPr>
          <w:b/>
        </w:rPr>
        <w:t xml:space="preserve">Ergebnis: </w:t>
      </w:r>
      <w:r>
        <w:t>Von 61 Befragten berichteten etwa 50 %, über berufliche Rehabilitation während medizinischer Rehabilitation informiert worden zu sein; deutlich weniger erhielten praktische Unterstützung (z.B. Antragshilfe). Hausärzte und Fachärzte wurden von etwa 60 % als unterstützend empfunden, Arbeitgeber als am wenigsten hilfreich. Knapp zwei Drittel fühlten sich selbstbestimmt bei der Wahl und beim Beginn des beruflichen Rehabilitationsprogramms, einige berichteten aber von Druck. Mangelnde Kooperation zwischen Akteuren erschwerte den Übergang.</w:t>
      </w:r>
    </w:p>
    <w:p>
      <w:r>
        <w:rPr>
          <w:b/>
          <w:sz w:val="19"/>
        </w:rPr>
        <w:t xml:space="preserve">Übertragbarkeit: </w:t>
      </w:r>
      <w:r>
        <w:rPr>
          <w:sz w:val="19"/>
        </w:rPr>
        <w:t>Deutsche Routinedaten, deutsches Rehabilitationssystem direkt relevant</w:t>
      </w:r>
    </w:p>
    <w:p>
      <w:r>
        <w:rPr>
          <w:color w:val="5A7D3A"/>
          <w:sz w:val="18"/>
        </w:rPr>
        <w:t>https://pubmed.ncbi.nlm.nih.gov/42621103/</w:t>
      </w:r>
    </w:p>
    <w:p>
      <w:pPr>
        <w:pStyle w:val="Heading2"/>
      </w:pPr>
      <w:r>
        <w:t>Öffentliche Gesundheitskommunikation während COVID-19 in Stockholm: Community-Engagement für Migranten</w:t>
      </w:r>
    </w:p>
    <w:p>
      <w:r>
        <w:rPr>
          <w:i/>
          <w:color w:val="666666"/>
          <w:sz w:val="18"/>
        </w:rPr>
        <w:t>Strand M et al.  ·  BMC Health Serv Res  ·  18.08.2026  ·  PMID 42618922</w:t>
      </w:r>
    </w:p>
    <w:p>
      <w:r>
        <w:t>Qualitative Studie über die Entwicklung und Umsetzung von Krisenkommunikationsmaterialien für migrationsgeprägte Gemeinschaften in Stockholm während der COVID-19-Pandemie.</w:t>
      </w:r>
    </w:p>
    <w:p>
      <w:r>
        <w:rPr>
          <w:b/>
        </w:rPr>
        <w:t xml:space="preserve">Ergebnis: </w:t>
      </w:r>
      <w:r>
        <w:t>Vier Hauptthemen zeigten zeitliche Entwicklung: Frühe Phase fokussierte auf Sprachübersetzung standardisierter Botschaften, verlagerte sich aber zu dialogbasierter Einbindung. Wichtige Erkenntnisse waren Vertrauensaufbau durch Community-Stakeholder, Adressierung struktureller Barrieren statt fehlenden Verständnisses, Stigmabekämpfung und kreative Problemlösung. Viele Fachleute äußerten Bedenken, dass etablierte Netzwerke und gewonnene Erkenntnisse verloren gingen.</w:t>
      </w:r>
    </w:p>
    <w:p>
      <w:r>
        <w:rPr>
          <w:b/>
          <w:sz w:val="19"/>
        </w:rPr>
        <w:t xml:space="preserve">Übertragbarkeit: </w:t>
      </w:r>
      <w:r>
        <w:rPr>
          <w:sz w:val="19"/>
        </w:rPr>
        <w:t>Skandinavien, steuerfinanziert: Erkenntnisse zu Prozessen und Patientenperspektive übertragbar</w:t>
      </w:r>
    </w:p>
    <w:p>
      <w:r>
        <w:rPr>
          <w:color w:val="5A7D3A"/>
          <w:sz w:val="18"/>
        </w:rPr>
        <w:t>https://pubmed.ncbi.nlm.nih.gov/42618922/</w:t>
      </w:r>
    </w:p>
    <w:p>
      <w:pPr>
        <w:pStyle w:val="Heading2"/>
      </w:pPr>
      <w:r>
        <w:t>Abbildung der HoNOS auf die EQ-5D-5L zur QALY-Berechnung in der Psychiatrie</w:t>
      </w:r>
    </w:p>
    <w:p>
      <w:r>
        <w:rPr>
          <w:i/>
          <w:color w:val="666666"/>
          <w:sz w:val="18"/>
        </w:rPr>
        <w:t>Lamu AN et al.  ·  Med Decis Making  ·  13.08.2026  ·  PMID 42596686</w:t>
      </w:r>
    </w:p>
    <w:p>
      <w:r>
        <w:t>Mapping-Studie zur Vorhersage von EQ-5D-5L-Werten aus der Health of the Nation Outcome Scales (HoNOS) bei Erwachsenen mit schweren psychischen Erkrankungen für die gesundheitsökonomische Bewertung.</w:t>
      </w:r>
    </w:p>
    <w:p>
      <w:r>
        <w:rPr>
          <w:b/>
        </w:rPr>
        <w:t xml:space="preserve">Ergebnis: </w:t>
      </w:r>
      <w:r>
        <w:t>Vier ökonometrische Verfahren wurden getestet; das Fractional Regression Model (FRM) zeigte beste Performance. In der 10-fach-Kreuzvalidierung mit deutschen EQ-5D-5L-Werten erreichte FRM: RMSE=0,2204, MAE=0,1622, r²=36,5 %. Das Modell ermöglicht QALY-Schätzungen aus HoNOS-Daten und eröffnet wirtschaftliche Bewertungen von psychischen Gesundheitsinterventionen, wenn nur HoNOS-Informationen verfügbar sind.</w:t>
      </w:r>
    </w:p>
    <w:p>
      <w:r>
        <w:rPr>
          <w:b/>
          <w:sz w:val="19"/>
        </w:rPr>
        <w:t xml:space="preserve">Übertragbarkeit: </w:t>
      </w:r>
      <w:r>
        <w:rPr>
          <w:sz w:val="19"/>
        </w:rPr>
        <w:t>Deutschland, methodisches Instrument für deutschsprachige Gesundheitsökonomie</w:t>
      </w:r>
    </w:p>
    <w:p>
      <w:r>
        <w:rPr>
          <w:color w:val="5A7D3A"/>
          <w:sz w:val="18"/>
        </w:rPr>
        <w:t>https://pubmed.ncbi.nlm.nih.gov/42596686/</w:t>
      </w:r>
    </w:p>
    <w:p>
      <w:pPr>
        <w:pStyle w:val="Heading1"/>
      </w:pPr>
      <w:r>
        <w:t>Aufgenommen am 20.08.2026</w:t>
      </w:r>
    </w:p>
    <w:p>
      <w:pPr>
        <w:pStyle w:val="Heading2"/>
      </w:pPr>
      <w:r>
        <w:t>Vorbereitung auf zukünftige Pandemien: Befähigung und Unterstützungsbedarf des Pflegepersonals im Querschnitt</w:t>
      </w:r>
    </w:p>
    <w:p>
      <w:r>
        <w:rPr>
          <w:i/>
          <w:color w:val="666666"/>
          <w:sz w:val="18"/>
        </w:rPr>
        <w:t>Noorland SA et al.  ·  Nurs Outlook  ·  19.08.2026  ·  PMID 42617414</w:t>
      </w:r>
    </w:p>
    <w:p>
      <w:r>
        <w:t>Eine niederländische Querschnittsstudie untersuchte die mentale Leistungsfähigkeit des Pflegepersonals für zukünftige Pandemien, deren psychische Gesundheit nach COVID-19 und deren Vorlieben für psychosoziale Unterstützung.</w:t>
      </w:r>
    </w:p>
    <w:p>
      <w:r>
        <w:rPr>
          <w:b/>
        </w:rPr>
        <w:t xml:space="preserve">Ergebnis: </w:t>
      </w:r>
      <w:r>
        <w:t>90,4 % fühlten sich mental fähig, während einer zukünftigen Pandemie zu arbeiten. Die mentale Gesundheit war generell gut (Median MHI-5: 84) und positiv assoziiert mit höherer wahrgenommener Fähigkeit. Das Personal bevorzugte Peer-basierte Unterstützung (Gruppengespräche, moralische Fallberatungen, Partnerschaft mit Kollegen) gegenüber Einzelgesprächen und Stressmanagement-Schulungen.</w:t>
      </w:r>
    </w:p>
    <w:p>
      <w:r>
        <w:rPr>
          <w:b/>
          <w:sz w:val="19"/>
        </w:rPr>
        <w:t xml:space="preserve">Übertragbarkeit: </w:t>
      </w:r>
      <w:r>
        <w:rPr>
          <w:sz w:val="19"/>
        </w:rPr>
        <w:t>Niederlande, vergleichbares Sozialversicherungssystem, hohe Übertragbarkeit für Pflegepersonalentwicklung</w:t>
      </w:r>
    </w:p>
    <w:p>
      <w:r>
        <w:rPr>
          <w:color w:val="5A7D3A"/>
          <w:sz w:val="18"/>
        </w:rPr>
        <w:t>https://pubmed.ncbi.nlm.nih.gov/42617414/</w:t>
      </w:r>
    </w:p>
    <w:p>
      <w:pPr>
        <w:pStyle w:val="Heading2"/>
      </w:pPr>
      <w:r>
        <w:t>Datensouveränität in der Langzeitpflege: Mixed-Methods-Studie zur Reifegradbeurteilung</w:t>
      </w:r>
    </w:p>
    <w:p>
      <w:r>
        <w:rPr>
          <w:i/>
          <w:color w:val="666666"/>
          <w:sz w:val="18"/>
        </w:rPr>
        <w:t>Bouchmal S et al.  ·  J Med Internet Res  ·  19.08.2026  ·  PMID 42617155</w:t>
      </w:r>
    </w:p>
    <w:p>
      <w:r>
        <w:t>Eine niederländische Mixed-Methods-Studie in drei Langzeitpflege-Organisationen untersuchte deren Fähigkeit zur Nutzung von Daten für Entscheidungen und Qualitätsverbesserungen.</w:t>
      </w:r>
    </w:p>
    <w:p>
      <w:r>
        <w:rPr>
          <w:b/>
        </w:rPr>
        <w:t xml:space="preserve">Ergebnis: </w:t>
      </w:r>
      <w:r>
        <w:t>Organisationen wiesen niedrige Datenreife auf. Bereiche Strategie, Governance und Datenqualität waren durchgehend niedrig. Vier Themen wurden identifiziert: fehlende klare Vision (Datenreife niedrig), Datenkultur als Voraussetzung, begrenzte Interdisziplinarität und Infrastruktur- sowie kulturelle Hürden hemmen nachhaltige Nutzung.</w:t>
      </w:r>
    </w:p>
    <w:p>
      <w:r>
        <w:rPr>
          <w:b/>
          <w:sz w:val="19"/>
        </w:rPr>
        <w:t xml:space="preserve">Übertragbarkeit: </w:t>
      </w:r>
      <w:r>
        <w:rPr>
          <w:sz w:val="19"/>
        </w:rPr>
        <w:t>Niederlande, Langzeitpflege-Setting, hohe Übertragbarkeit auf deutsche Altenheime</w:t>
      </w:r>
    </w:p>
    <w:p>
      <w:r>
        <w:rPr>
          <w:color w:val="5A7D3A"/>
          <w:sz w:val="18"/>
        </w:rPr>
        <w:t>https://pubmed.ncbi.nlm.nih.gov/42617155/</w:t>
      </w:r>
    </w:p>
    <w:p>
      <w:pPr>
        <w:pStyle w:val="Heading2"/>
      </w:pPr>
      <w:r>
        <w:t>Kosteneffektivität der Herpes-zoster-Impfung bei rheumatoider Arthritis</w:t>
      </w:r>
    </w:p>
    <w:p>
      <w:r>
        <w:rPr>
          <w:i/>
          <w:color w:val="666666"/>
          <w:sz w:val="18"/>
        </w:rPr>
        <w:t>Hagen G et al.  ·  Rheumatology (Oxford)  ·  19.08.2026  ·  PMID 42616666</w:t>
      </w:r>
    </w:p>
    <w:p>
      <w:r>
        <w:t>Eine norwegische Markov-Modellierungsstudie bewertete die Kosteneffektivität der adjuvantierten rekombinanten Zoster-Impfung (RZV) bei RA-Patienten.</w:t>
      </w:r>
    </w:p>
    <w:p>
      <w:r>
        <w:rPr>
          <w:b/>
        </w:rPr>
        <w:t xml:space="preserve">Ergebnis: </w:t>
      </w:r>
      <w:r>
        <w:t>RZV vermied 2.550 HZ-Fälle und 1.303 PHN-Fälle pro 10.000 RA-Patienten, ICER von 11.205 EUR/QALY (unter Schwellenwert von 23.650 EUR/QALY). Probabilistische Analyse zeigte 98 % Wahrscheinlichkeit der Kosteneffektivität. Sensitivitätsanalysen zeigten Robustheit der Ergebnisse.</w:t>
      </w:r>
    </w:p>
    <w:p>
      <w:r>
        <w:rPr>
          <w:b/>
          <w:sz w:val="19"/>
        </w:rPr>
        <w:t xml:space="preserve">Übertragbarkeit: </w:t>
      </w:r>
      <w:r>
        <w:rPr>
          <w:sz w:val="19"/>
        </w:rPr>
        <w:t>Norwegen, skandinavisches Steuersystem, gut übertragbar für Vakzinations- und Preventiv-Fragen</w:t>
      </w:r>
    </w:p>
    <w:p>
      <w:r>
        <w:rPr>
          <w:color w:val="5A7D3A"/>
          <w:sz w:val="18"/>
        </w:rPr>
        <w:t>https://pubmed.ncbi.nlm.nih.gov/42616666/</w:t>
      </w:r>
    </w:p>
    <w:p>
      <w:pPr>
        <w:pStyle w:val="Heading2"/>
      </w:pPr>
      <w:r>
        <w:t>Förderung von Autonomie in Zwangsbetreuung: Vergleichende Analyse europäischer Gesetze in 27 Ländern</w:t>
      </w:r>
    </w:p>
    <w:p>
      <w:r>
        <w:rPr>
          <w:i/>
          <w:color w:val="666666"/>
          <w:sz w:val="18"/>
        </w:rPr>
        <w:t>Aluh DO et al.  ·  Soc Psychiatry Psychiatr Epidemiol  ·  19.08.2026  ·  PMID 42616064</w:t>
      </w:r>
    </w:p>
    <w:p>
      <w:r>
        <w:t>Vergleichende Analyse von Gesetzen aus 27 europäischen Jurisdiktionen zu Autonomie-fördernden Bestimmungen bei Zwangsbetreuung unter Berücksichtigung der UN-Behindertenrechtskonvention.</w:t>
      </w:r>
    </w:p>
    <w:p>
      <w:r>
        <w:rPr>
          <w:b/>
        </w:rPr>
        <w:t xml:space="preserve">Ergebnis: </w:t>
      </w:r>
      <w:r>
        <w:t>Alle 27 Legislationen beinhalten Maßnahmen zum Legalitätsprinzip, Berufungsrecht und rechtliche Unterstützung; Advance Healthcare Directives und Supported Decision-Making waren seltener verankert; Verfahrensschutzgarantien sind etabliert, aber signifikante Varianz bei anderen Autonomie-fördernden Mechanismen bleibt bestehen.</w:t>
      </w:r>
    </w:p>
    <w:p>
      <w:r>
        <w:rPr>
          <w:b/>
          <w:sz w:val="19"/>
        </w:rPr>
        <w:t xml:space="preserve">Übertragbarkeit: </w:t>
      </w:r>
      <w:r>
        <w:rPr>
          <w:sz w:val="19"/>
        </w:rPr>
        <w:t>Europäische Legislationen inklusive Deutschland, Österreich, Schweiz</w:t>
      </w:r>
    </w:p>
    <w:p>
      <w:r>
        <w:rPr>
          <w:color w:val="5A7D3A"/>
          <w:sz w:val="18"/>
        </w:rPr>
        <w:t>https://pubmed.ncbi.nlm.nih.gov/42616064/</w:t>
      </w:r>
    </w:p>
    <w:p>
      <w:pPr>
        <w:pStyle w:val="Heading2"/>
      </w:pPr>
      <w:r>
        <w:t>Resilienz der Impfversorgung in Äthiopien während COVID-19: Dezentralisierung schützt vor Ausfällen</w:t>
      </w:r>
    </w:p>
    <w:p>
      <w:r>
        <w:rPr>
          <w:i/>
          <w:color w:val="666666"/>
          <w:sz w:val="18"/>
        </w:rPr>
        <w:t>Gedefaw A et al.  ·  BMC Health Serv Res  ·  17.08.2026  ·  PMID 42613610</w:t>
      </w:r>
    </w:p>
    <w:p>
      <w:r>
        <w:t>Eine äthiopische Längsschnittstudie verglich die Impfversorgung über 18 Krankenhäuser, 132 Gesundheitszentren und 532 Gesundheitsposten während und vor der Pandemie.</w:t>
      </w:r>
    </w:p>
    <w:p>
      <w:r>
        <w:rPr>
          <w:b/>
        </w:rPr>
        <w:t xml:space="preserve">Ergebnis: </w:t>
      </w:r>
      <w:r>
        <w:t>Gesamtimpfquote stieg um 9,72 % (p=0,006) in den ersten 6 Monaten. Krankenhäuser fielen um 5,2 % ab (p=0,449), Gesundheitszentren stiegen um 7,96 % (p=0,015) und Posten um 11,5 % (p=0,002). Dezentralisierte Strukturen absorbierten Nachfrage nach Spitalauställen.</w:t>
      </w:r>
    </w:p>
    <w:p>
      <w:r>
        <w:rPr>
          <w:b/>
          <w:sz w:val="19"/>
        </w:rPr>
        <w:t xml:space="preserve">Übertragbarkeit: </w:t>
      </w:r>
      <w:r>
        <w:rPr>
          <w:sz w:val="19"/>
        </w:rPr>
        <w:t>Äthiopien, Low-Income-Setting - begrenzte Übertragbarkeit auf deutsche Strukturen mit anderen Ressourcen</w:t>
      </w:r>
    </w:p>
    <w:p>
      <w:r>
        <w:rPr>
          <w:color w:val="5A7D3A"/>
          <w:sz w:val="18"/>
        </w:rPr>
        <w:t>https://pubmed.ncbi.nlm.nih.gov/42613610/</w:t>
      </w:r>
    </w:p>
    <w:p>
      <w:pPr>
        <w:pStyle w:val="Heading2"/>
      </w:pPr>
      <w:r>
        <w:t>UN-Dekade für gesundes Altern: Perspektiven von älteren Menschen und Fachkräften in Norwegen</w:t>
      </w:r>
    </w:p>
    <w:p>
      <w:r>
        <w:rPr>
          <w:i/>
          <w:color w:val="666666"/>
          <w:sz w:val="18"/>
        </w:rPr>
        <w:t>Bikova M et al.  ·  BMC Health Serv Res  ·  14.08.2026  ·  PMID 42613606</w:t>
      </w:r>
    </w:p>
    <w:p>
      <w:r>
        <w:t>Eine norwegische qualitative Fallstudie mit 23 Interviews (Ältere, Fachkräfte, Entscheidungsträger) untersuchte die Umsetzung der UN-Decade of Healthy Ageing.</w:t>
      </w:r>
    </w:p>
    <w:p>
      <w:r>
        <w:rPr>
          <w:b/>
        </w:rPr>
        <w:t xml:space="preserve">Ergebnis: </w:t>
      </w:r>
      <w:r>
        <w:t>Kernthemen: Strategien zur Selbstbestimmung, ambivalente Alterswahrnehmung, Herausforderungen der Gesundheitsdienste. Digitalisierung als Barriere für inklusive Teilhabe identifiziert. Digitale Inklusion, intergenerationale Ansätze und Bekämpfung von Alterismus empfohlen.</w:t>
      </w:r>
    </w:p>
    <w:p>
      <w:r>
        <w:rPr>
          <w:b/>
          <w:sz w:val="19"/>
        </w:rPr>
        <w:t xml:space="preserve">Übertragbarkeit: </w:t>
      </w:r>
      <w:r>
        <w:rPr>
          <w:sz w:val="19"/>
        </w:rPr>
        <w:t>Norwegen, steuerfinanziertes System, mittel übertragbar für Fragen zur Versorgungsstruktur und Partizipation</w:t>
      </w:r>
    </w:p>
    <w:p>
      <w:r>
        <w:rPr>
          <w:color w:val="5A7D3A"/>
          <w:sz w:val="18"/>
        </w:rPr>
        <w:t>https://pubmed.ncbi.nlm.nih.gov/42613606/</w:t>
      </w:r>
    </w:p>
    <w:p>
      <w:pPr>
        <w:pStyle w:val="Heading1"/>
      </w:pPr>
      <w:r>
        <w:t>Aufgenommen am 19.08.2026</w:t>
      </w:r>
    </w:p>
    <w:p>
      <w:pPr>
        <w:pStyle w:val="Heading2"/>
      </w:pPr>
      <w:r>
        <w:t>Diagnostische Genauigkeit des PHQ-9 in der hausärztlichen Praxis bei Patienten mit Depressionsrisiken</w:t>
      </w:r>
    </w:p>
    <w:p>
      <w:r>
        <w:rPr>
          <w:i/>
          <w:color w:val="666666"/>
          <w:sz w:val="18"/>
        </w:rPr>
        <w:t>Thake M et al.  ·  Gen Hosp Psychiatry  ·  13.08.2026  ·  PMID 42612565</w:t>
      </w:r>
    </w:p>
    <w:p>
      <w:r>
        <w:t>Studie zur diagnostischen Genauigkeit des PHQ-9 für die Erkennung von Major Depression bei Hausarztpatienten mit unterschiedlichen Depressionsrisikofaktoren.</w:t>
      </w:r>
    </w:p>
    <w:p>
      <w:r>
        <w:rPr>
          <w:b/>
        </w:rPr>
        <w:t xml:space="preserve">Ergebnis: </w:t>
      </w:r>
      <w:r>
        <w:t>PHQ-9 zeigte hohe diagnostische Genauigkeit (AUC 0,92–0,97) in Primärversorgung. Optimal-Cutoffs variierten je nach Risikofaktoren (7–13 Punkte). Sensitivität 0,78–0,99; Spezifität 0,80–0,91; NPW 0,80–0,99. Ergebnisse unterstützen risikoadaptiertes Screening mittels PHQ-9 in der Hausarztpraxis.</w:t>
      </w:r>
    </w:p>
    <w:p>
      <w:r>
        <w:rPr>
          <w:b/>
          <w:sz w:val="19"/>
        </w:rPr>
        <w:t xml:space="preserve">Übertragbarkeit: </w:t>
      </w:r>
      <w:r>
        <w:rPr>
          <w:sz w:val="19"/>
        </w:rPr>
        <w:t>Deutsche Routinedaten aus Primärversorgung, gesetzlich Versicherte</w:t>
      </w:r>
    </w:p>
    <w:p>
      <w:r>
        <w:rPr>
          <w:color w:val="5A7D3A"/>
          <w:sz w:val="18"/>
        </w:rPr>
        <w:t>https://pubmed.ncbi.nlm.nih.gov/42612565/</w:t>
      </w:r>
    </w:p>
    <w:p>
      <w:pPr>
        <w:pStyle w:val="Heading2"/>
      </w:pPr>
      <w:r>
        <w:t>PROMIS GH-10 als Patient-Reported Outcome Maß in Rehabilitationskliniken: Mixed-Methods-Studie zur Implementierungseignung</w:t>
      </w:r>
    </w:p>
    <w:p>
      <w:r>
        <w:rPr>
          <w:i/>
          <w:color w:val="666666"/>
          <w:sz w:val="18"/>
        </w:rPr>
        <w:t>Utsch M et al.  ·  BMC Health Serv Res  ·  12.08.2026  ·  PMID 42608694</w:t>
      </w:r>
    </w:p>
    <w:p>
      <w:r>
        <w:t>Erprobung des PROMIS GH-10 zur Messung patientenberichteter Gesundheitsergebnisse in stationärer Schweizer Rehabilitation mit Fokus auf Responsivität und praktische Umsetzbarkeit.</w:t>
      </w:r>
    </w:p>
    <w:p>
      <w:r>
        <w:rPr>
          <w:b/>
        </w:rPr>
        <w:t xml:space="preserve">Ergebnis: </w:t>
      </w:r>
      <w:r>
        <w:t>2.083 Patienten, 1.217 vollständige Messungen. Signifikante Verbesserungen: Physische Gesundheit d=0,68 (p&lt;0,001); Psychische Gesundheit d=0,48 (p&lt;0,001). Effektstärken je Setting 0,50–0,95 bzw. 0,33–1,19. 41% der Patienten brauchten Unterstützung. Barrieren: Unsicherheit über Nutzen, fehlende Ressourcen. PROMIS GH-10 zeigte adäquate Responsivität.</w:t>
      </w:r>
    </w:p>
    <w:p>
      <w:r>
        <w:rPr>
          <w:b/>
          <w:sz w:val="19"/>
        </w:rPr>
        <w:t xml:space="preserve">Übertragbarkeit: </w:t>
      </w:r>
      <w:r>
        <w:rPr>
          <w:sz w:val="19"/>
        </w:rPr>
        <w:t>Schweiz, Sozialversicherungssystem, direkt auf deutsches System übertragbar</w:t>
      </w:r>
    </w:p>
    <w:p>
      <w:r>
        <w:rPr>
          <w:color w:val="5A7D3A"/>
          <w:sz w:val="18"/>
        </w:rPr>
        <w:t>https://pubmed.ncbi.nlm.nih.gov/42608694/</w:t>
      </w:r>
    </w:p>
    <w:p>
      <w:pPr>
        <w:pStyle w:val="Heading2"/>
      </w:pPr>
      <w:r>
        <w:t>Kosten-Nutzen-Parameter für Magnet®-Zertifizierung in deutschen Krankenhäusern</w:t>
      </w:r>
    </w:p>
    <w:p>
      <w:r>
        <w:rPr>
          <w:i/>
          <w:color w:val="666666"/>
          <w:sz w:val="18"/>
        </w:rPr>
        <w:t>Gurisch C et al.  ·  BMC Health Serv Res  ·  12.08.2026  ·  PMID 42608687</w:t>
      </w:r>
    </w:p>
    <w:p>
      <w:r>
        <w:t>Analyse relevanter Parameter für eine Kosten-Nutzen-Analyse der Magnet®-Designation (Organisationsintervention zur Verbesserung der Pflegefachkräftearbeitsbedingungen) im deutschen Kontext.</w:t>
      </w:r>
    </w:p>
    <w:p>
      <w:r>
        <w:rPr>
          <w:b/>
        </w:rPr>
        <w:t xml:space="preserve">Ergebnis: </w:t>
      </w:r>
      <w:r>
        <w:t>Potenzielle Kosten: ANCC-Gebühren, Benchmarking, Fortbildungen, Ressourcen und Datenverwaltung. Kostenersparnisse durch: Verbesserung pflegefachkraftsensibler Indikatoren, Personalindikatoren, Krankenhausleistung. Für Deutschland zusätzlich relevant: Kosten der Akademisierung von Pflegekräften und Datenmanagement. Erhebliche Datenlücken bremsen aktuelle Kosten-Nutzen-Analyse.</w:t>
      </w:r>
    </w:p>
    <w:p>
      <w:r>
        <w:rPr>
          <w:b/>
          <w:sz w:val="19"/>
        </w:rPr>
        <w:t xml:space="preserve">Übertragbarkeit: </w:t>
      </w:r>
      <w:r>
        <w:rPr>
          <w:sz w:val="19"/>
        </w:rPr>
        <w:t>Deutschland, deutsches Krankenhaussystem; deutsche Stakeholder-Interviews</w:t>
      </w:r>
    </w:p>
    <w:p>
      <w:r>
        <w:rPr>
          <w:color w:val="5A7D3A"/>
          <w:sz w:val="18"/>
        </w:rPr>
        <w:t>https://pubmed.ncbi.nlm.nih.gov/42608687/</w:t>
      </w:r>
    </w:p>
    <w:p>
      <w:pPr>
        <w:pStyle w:val="Heading2"/>
      </w:pPr>
      <w:r>
        <w:t>Erfahrungen von Nutzern mit Kriseninterventionen und Peer-Support in der Psychiatrie: qualitative Studie</w:t>
      </w:r>
    </w:p>
    <w:p>
      <w:r>
        <w:rPr>
          <w:i/>
          <w:color w:val="666666"/>
          <w:sz w:val="18"/>
        </w:rPr>
        <w:t>Oeltjen LK et al.  ·  BMC Health Serv Res  ·  11.08.2026  ·  PMID 42608682</w:t>
      </w:r>
    </w:p>
    <w:p>
      <w:r>
        <w:t>Qualitative Studie über Erfahrungen von Menschen mit schweren psychischen Erkrankungen während psychiatrischer Kriseninterventionen mit oder ohne Peer-Unterstützung.</w:t>
      </w:r>
    </w:p>
    <w:p>
      <w:r>
        <w:rPr>
          <w:b/>
        </w:rPr>
        <w:t xml:space="preserve">Ergebnis: </w:t>
      </w:r>
      <w:r>
        <w:t>25 Interviews. Als hilfreich erlebt: empathisches Zuhören, ruhige Kommunikation, transparente Erklärungen, Partizipation in Entscheidungen. Als belastend: konfrontative Kommunikation, unzureichende Information. Peer-Support: überwiegend positiv wahrgenommen wegen Authentizität und Hoffnungsgebung. Erfahrungen mit Polizei ambivalent. Strukturfaktoren (Kontinuität, Warteumgebung) prägten Erlebnis.</w:t>
      </w:r>
    </w:p>
    <w:p>
      <w:r>
        <w:rPr>
          <w:b/>
          <w:sz w:val="19"/>
        </w:rPr>
        <w:t xml:space="preserve">Übertragbarkeit: </w:t>
      </w:r>
      <w:r>
        <w:rPr>
          <w:sz w:val="19"/>
        </w:rPr>
        <w:t>Deutschland (Bremen), deutsches Sektor-Setting der Psychiatrie; qualitativ hochrelevant</w:t>
      </w:r>
    </w:p>
    <w:p>
      <w:r>
        <w:rPr>
          <w:color w:val="5A7D3A"/>
          <w:sz w:val="18"/>
        </w:rPr>
        <w:t>https://pubmed.ncbi.nlm.nih.gov/42608682/</w:t>
      </w:r>
    </w:p>
    <w:p>
      <w:pPr>
        <w:pStyle w:val="Heading2"/>
      </w:pPr>
      <w:r>
        <w:t>Vorhersagefaktoren von Überzeugungen zu Antipsychotika bei Psychosestörungen: longitudinale Beobachtungsstudie</w:t>
      </w:r>
    </w:p>
    <w:p>
      <w:r>
        <w:rPr>
          <w:i/>
          <w:color w:val="666666"/>
          <w:sz w:val="18"/>
        </w:rPr>
        <w:t>Skaare-Fatland K et al.  ·  Patient Prefer Adherence  ·  12.08.2026  ·  PMID 42605315</w:t>
      </w:r>
    </w:p>
    <w:p>
      <w:r>
        <w:t>Longitudinale Studie über Faktoren, die Notwendigkeits- und Besorgnis-Überzeugungen bezüglich antipsychotischer Medikamente bei psychotischen Störungen vorhersagen (12-Monats-Follow-up).</w:t>
      </w:r>
    </w:p>
    <w:p>
      <w:r>
        <w:rPr>
          <w:b/>
        </w:rPr>
        <w:t xml:space="preserve">Ergebnis: </w:t>
      </w:r>
      <w:r>
        <w:t>Baseline (N=310): Höhere Medikations-Unterstützung assoziiert mit höheren Notwendigkeits-Scores (β=0,18; 95% KI 0,04–0,33) und niedriger Besorgnis (β=-0,29; 95% KI -0,42 bis -0,16). Nach 12 Monaten: Notwendigkeits-Scores fielen (β=-0,35; 95% KI -0,60 bis -0,11), Besorgnis stiegen (β=0,25; 95% KI 0,05–0,45). Höhere Symptombelastung und Nebenwirkungen mit höherer Besorgnis assoziiert.</w:t>
      </w:r>
    </w:p>
    <w:p>
      <w:r>
        <w:rPr>
          <w:b/>
          <w:sz w:val="19"/>
        </w:rPr>
        <w:t xml:space="preserve">Übertragbarkeit: </w:t>
      </w:r>
      <w:r>
        <w:rPr>
          <w:sz w:val="19"/>
        </w:rPr>
        <w:t>Skandinavien (Norwegen), steuerfinanziert; Prozesse und Patientenperspektive relevant</w:t>
      </w:r>
    </w:p>
    <w:p>
      <w:r>
        <w:rPr>
          <w:color w:val="5A7D3A"/>
          <w:sz w:val="18"/>
        </w:rPr>
        <w:t>https://pubmed.ncbi.nlm.nih.gov/42605315/</w:t>
      </w:r>
    </w:p>
    <w:p>
      <w:pPr>
        <w:pStyle w:val="Heading1"/>
      </w:pPr>
      <w:r>
        <w:t>Aufgenommen am 18.08.2026</w:t>
      </w:r>
    </w:p>
    <w:p>
      <w:pPr>
        <w:pStyle w:val="Heading2"/>
      </w:pPr>
      <w:r>
        <w:t>Genomische Testung in der Nephrologie: Mainstreaming als effektives Versorgungsmodell</w:t>
      </w:r>
    </w:p>
    <w:p>
      <w:r>
        <w:rPr>
          <w:i/>
          <w:color w:val="666666"/>
          <w:sz w:val="18"/>
        </w:rPr>
        <w:t>Jayasinghe K et al.  ·  Clin J Am Soc Nephrol  ·  17.08.2026  ·  PMID 42606900</w:t>
      </w:r>
    </w:p>
    <w:p>
      <w:r>
        <w:t>Beobachtungsstudie an vier Zentren zur Evaluierung eines "hub and spoke"-Modells für genomische Testung bei Nierenkrankheiten mit Schulung niedergelassener Nephrologen.</w:t>
      </w:r>
    </w:p>
    <w:p>
      <w:r>
        <w:rPr>
          <w:b/>
        </w:rPr>
        <w:t xml:space="preserve">Ergebnis: </w:t>
      </w:r>
      <w:r>
        <w:t>1.028 genomische Tests wurden durchgeführt (diagnostische Ausbeute 34%); ähnlich erfolgreich in Zentren (32%) und bei lokalen Nephrologen (38%). Der Anteil der Tests in Mainstream-Nephrologie-Settings stieg von 23% auf 74%, während die Absolutzahlen in Spezialkliniken stabil blieben.</w:t>
      </w:r>
    </w:p>
    <w:p>
      <w:r>
        <w:rPr>
          <w:b/>
          <w:sz w:val="19"/>
        </w:rPr>
        <w:t xml:space="preserve">Übertragbarkeit: </w:t>
      </w:r>
      <w:r>
        <w:rPr>
          <w:sz w:val="19"/>
        </w:rPr>
        <w:t>Australische Daten, aber Implementierungsrahmen systemunabhängig auf deutsches Versorgungssystem übertragbar</w:t>
      </w:r>
    </w:p>
    <w:p>
      <w:r>
        <w:rPr>
          <w:color w:val="5A7D3A"/>
          <w:sz w:val="18"/>
        </w:rPr>
        <w:t>https://pubmed.ncbi.nlm.nih.gov/42606900/</w:t>
      </w:r>
    </w:p>
    <w:p>
      <w:pPr>
        <w:pStyle w:val="Heading2"/>
      </w:pPr>
      <w:r>
        <w:t>Sicherheit von Antikonvulsiva unter direkten oralen Antikoagulanzien bei Epilepsie</w:t>
      </w:r>
    </w:p>
    <w:p>
      <w:r>
        <w:rPr>
          <w:i/>
          <w:color w:val="666666"/>
          <w:sz w:val="18"/>
        </w:rPr>
        <w:t>Schubert KM et al.  ·  JAMA Neurol  ·  17.08.2026  ·  PMID 42606848</w:t>
      </w:r>
    </w:p>
    <w:p>
      <w:r>
        <w:t>Retrospektive Kohortenstudie mit TriNetX-Daten zu Thromboembolie-, Blutungs- und Mortalitätsrisiken verschiedener Antikonvulsiva bei Epilepsiepatienten unter DOAC-Therapie.</w:t>
      </w:r>
    </w:p>
    <w:p>
      <w:r>
        <w:rPr>
          <w:b/>
        </w:rPr>
        <w:t xml:space="preserve">Ergebnis: </w:t>
      </w:r>
      <w:r>
        <w:t>Levetiracetam war mit erhöhtem thromboembolischem Risiko assoziiert (HR 1,98; 95% CI 1,37–2,87) und höherer Mortalität (HR 1,60; 95% CI 1,23–2,08). Starke Enzym-induzierende ASMs zeigten erhöhtes thromboembolisches Risiko (HR 1,55), aber niedrigere Blutungsrate (HR 0,62).</w:t>
      </w:r>
    </w:p>
    <w:p>
      <w:r>
        <w:rPr>
          <w:b/>
          <w:sz w:val="19"/>
        </w:rPr>
        <w:t xml:space="preserve">Übertragbarkeit: </w:t>
      </w:r>
      <w:r>
        <w:rPr>
          <w:sz w:val="19"/>
        </w:rPr>
        <w:t>Internationale TriNetX-Daten, Arzneisicherheit-Fragestellung systemunabhängig relevant</w:t>
      </w:r>
    </w:p>
    <w:p>
      <w:r>
        <w:rPr>
          <w:color w:val="5A7D3A"/>
          <w:sz w:val="18"/>
        </w:rPr>
        <w:t>https://pubmed.ncbi.nlm.nih.gov/42606848/</w:t>
      </w:r>
    </w:p>
    <w:p>
      <w:pPr>
        <w:pStyle w:val="Heading1"/>
      </w:pPr>
      <w:r>
        <w:t>Aufgenommen am 17.08.2026</w:t>
      </w:r>
    </w:p>
    <w:p>
      <w:pPr>
        <w:pStyle w:val="Heading2"/>
      </w:pPr>
      <w:r>
        <w:t>Expansion von Telehealth-Regelungen in US-Medicaid-Programmen 2018–2023: Legal-Mapping-Studie</w:t>
      </w:r>
    </w:p>
    <w:p>
      <w:r>
        <w:rPr>
          <w:i/>
          <w:color w:val="666666"/>
          <w:sz w:val="18"/>
        </w:rPr>
        <w:t>Leung LB et al.  ·  Milbank Q  ·  16.08.2026  ·  PMID 42604452</w:t>
      </w:r>
    </w:p>
    <w:p>
      <w:r>
        <w:t>50-Staaten-Analyse zur Adoption von Telehealth-Richtlinien in Medicaid-Programmen und deren mögliche Einflussfaktoren.</w:t>
      </w:r>
    </w:p>
    <w:p>
      <w:r>
        <w:rPr>
          <w:b/>
        </w:rPr>
        <w:t xml:space="preserve">Ergebnis: </w:t>
      </w:r>
      <w:r>
        <w:t>Durchschnittlich 2,7 Telehealth-Richtlinien je Bundesstaat (SD 1,4); Audiotelefonie in 43 Staaten eingeführt; schnellste Adoption 2020–2021; Adoption unabhängig von Ländlichkeit, Fachkräftemangel, Medicaid-Expansion oder Internetverfügbarkeit (alle p ≥ 0,07).</w:t>
      </w:r>
    </w:p>
    <w:p>
      <w:r>
        <w:rPr>
          <w:b/>
          <w:sz w:val="19"/>
        </w:rPr>
        <w:t xml:space="preserve">Übertragbarkeit: </w:t>
      </w:r>
      <w:r>
        <w:rPr>
          <w:sz w:val="19"/>
        </w:rPr>
        <w:t>Nur bedingt: US-Medicaid-System, Fragestellung aber systemunabhängig</w:t>
      </w:r>
    </w:p>
    <w:p>
      <w:r>
        <w:rPr>
          <w:color w:val="5A7D3A"/>
          <w:sz w:val="18"/>
        </w:rPr>
        <w:t>https://pubmed.ncbi.nlm.nih.gov/42604452/</w:t>
      </w:r>
    </w:p>
    <w:p>
      <w:pPr>
        <w:pStyle w:val="Heading2"/>
      </w:pPr>
      <w:r>
        <w:t>Reale Effektivität und Sicherheit von Lebrikizumab bei atopischer Dermatitis: TREATgermany-Registerdaten</w:t>
      </w:r>
    </w:p>
    <w:p>
      <w:r>
        <w:rPr>
          <w:i/>
          <w:color w:val="666666"/>
          <w:sz w:val="18"/>
        </w:rPr>
        <w:t>Kind B et al.  ·  Acta Derm Venereol  ·  13.08.2026  ·  PMID 42593155</w:t>
      </w:r>
    </w:p>
    <w:p>
      <w:r>
        <w:t>Prospektive Evaluierung von Lebrikizumab (IL-13-Inhibitor) bei atopischer Dermatitis in deutschen Dermatologie-Praxen mit Effectiveness-Daten zur Routineversorgung.</w:t>
      </w:r>
    </w:p>
    <w:p>
      <w:r>
        <w:rPr>
          <w:b/>
        </w:rPr>
        <w:t xml:space="preserve">Ergebnis: </w:t>
      </w:r>
      <w:r>
        <w:t>80 Patienten mit Follow-up; EASI-Score sank von Baseline 14,8 auf 5,6 (Monat 3) und 3,0 (Monat 6); PP-NRS von 6,6 auf 3,8 und 3,4; DLQI von 11,9 auf 4,9 und 4,8; Nebenwirkungen bei 26,6 % (Konjunktivitis 20,3 %); EASI-75 in Kohorte mit EASI≥16 bei 60 % (M3) und 70 % (M6).</w:t>
      </w:r>
    </w:p>
    <w:p>
      <w:r>
        <w:rPr>
          <w:b/>
          <w:sz w:val="19"/>
        </w:rPr>
        <w:t xml:space="preserve">Übertragbarkeit: </w:t>
      </w:r>
      <w:r>
        <w:rPr>
          <w:sz w:val="19"/>
        </w:rPr>
        <w:t>Deutsche Routinedaten (TREATgermany-Registry)</w:t>
      </w:r>
    </w:p>
    <w:p>
      <w:r>
        <w:rPr>
          <w:color w:val="5A7D3A"/>
          <w:sz w:val="18"/>
        </w:rPr>
        <w:t>https://pubmed.ncbi.nlm.nih.gov/42593155/</w:t>
      </w:r>
    </w:p>
    <w:p>
      <w:pPr>
        <w:pStyle w:val="Heading2"/>
      </w:pPr>
      <w:r>
        <w:t>Mortalität von Hirntumor-Patienten in zertifizierten Onkologiezentren versus Nicht-Zentren: Deutschland</w:t>
      </w:r>
    </w:p>
    <w:p>
      <w:r>
        <w:rPr>
          <w:i/>
          <w:color w:val="666666"/>
          <w:sz w:val="18"/>
        </w:rPr>
        <w:t>Seliger C et al.  ·  Cancer Treat Res Commun  ·  11.08.2026  ·  PMID 42580197</w:t>
      </w:r>
    </w:p>
    <w:p>
      <w:r>
        <w:t>Kohortenstudie mit 62.735 GKV-Patienten und 5.196 Patienten aus klinischen Krebsregistern zu Überleben nach Behandlung in zertifizierten vs. nicht-zertifizierten Krankenhäusern.</w:t>
      </w:r>
    </w:p>
    <w:p>
      <w:r>
        <w:rPr>
          <w:b/>
        </w:rPr>
        <w:t xml:space="preserve">Ergebnis: </w:t>
      </w:r>
      <w:r>
        <w:t>91,9 % der SHI-Patienten nicht in neuro-onkologischen Zentren behandelt; adjustierte Cox-Regression zeigte verbessertes Gesamtüberleben in zertifizierten Zentren (HR SHI 0,93, 95%-KI 0,86–1,00; HR KKR 0,84, 95%-KI 0,76–0,93); ältere Patienten und höhere WHO-Grade profilierten besonders.</w:t>
      </w:r>
    </w:p>
    <w:p>
      <w:r>
        <w:rPr>
          <w:b/>
          <w:sz w:val="19"/>
        </w:rPr>
        <w:t xml:space="preserve">Übertragbarkeit: </w:t>
      </w:r>
      <w:r>
        <w:rPr>
          <w:sz w:val="19"/>
        </w:rPr>
        <w:t>Deutsche Routinedaten, gesetzlich Versicherte + Krebsregister</w:t>
      </w:r>
    </w:p>
    <w:p>
      <w:r>
        <w:rPr>
          <w:color w:val="5A7D3A"/>
          <w:sz w:val="18"/>
        </w:rPr>
        <w:t>https://pubmed.ncbi.nlm.nih.gov/42580197/</w:t>
      </w:r>
    </w:p>
    <w:p>
      <w:pPr>
        <w:pStyle w:val="Heading1"/>
      </w:pPr>
      <w:r>
        <w:t>Aufgenommen am 16.08.2026</w:t>
      </w:r>
    </w:p>
    <w:p>
      <w:pPr>
        <w:pStyle w:val="Heading2"/>
      </w:pPr>
      <w:r>
        <w:t>Arbeitsbedingungen und psychische Gesundheit bei Ärztinnen und Ärzten sowie Pflegekräften in der EU: Querschnittsstudie</w:t>
      </w:r>
    </w:p>
    <w:p>
      <w:r>
        <w:rPr>
          <w:i/>
          <w:color w:val="666666"/>
          <w:sz w:val="18"/>
        </w:rPr>
        <w:t>Mediavilla R et al.  ·  Lancet Reg Health Eur  ·  08.08.2026  ·  PMID 42604020</w:t>
      </w:r>
    </w:p>
    <w:p>
      <w:r>
        <w:t>Die Studie untersuchte Zusammenhänge zwischen Arbeitsbedingungen und psychischer Gesundheit bei 90.171 Gesundheitsberuflern aus 28 EU-Staaten, Island und Norwegen im Zeitraum Oktober 2024 bis April 2025.</w:t>
      </w:r>
    </w:p>
    <w:p>
      <w:r>
        <w:rPr>
          <w:b/>
        </w:rPr>
        <w:t xml:space="preserve">Ergebnis: </w:t>
      </w:r>
      <w:r>
        <w:t>30% zeigten depressive Symptome, 23% Angstsymptome, 13% suizidale Gedanken. Physische Gewalt betraf 10% der Ärzte und 18% der Pflegekräfte. Ungünstige Arbeitsbedingungen korreliertten mit schlechterer psychischer Gesundheit (adjustierte Prävalenzratios 0,98-1,94), während Jobressourcen positive Effekte zeigten (PR 1,06-0,56).</w:t>
      </w:r>
    </w:p>
    <w:p>
      <w:r>
        <w:rPr>
          <w:b/>
          <w:sz w:val="19"/>
        </w:rPr>
        <w:t xml:space="preserve">Übertragbarkeit: </w:t>
      </w:r>
      <w:r>
        <w:rPr>
          <w:sz w:val="19"/>
        </w:rPr>
        <w:t>Europäische Daten, systemisch vergleichbar mit Deutschland</w:t>
      </w:r>
    </w:p>
    <w:p>
      <w:r>
        <w:rPr>
          <w:color w:val="5A7D3A"/>
          <w:sz w:val="18"/>
        </w:rPr>
        <w:t>https://pubmed.ncbi.nlm.nih.gov/42604020/</w:t>
      </w:r>
    </w:p>
    <w:p>
      <w:pPr>
        <w:pStyle w:val="Heading2"/>
      </w:pPr>
      <w:r>
        <w:t>Tage zu Hause nach Herzinsuffizienzspitalisierung in Singapur: Trends und Equity 2011-2019</w:t>
      </w:r>
    </w:p>
    <w:p>
      <w:r>
        <w:rPr>
          <w:i/>
          <w:color w:val="666666"/>
          <w:sz w:val="18"/>
        </w:rPr>
        <w:t>Liu S et al.  ·  Circ Popul Health Outcomes  ·  14.08.2026  ·  PMID 42596879</w:t>
      </w:r>
    </w:p>
    <w:p>
      <w:r>
        <w:t>Die Studie untersuchte zeitliche Trends in Days Alive and Out of Hospital (DAOH) nach erster Hospitalisierung wegen Herzinsuffizienz mit reduzierter Auswurffraktion und prüfte Unterschiede zwischen Altersgruppen, Geschlecht und Ethnizität.</w:t>
      </w:r>
    </w:p>
    <w:p>
      <w:r>
        <w:rPr>
          <w:b/>
        </w:rPr>
        <w:t xml:space="preserve">Ergebnis: </w:t>
      </w:r>
      <w:r>
        <w:t>Von 10.147 Patienten (Medianalter 68,9 Jahre; 31,5% weiblich) verbesserte sich die 1-Jahres-DAOH von 291,7 auf 301,0 Tage (1,16 Tage pro Jahr; p&lt;0,001), während 30-Tage-DAOH stabil blieb (p=0,554). Die Rückgangsraten bei herzinsuffizienzbedingten Readmissionen waren bei Männern steiler als bei Frauen. 1-Jahres-DAOH-Gewinne waren bei Patienten malaiischer Abstammung größer als bei chinesischen Patienten.</w:t>
      </w:r>
    </w:p>
    <w:p>
      <w:r>
        <w:rPr>
          <w:color w:val="5A7D3A"/>
          <w:sz w:val="18"/>
        </w:rPr>
        <w:t>https://pubmed.ncbi.nlm.nih.gov/42596879/</w:t>
      </w:r>
    </w:p>
    <w:p>
      <w:pPr>
        <w:pStyle w:val="Heading2"/>
      </w:pPr>
      <w:r>
        <w:t>Chirurgische Therapie bei Pankreaskarzinom im Alter ≥80 Jahren: Nutzen-Risiko-Analyse</w:t>
      </w:r>
    </w:p>
    <w:p>
      <w:r>
        <w:rPr>
          <w:i/>
          <w:color w:val="666666"/>
          <w:sz w:val="18"/>
        </w:rPr>
        <w:t>von Fritsch L et al.  ·  Cancers (Basel)  ·  28.07.2026  ·  PMID 42588642</w:t>
      </w:r>
    </w:p>
    <w:p>
      <w:r>
        <w:t>Vergleichende Analyse von 3016 Pankreaskarzinom-Patienten (≤65 Jahre: n=944; 66-79 Jahre: n=1535; ≥80 Jahre: n=537) aus deutschen Krebsregistern 2015-2023 bezüglich Behandlungsmuster und Überleben.</w:t>
      </w:r>
    </w:p>
    <w:p>
      <w:r>
        <w:rPr>
          <w:b/>
        </w:rPr>
        <w:t xml:space="preserve">Ergebnis: </w:t>
      </w:r>
      <w:r>
        <w:t>Anteil Patienten ≥80 Jahre stieg von 15% (2015) auf 32% (2023). 24% der operierten Oktogenare erhielten adjuvante Chemotherapie. Overall Survival und disease-free Survival waren schlechter als in jüngeren Kohorten. Oktogenare mit alleiniger Operation oder Chemotherapie hatten vergleichbare Überlebensraten wie palliativ behandelte Patienten.</w:t>
      </w:r>
    </w:p>
    <w:p>
      <w:r>
        <w:rPr>
          <w:b/>
          <w:sz w:val="19"/>
        </w:rPr>
        <w:t xml:space="preserve">Übertragbarkeit: </w:t>
      </w:r>
      <w:r>
        <w:rPr>
          <w:sz w:val="19"/>
        </w:rPr>
        <w:t>Deutsche Krebsregisterdaten, gesetzlich Versicherte</w:t>
      </w:r>
    </w:p>
    <w:p>
      <w:r>
        <w:rPr>
          <w:color w:val="5A7D3A"/>
          <w:sz w:val="18"/>
        </w:rPr>
        <w:t>https://pubmed.ncbi.nlm.nih.gov/42588642/</w:t>
      </w:r>
    </w:p>
    <w:p>
      <w:pPr>
        <w:pStyle w:val="Heading2"/>
      </w:pPr>
      <w:r>
        <w:t>Erlebte integrierte Versorgung für Kinder mit Sonderbedarf in Deutschland: PART-CHILD-Kohortenstudie</w:t>
      </w:r>
    </w:p>
    <w:p>
      <w:r>
        <w:rPr>
          <w:i/>
          <w:color w:val="666666"/>
          <w:sz w:val="18"/>
        </w:rPr>
        <w:t>Bohnert K et al.  ·  BMC Health Serv Res  ·  08.08.2026  ·  PMID 42576220</w:t>
      </w:r>
    </w:p>
    <w:p>
      <w:r>
        <w:t>Querschnittsanalyse von 459 Betreuungspersonen von Kindern mit Sonderbedarf zu ihrer Erfahrung mit integrierten Versorgungsangeboten und Zusammenhänge mit soziodemografischen, gesundheits- und netzwerkbezogenen Faktoren.</w:t>
      </w:r>
    </w:p>
    <w:p>
      <w:r>
        <w:rPr>
          <w:b/>
        </w:rPr>
        <w:t xml:space="preserve">Ergebnis: </w:t>
      </w:r>
      <w:r>
        <w:t>Durchschnittliche Bewertung Teamqualität/Kommunikation 4,1±1,1 (Skala bis 9), Aufmerksamkeit für Familienbelastung 2,3±1,1. Höhere unmet needs assoziiert mit niedrigerer Teamqualität (≥5 unmet needs: β=-0,83; 95%-KI -1,28 bis -0,38). Größere Versorgungsnetzwerke (6-10 Anbieter) positiv mit Familienaufmerksamkeit (β=0,38; 95%-KI 0,07-0,70).</w:t>
      </w:r>
    </w:p>
    <w:p>
      <w:r>
        <w:rPr>
          <w:b/>
          <w:sz w:val="19"/>
        </w:rPr>
        <w:t xml:space="preserve">Übertragbarkeit: </w:t>
      </w:r>
      <w:r>
        <w:rPr>
          <w:sz w:val="19"/>
        </w:rPr>
        <w:t>Deutsche Daten, gesetzlich versicherte Bevölkerung</w:t>
      </w:r>
    </w:p>
    <w:p>
      <w:r>
        <w:rPr>
          <w:color w:val="5A7D3A"/>
          <w:sz w:val="18"/>
        </w:rPr>
        <w:t>https://pubmed.ncbi.nlm.nih.gov/42576220/</w:t>
      </w:r>
    </w:p>
    <w:p>
      <w:pPr>
        <w:pStyle w:val="Heading1"/>
      </w:pPr>
      <w:r>
        <w:t>Aufgenommen am 15.08.2026</w:t>
      </w:r>
    </w:p>
    <w:p>
      <w:pPr>
        <w:pStyle w:val="Heading2"/>
      </w:pPr>
      <w:r>
        <w:t>Elektrische Kardioversion bei Vorhofflimmern: nationale Trends in Dänemark 2010-2022</w:t>
      </w:r>
    </w:p>
    <w:p>
      <w:r>
        <w:rPr>
          <w:i/>
          <w:color w:val="666666"/>
          <w:sz w:val="18"/>
        </w:rPr>
        <w:t>Frost L et al.  ·  Open Heart  ·  14.08.2026  ·  PMID 42601168</w:t>
      </w:r>
    </w:p>
    <w:p>
      <w:r>
        <w:t>Die Studie untersuchte zeitliche Trends in der Nutzung von elektrischer Kardioversion bei Patienten mit Vorhofflimmern in Dänemark über 12 Jahre.</w:t>
      </w:r>
    </w:p>
    <w:p>
      <w:r>
        <w:rPr>
          <w:b/>
        </w:rPr>
        <w:t xml:space="preserve">Ergebnis: </w:t>
      </w:r>
      <w:r>
        <w:t>Die Gesamtzahl der Kardioversionen pro Jahr stieg von 2204 (2010) auf 8300 (2022) um das Vierfache; die altersadjustierte und geschlechterstandardisierte Rate sank jedoch von 449,5 auf 316,6 pro 1000 Personenjahre im ersten Jahr nach Diagnose, was auf eine gezieltere Einsatzweise hindeutet.</w:t>
      </w:r>
    </w:p>
    <w:p>
      <w:r>
        <w:rPr>
          <w:color w:val="5A7D3A"/>
          <w:sz w:val="18"/>
        </w:rPr>
        <w:t>https://pubmed.ncbi.nlm.nih.gov/42601168/</w:t>
      </w:r>
    </w:p>
    <w:p>
      <w:pPr>
        <w:pStyle w:val="Heading2"/>
      </w:pPr>
      <w:r>
        <w:t>Machbarkeit von S-Patch versus 24-Stunden-Holter bei älteren Erwachsenen mit Stürzen: randomisierte Crossover-Pilotstudie</w:t>
      </w:r>
    </w:p>
    <w:p>
      <w:r>
        <w:rPr>
          <w:i/>
          <w:color w:val="666666"/>
          <w:sz w:val="18"/>
        </w:rPr>
        <w:t>Rosario B et al.  ·  JMIR Rehabil Assist Technol  ·  14.08.2026  ·  PMID 42600137</w:t>
      </w:r>
    </w:p>
    <w:p>
      <w:r>
        <w:t>Die Studie verglich Machbarkeit, Verträglichkeit und Adhärenz eines neuen tragbaren EKG-Geräts (S-Patch) mit Standard-Holter-Monitoring bei älteren Patienten mit Sturzrisiko.</w:t>
      </w:r>
    </w:p>
    <w:p>
      <w:r>
        <w:rPr>
          <w:b/>
        </w:rPr>
        <w:t xml:space="preserve">Ergebnis: </w:t>
      </w:r>
      <w:r>
        <w:t>Bei 70 Patienten (45,7% mit kognitiver Beeinträchtigung) zeigte S-Patch längere durchschnittliche Tragedauer (&gt;60 Stunden, signifikant länger wenn zuerst angewendet: 68,8 vs. 62,9 Stunden; p=0,04) mit vergleichbaren Arrhythmie-Erkennungsraten und guter Verträglichkeit auch bei kognitiv beeinträchtigten Patienten.</w:t>
      </w:r>
    </w:p>
    <w:p>
      <w:r>
        <w:rPr>
          <w:color w:val="5A7D3A"/>
          <w:sz w:val="18"/>
        </w:rPr>
        <w:t>https://pubmed.ncbi.nlm.nih.gov/42600137/</w:t>
      </w:r>
    </w:p>
    <w:p>
      <w:pPr>
        <w:pStyle w:val="Heading2"/>
      </w:pPr>
      <w:r>
        <w:t>Entwicklung konsensbasierter Sicherheits- und Qualitäsindikatoren für sicheren Opioid-Einsatz in Krankenhäusern mittels modifizierter Delphi-Methode</w:t>
      </w:r>
    </w:p>
    <w:p>
      <w:r>
        <w:rPr>
          <w:i/>
          <w:color w:val="666666"/>
          <w:sz w:val="18"/>
        </w:rPr>
        <w:t>Mutashar A et al.  ·  Int J Qual Health Care  ·  14.08.2026  ·  PMID 42599219</w:t>
      </w:r>
    </w:p>
    <w:p>
      <w:r>
        <w:t>Die Studie entwickelte einen Katalog von Indikatoren zur Überwachung der Sicherheit und Qualität des Opioid-Einsatzes in australischen Krankenhäusern durch ein multidisziplinäres Expertengremium.</w:t>
      </w:r>
    </w:p>
    <w:p>
      <w:r>
        <w:rPr>
          <w:b/>
        </w:rPr>
        <w:t xml:space="preserve">Ergebnis: </w:t>
      </w:r>
      <w:r>
        <w:t>Von 34 bewerteten Indikatoren erreichten 17 Konsens für Wichtigkeit und Durchführbarkeit (Antwortquoten: Round 1 91%, Treffen 50%, Round 2 77%), was ein praktikables Werkzeug zur Verbesserung der Opioid-Medikamentensicherheit ermöglicht.</w:t>
      </w:r>
    </w:p>
    <w:p>
      <w:r>
        <w:rPr>
          <w:color w:val="5A7D3A"/>
          <w:sz w:val="18"/>
        </w:rPr>
        <w:t>https://pubmed.ncbi.nlm.nih.gov/42599219/</w:t>
      </w:r>
    </w:p>
    <w:p>
      <w:pPr>
        <w:pStyle w:val="Heading2"/>
      </w:pPr>
      <w:r>
        <w:t>Inzidenz, Ätiologien und Überlebensoutcomes von pädiatrischen außerklinischen Herzstillständen in Singapur</w:t>
      </w:r>
    </w:p>
    <w:p>
      <w:r>
        <w:rPr>
          <w:i/>
          <w:color w:val="666666"/>
          <w:sz w:val="18"/>
        </w:rPr>
        <w:t>Chee DS et al.  ·  Resusc Plus  ·  22.07.2026  ·  PMID 42598112</w:t>
      </w:r>
    </w:p>
    <w:p>
      <w:r>
        <w:t>Die Studie beschrieb Inzidenz, Ursachen und Überlebensraten von Herzstillständen bei Kindern in Singapur von 2010-2021 mittels der PAROS-Registry.</w:t>
      </w:r>
    </w:p>
    <w:p>
      <w:r>
        <w:rPr>
          <w:b/>
        </w:rPr>
        <w:t xml:space="preserve">Ergebnis: </w:t>
      </w:r>
      <w:r>
        <w:t>Von 414 Patienten betrug die Gesamtinzidenz 4,62 pro 100.000 Personenjahre (höchste Rate bei Säuglingen &lt;1 Jahr: 33,5 pro 100.000), Bystander-CPR-Rate 64,5%, häufigste Ursachen Atemwegsobstruktion (21%), Ertrinken (20,2%) und Trauma (18,5%); 30-Tage-Überlebensrate 11,1%, gutes neurologisches Ergebnis (CPC 1-2) 8,0% mit Verbesserung 2019-2021 (aOR 4,34; 95% CI 1,09-17,22; p=0,037).</w:t>
      </w:r>
    </w:p>
    <w:p>
      <w:r>
        <w:rPr>
          <w:color w:val="5A7D3A"/>
          <w:sz w:val="18"/>
        </w:rPr>
        <w:t>https://pubmed.ncbi.nlm.nih.gov/42598112/</w:t>
      </w:r>
    </w:p>
    <w:p>
      <w:pPr>
        <w:pStyle w:val="Heading2"/>
      </w:pPr>
      <w:r>
        <w:t>Rolle von Life's Essential 8 in der Assoziation von Nachtschichtarbeit mit kardiovaskulären Erkrankungen: prospektive UK-Biobank-Kohorte</w:t>
      </w:r>
    </w:p>
    <w:p>
      <w:r>
        <w:rPr>
          <w:i/>
          <w:color w:val="666666"/>
          <w:sz w:val="18"/>
        </w:rPr>
        <w:t>Huang Y et al.  ·  J Glob Health  ·  14.08.2026  ·  PMID 42596889</w:t>
      </w:r>
    </w:p>
    <w:p>
      <w:r>
        <w:t>Die Studie untersuchte die Assoziation zwischen Nachtschichtarbeit und kardiovaskulären Erkrankungen sowie die vermittelnde Rolle des Life's Essential 8-Lebensstilscores bei 131.844 Erwerbstätigen.</w:t>
      </w:r>
    </w:p>
    <w:p>
      <w:r>
        <w:rPr>
          <w:b/>
        </w:rPr>
        <w:t xml:space="preserve">Ergebnis: </w:t>
      </w:r>
      <w:r>
        <w:t>Über einen Median-Follow-up von 13,78 Jahren entwickelten 29,7% kardiovaskuläre Erkrankungen und 4,2% starben; Patienten mit permanenten Nachtschichten hatten erhöhtes Risiko für kardiovaskuläre Erkrankungen (HR=1,24; 95% CI 1,18-1,31), Gesamtmortalität (HR=1,23; 95% CI 1,07-1,41) und Myokardinfarkt (HR=1,29; 95% CI 1,09-1,51); Life's Essential 8 vermittelte 39,2% der kardiovaskulären Assoziation und 33,1% der Mortalität.</w:t>
      </w:r>
    </w:p>
    <w:p>
      <w:r>
        <w:rPr>
          <w:color w:val="5A7D3A"/>
          <w:sz w:val="18"/>
        </w:rPr>
        <w:t>https://pubmed.ncbi.nlm.nih.gov/42596889/</w:t>
      </w:r>
    </w:p>
    <w:p>
      <w:pPr>
        <w:pStyle w:val="Heading2"/>
      </w:pPr>
      <w:r>
        <w:t>Implementierung eines umfassenden Sichelzellzentrums führt zu verbessertem Zugang und reduzierter Notfallversorgung</w:t>
      </w:r>
    </w:p>
    <w:p>
      <w:r>
        <w:rPr>
          <w:i/>
          <w:color w:val="666666"/>
          <w:sz w:val="18"/>
        </w:rPr>
        <w:t>Kanter J et al.  ·  BMC Health Serv Res  ·  24.07.2026  ·  PMID 42596005</w:t>
      </w:r>
    </w:p>
    <w:p>
      <w:r>
        <w:t>Die Studie evaluierte die Auswirkungen der Implementierung eines multidisziplinären erwachsenen Sichelzellzentrums auf Ambulanznutzung und Notfallverlagerung in Alabama.</w:t>
      </w:r>
    </w:p>
    <w:p>
      <w:r>
        <w:rPr>
          <w:b/>
        </w:rPr>
        <w:t xml:space="preserve">Ergebnis: </w:t>
      </w:r>
      <w:r>
        <w:t>Die ambulante Klinikpopulation wuchs um mehr als das Dreifache auf 810 Patienten (2024), Infusions-Therapiebesuche stiegen um das Fünfzehnfache; durchschnittliche acute-care-Besuche pro Person/Jahr sanken signifikant von 2,11 auf 1,26 (p&lt;0,001), während routinemäßige ambulante Besuche von 2,65 auf 5,32 stiegen.</w:t>
      </w:r>
    </w:p>
    <w:p>
      <w:r>
        <w:rPr>
          <w:color w:val="5A7D3A"/>
          <w:sz w:val="18"/>
        </w:rPr>
        <w:t>https://pubmed.ncbi.nlm.nih.gov/42596005/</w:t>
      </w:r>
    </w:p>
    <w:p>
      <w:pPr>
        <w:pStyle w:val="Heading1"/>
      </w:pPr>
      <w:r>
        <w:t>Aufgenommen am 14.08.2026</w:t>
      </w:r>
    </w:p>
    <w:p>
      <w:pPr>
        <w:pStyle w:val="Heading2"/>
      </w:pPr>
      <w:r>
        <w:t>Dokumentationslücke bei eingeschränkter Gelenkbeweglichkeit in Pflegeheimen</w:t>
      </w:r>
    </w:p>
    <w:p>
      <w:r>
        <w:rPr>
          <w:i/>
          <w:color w:val="666666"/>
          <w:sz w:val="18"/>
        </w:rPr>
        <w:t>Austen S et al.  ·  J Am Med Dir Assoc  ·  13.08.2026  ·  PMID 42594509</w:t>
      </w:r>
    </w:p>
    <w:p>
      <w:r>
        <w:t>Die Studie untersuchte die Dokumentation von Gelenkbewegungseinschränkungen und schmerzenden Gelenken bei Pflegeheimbewohnern im Vergleich zur standardisierten klinischen Untersuchung.</w:t>
      </w:r>
    </w:p>
    <w:p>
      <w:r>
        <w:rPr>
          <w:b/>
        </w:rPr>
        <w:t xml:space="preserve">Ergebnis: </w:t>
      </w:r>
      <w:r>
        <w:t>Bei 69% der Bewohner wurde eine eingeschränkte Gelenkbeweglichkeit festgestellt, aber nur in 4% der Fälle dokumentiert. Die Hüftbeweglichkeit war in 51% der Fälle limitiert, wurde aber in keinem Fall dokumentiert. Bewohner mit nicht dokumentierten Bewegungseinschränkungen zeigten signifikant höhere funktionelle Abhängigkeit beim Umlagern (p &lt; 0,001).</w:t>
      </w:r>
    </w:p>
    <w:p>
      <w:r>
        <w:rPr>
          <w:color w:val="5A7D3A"/>
          <w:sz w:val="18"/>
        </w:rPr>
        <w:t>https://pubmed.ncbi.nlm.nih.gov/42594509/</w:t>
      </w:r>
    </w:p>
    <w:p>
      <w:pPr>
        <w:pStyle w:val="Heading2"/>
      </w:pPr>
      <w:r>
        <w:t>Emotionale Belastung durch Alarme bei Diabetes-Technologien</w:t>
      </w:r>
    </w:p>
    <w:p>
      <w:r>
        <w:rPr>
          <w:i/>
          <w:color w:val="666666"/>
          <w:sz w:val="18"/>
        </w:rPr>
        <w:t>Everett E et al.  ·  JMIR Diabetes  ·  13.08.2026  ·  PMID 42594259</w:t>
      </w:r>
    </w:p>
    <w:p>
      <w:r>
        <w:t>Die Studie verglich die Alarmhäufigkeit, emotionale Belastung und Verhaltensreaktionen auf Alarme zwischen Nutzern von kontinuierlichen Glukosemessgeräten, sensorunterstützten Pumpen und automatisierten Insulinabgabesystemen.</w:t>
      </w:r>
    </w:p>
    <w:p>
      <w:r>
        <w:rPr>
          <w:b/>
        </w:rPr>
        <w:t xml:space="preserve">Ergebnis: </w:t>
      </w:r>
      <w:r>
        <w:t>Von 838 Befragten berichteten Nutzer von automatisierten Systemen die höchste Alarmfrequenz (49% mehrmals täglich vs. 35% bzw. 32% in anderen Gruppen, p &lt; 0,001). Nach Adjustment zeigte sich ein erhöhtes Risiko für häufige Alarme (OR 1,98, 95% KI 1,48–2,65) und Überkorrektionen bei niedriger Glukose (OR 1,61, 95% KI 1,20–2,15) bei automatisierten Systemen.</w:t>
      </w:r>
    </w:p>
    <w:p>
      <w:r>
        <w:rPr>
          <w:color w:val="5A7D3A"/>
          <w:sz w:val="18"/>
        </w:rPr>
        <w:t>https://pubmed.ncbi.nlm.nih.gov/42594259/</w:t>
      </w:r>
    </w:p>
    <w:p>
      <w:pPr>
        <w:pStyle w:val="Heading2"/>
      </w:pPr>
      <w:r>
        <w:t>Chronic Kidney Disease Care Model zur Verbesserung von Patientenergebnissen</w:t>
      </w:r>
    </w:p>
    <w:p>
      <w:r>
        <w:rPr>
          <w:i/>
          <w:color w:val="666666"/>
          <w:sz w:val="18"/>
        </w:rPr>
        <w:t>Briggs AH et al.  ·  Pharmacoecon Open  ·  13.08.2026  ·  PMID 42593670</w:t>
      </w:r>
    </w:p>
    <w:p>
      <w:r>
        <w:t>Die Studie beschreibt ein Entscheidungsmodell zur Quantifizierung von Managementstrategien bei chronischer Nierenerkrankung und deren Kosteneffektivität in den USA.</w:t>
      </w:r>
    </w:p>
    <w:p>
      <w:r>
        <w:rPr>
          <w:b/>
        </w:rPr>
        <w:t xml:space="preserve">Ergebnis: </w:t>
      </w:r>
      <w:r>
        <w:t>Unter Standardbehandlung werden 15% der Patienten von Ursachen unabhängig von Nierenerkrankung sterben (nach durchschnittlich 12 Jahren). Mit optimierter Behandlung erhöht sich dieser Anteil auf 20% (nach 14 Jahren). Leitliniengerechte Behandlung ohne Verzögerung führt zu 0,68 QALYs Lebenszeitgewinn bei Kosten von 47.800 USD pro Patient.</w:t>
      </w:r>
    </w:p>
    <w:p>
      <w:r>
        <w:rPr>
          <w:color w:val="5A7D3A"/>
          <w:sz w:val="18"/>
        </w:rPr>
        <w:t>https://pubmed.ncbi.nlm.nih.gov/42593670/</w:t>
      </w:r>
    </w:p>
    <w:p>
      <w:pPr>
        <w:pStyle w:val="Heading2"/>
      </w:pPr>
      <w:r>
        <w:t>Algorithmen zur Identifikation klinisch beabsichtigter Medikamentenabsetzungen</w:t>
      </w:r>
    </w:p>
    <w:p>
      <w:r>
        <w:rPr>
          <w:i/>
          <w:color w:val="666666"/>
          <w:sz w:val="18"/>
        </w:rPr>
        <w:t>Goodrich GK et al.  ·  Med Care  ·  13.08.2026  ·  PMID 42593400</w:t>
      </w:r>
    </w:p>
    <w:p>
      <w:r>
        <w:t>Die Studie entwickelte algorithmische Verfahren zur Identifikation absichtlicher Medikamentenabsetzungen mittels Textsuche und klinischen Daten für fünf Arzneimittelgruppen.</w:t>
      </w:r>
    </w:p>
    <w:p>
      <w:r>
        <w:rPr>
          <w:b/>
        </w:rPr>
        <w:t xml:space="preserve">Ergebnis: </w:t>
      </w:r>
      <w:r>
        <w:t>Für die Validierungsstichproben betrugen Sensitivität und Spezifität für den vollständigen Algorithmus: orale Antidiabetika 80% und 85% (n=467), Statine 75% und 95% (n=282), Antihypertensiva 82% und 75% (n=599), Blasen-Antimuscarinergika 77% und 80% (n=80), Antikoagulanzien 74% und 78% (n=160).</w:t>
      </w:r>
    </w:p>
    <w:p>
      <w:r>
        <w:rPr>
          <w:color w:val="5A7D3A"/>
          <w:sz w:val="18"/>
        </w:rPr>
        <w:t>https://pubmed.ncbi.nlm.nih.gov/42593400/</w:t>
      </w:r>
    </w:p>
    <w:p>
      <w:pPr>
        <w:pStyle w:val="Heading2"/>
      </w:pPr>
      <w:r>
        <w:t>Mechanisch beatmete Kinder in pädiatrischen vs. allgemeinen Intensivstationen in Japan</w:t>
      </w:r>
    </w:p>
    <w:p>
      <w:r>
        <w:rPr>
          <w:i/>
          <w:color w:val="666666"/>
          <w:sz w:val="18"/>
        </w:rPr>
        <w:t>Sakurai Y et al.  ·  Front Pediatr  ·  29.07.2026  ·  PMID 42591500</w:t>
      </w:r>
    </w:p>
    <w:p>
      <w:r>
        <w:t>Die Studie verglich klinische Ergebnisse mechanisch beatmeter Kinder in spezialisierten pädiatrischen Intensivstationen (PICU) versus allgemeinen Intensivstationen (GICU).</w:t>
      </w:r>
    </w:p>
    <w:p>
      <w:r>
        <w:rPr>
          <w:b/>
        </w:rPr>
        <w:t xml:space="preserve">Ergebnis: </w:t>
      </w:r>
      <w:r>
        <w:t>Von 48.106 Patienten wurden 36% auf PICUs behandelt. Nach Propensity-Score-Analyse zeigte PICU-Versorgung signifikant niedrigere Krankenhaussterblichkeit (2,73% vs. 3,42%; OR 0,79, 95% KI 0,69–0,91; p = 0,001), aber längere Gesamtaufenthalte (22,74 vs. 22,13 Tage; p &lt; 0,001).</w:t>
      </w:r>
    </w:p>
    <w:p>
      <w:r>
        <w:rPr>
          <w:color w:val="5A7D3A"/>
          <w:sz w:val="18"/>
        </w:rPr>
        <w:t>https://pubmed.ncbi.nlm.nih.gov/42591500/</w:t>
      </w:r>
    </w:p>
    <w:p>
      <w:pPr>
        <w:pStyle w:val="Heading1"/>
      </w:pPr>
      <w:r>
        <w:t>Aufgenommen am 13.08.2026</w:t>
      </w:r>
    </w:p>
    <w:p>
      <w:pPr>
        <w:pStyle w:val="Heading2"/>
      </w:pPr>
      <w:r>
        <w:t>Door-to-Balloon-Zeit, Komplikationen und Verweildauer bei STEMI</w:t>
      </w:r>
    </w:p>
    <w:p>
      <w:r>
        <w:rPr>
          <w:i/>
          <w:color w:val="666666"/>
          <w:sz w:val="18"/>
        </w:rPr>
        <w:t>Eid AbuRuz M et al.  ·  J Clin Med  ·  26.07.2026  ·  PMID 42589943</w:t>
      </w:r>
    </w:p>
    <w:p>
      <w:r>
        <w:t>Diese prospektive Beobachtungsstudie untersuchte, ob die Door-to-Balloon-Zeit (D2B) bei ST-Hebungs-Myokardinfarkt (STEMI) postoperative Komplikationen und Krankenhausverweildauer vorhersagt.</w:t>
      </w:r>
    </w:p>
    <w:p>
      <w:r>
        <w:rPr>
          <w:b/>
        </w:rPr>
        <w:t xml:space="preserve">Ergebnis: </w:t>
      </w:r>
      <w:r>
        <w:t>Eine verzögerte D2B-Zeit (≥2 h) war mit 2,22-fach erhöhtem Komplikationsrisiko assoziiert; jede zusätzliche Stunde Verzögerung führte zu 0,294 Tagen mehr Krankenhausaufenthalt. Ein Median D2B von 108 Minuten wurde beobachtet (IQR 65–395).</w:t>
      </w:r>
    </w:p>
    <w:p>
      <w:r>
        <w:rPr>
          <w:color w:val="5A7D3A"/>
          <w:sz w:val="18"/>
        </w:rPr>
        <w:t>https://pubmed.ncbi.nlm.nih.gov/42589943/</w:t>
      </w:r>
    </w:p>
    <w:p>
      <w:pPr>
        <w:pStyle w:val="Heading2"/>
      </w:pPr>
      <w:r>
        <w:t>Simulation der Effekte von Mindestfallzahl-Schwellenwerten auf die geografische Erreichbarkeit neurochirurgischer Kliniken in Deutschland</w:t>
      </w:r>
    </w:p>
    <w:p>
      <w:r>
        <w:rPr>
          <w:i/>
          <w:color w:val="666666"/>
          <w:sz w:val="18"/>
        </w:rPr>
        <w:t>Mayer S et al.  ·  Healthcare (Basel)  ·  06.08.2026  ·  PMID 42588405</w:t>
      </w:r>
    </w:p>
    <w:p>
      <w:r>
        <w:t>Diese Simulationsstudie untersuchte die Auswirkungen unterschiedlicher Mindestfallzahl-Schwellenwerte auf die geografische Erreichbarkeit neurochirurgischer Versorgung in Deutschland.</w:t>
      </w:r>
    </w:p>
    <w:p>
      <w:r>
        <w:rPr>
          <w:b/>
        </w:rPr>
        <w:t xml:space="preserve">Ergebnis: </w:t>
      </w:r>
      <w:r>
        <w:t>Basale Erreichbarkeit innerhalb 40 Minuten Fahrtzeit (A2N40) betrug 66,6 % der Fläche und 84,7 % der Bevölkerung. Eine Erhöhung um einen Perzentilpunkt der Fallzahl-Schwelle reduzierte A2N40 um durchschnittlich 0,70 Prozentpunkte, was etwa 305.000 zusätzliche Menschen betrifft.</w:t>
      </w:r>
    </w:p>
    <w:p>
      <w:r>
        <w:rPr>
          <w:color w:val="5A7D3A"/>
          <w:sz w:val="18"/>
        </w:rPr>
        <w:t>https://pubmed.ncbi.nlm.nih.gov/42588405/</w:t>
      </w:r>
    </w:p>
    <w:p>
      <w:pPr>
        <w:pStyle w:val="Heading2"/>
      </w:pPr>
      <w:r>
        <w:t>Evaluation eines Stärkenbasierten Resilienz-Programms auf Widerstandskraft, wahrgenommenen Stress und depressive Symptome bei Schülern in Thailand</w:t>
      </w:r>
    </w:p>
    <w:p>
      <w:r>
        <w:rPr>
          <w:i/>
          <w:color w:val="666666"/>
          <w:sz w:val="18"/>
        </w:rPr>
        <w:t>Na Nakorn S et al.  ·  Healthcare (Basel)  ·  01.08.2026  ·  PMID 42588304</w:t>
      </w:r>
    </w:p>
    <w:p>
      <w:r>
        <w:t>Diese quasi-experimentelle Single-Group-Studie evaluierte ein sechswöchiges Resilienz-Programm bei 26 sekundarschul-Schülern mit Messungen zu Baseline, direkt nach Intervention und nach einem Monat.</w:t>
      </w:r>
    </w:p>
    <w:p>
      <w:r>
        <w:rPr>
          <w:b/>
        </w:rPr>
        <w:t xml:space="preserve">Ergebnis: </w:t>
      </w:r>
      <w:r>
        <w:t>Resilienz stieg von M=64,00 (Baseline) auf M=76,46 (direkt post) und M=78,19 (ein Monat später; p&amp;lt;0,001, η²=0,752). Wahrgenommener Stress sank von M=20,62 auf M=13,04 und M=9,62 (p&amp;lt;0,001, η²=0,808). Depressive Symptome sanken von M=7,27 auf M=5,81 und M=4,88 (p&amp;lt;0,001, η²=0,371).</w:t>
      </w:r>
    </w:p>
    <w:p>
      <w:r>
        <w:rPr>
          <w:color w:val="5A7D3A"/>
          <w:sz w:val="18"/>
        </w:rPr>
        <w:t>https://pubmed.ncbi.nlm.nih.gov/42588304/</w:t>
      </w:r>
    </w:p>
    <w:p>
      <w:pPr>
        <w:pStyle w:val="Heading2"/>
      </w:pPr>
      <w:r>
        <w:t>Kürzere Verweildauer nach risikoarmem Kaiserschnitt</w:t>
      </w:r>
    </w:p>
    <w:p>
      <w:r>
        <w:rPr>
          <w:i/>
          <w:color w:val="666666"/>
          <w:sz w:val="18"/>
        </w:rPr>
        <w:t>Su WG et al.  ·  BMJ Open Qual  ·  12.08.2026  ·  PMID 42586586</w:t>
      </w:r>
    </w:p>
    <w:p>
      <w:r>
        <w:t>Qualitätsverbesserungsprojekt zur Entlassung am dritten Tag nach risikoarmem Kaiserschnitt.</w:t>
      </w:r>
    </w:p>
    <w:p>
      <w:r>
        <w:rPr>
          <w:b/>
        </w:rPr>
        <w:t xml:space="preserve">Ergebnis: </w:t>
      </w:r>
      <w:r>
        <w:t>Die Entlassungsrate am dritten Tag stieg von 80,0 % (n = 352) auf 84,5 % (n = 241), nach dem gebündelten Maßnahmenpaket von 83,3 % auf 92,5 %; geschätzte Einsparung 70.884 SGD. Standardisierte Abläufe verkürzen die Liegezeit ohne Qualitätsverlust.</w:t>
      </w:r>
    </w:p>
    <w:p>
      <w:r>
        <w:rPr>
          <w:color w:val="5A7D3A"/>
          <w:sz w:val="18"/>
        </w:rPr>
        <w:t>https://pubmed.ncbi.nlm.nih.gov/42586586/</w:t>
      </w:r>
    </w:p>
    <w:p>
      <w:pPr>
        <w:pStyle w:val="Heading2"/>
      </w:pPr>
      <w:r>
        <w:t>Entwicklung und Validierung des N-DROP-Scores zur Vorhersage der 30-Tage-Sterblichkeit bei Pflegeheim-assoziierten Pneumonien</w:t>
      </w:r>
    </w:p>
    <w:p>
      <w:r>
        <w:rPr>
          <w:i/>
          <w:color w:val="666666"/>
          <w:sz w:val="18"/>
        </w:rPr>
        <w:t>Taniguchi J et al.  ·  J Infect Chemother  ·  12.08.2026  ·  PMID 42586261</w:t>
      </w:r>
    </w:p>
    <w:p>
      <w:r>
        <w:t>Diese Studie entwickelte mittels LASSO-Regression ein verbessertes Modell zur Vorhersage der in-Hospital-Sterblichkeit bei Pflegeheim-assoziierten Pneumonien (NHCAP) basierend auf Faktoren jenseits des klassischen A-DROP-Scores.</w:t>
      </w:r>
    </w:p>
    <w:p>
      <w:r>
        <w:rPr>
          <w:b/>
        </w:rPr>
        <w:t xml:space="preserve">Ergebnis: </w:t>
      </w:r>
      <w:r>
        <w:t>Die 30-Tage-Sterblichkeit in 116.185 Patienten betrug 11,7 %. Der N-DROP-Score zeigte verbesserte Diskriminationsfähigkeit (C-Statistik 0,746; 95 % KI 0,734–0,757) gegenüber A-DROP (0,708; 95 % KI 0,695–0,720; p&amp;lt;0,001).</w:t>
      </w:r>
    </w:p>
    <w:p>
      <w:r>
        <w:rPr>
          <w:color w:val="5A7D3A"/>
          <w:sz w:val="18"/>
        </w:rPr>
        <w:t>https://pubmed.ncbi.nlm.nih.gov/42586261/</w:t>
      </w:r>
    </w:p>
    <w:p>
      <w:pPr>
        <w:pStyle w:val="Heading2"/>
      </w:pPr>
      <w:r>
        <w:t>Wertbasierte Vergütung in der Primärversorgung und Low-Value Care</w:t>
      </w:r>
    </w:p>
    <w:p>
      <w:r>
        <w:rPr>
          <w:i/>
          <w:color w:val="666666"/>
          <w:sz w:val="18"/>
        </w:rPr>
        <w:t>Izguttinov A et al.  ·  Health Serv Res  ·  Aug. 2026  ·  PMID 42584215</w:t>
      </w:r>
    </w:p>
    <w:p>
      <w:r>
        <w:t>Untersuchung, ob die Einführung wertbasierter Vergütung in Hausarztpraxen unnötige Leistungen reduziert.</w:t>
      </w:r>
    </w:p>
    <w:p>
      <w:r>
        <w:rPr>
          <w:b/>
        </w:rPr>
        <w:t xml:space="preserve">Ergebnis: </w:t>
      </w:r>
      <w:r>
        <w:t>Über 33,6 Mio. Versichertenmonate (1,34 Mio. Versicherte, 7.903 Praxen) blieben die Unterschiede ohne statistische Signifikanz: Bildgebung bei Fersensporn 31,2 % gegenüber 28,9 %, bei Kopfschmerz 14,8 % gegenüber 14,5 %, bei Rückenschmerz je 13,8 %. Vergütungsanreize allein senken Low-Value Care offenbar nicht.</w:t>
      </w:r>
    </w:p>
    <w:p>
      <w:r>
        <w:rPr>
          <w:color w:val="5A7D3A"/>
          <w:sz w:val="18"/>
        </w:rPr>
        <w:t>https://pubmed.ncbi.nlm.nih.gov/42584215/</w:t>
      </w:r>
    </w:p>
    <w:p>
      <w:pPr>
        <w:pStyle w:val="Heading2"/>
      </w:pPr>
      <w:r>
        <w:t>Inanspruchnahme und Kosten bei Long COVID (England und Wales)</w:t>
      </w:r>
    </w:p>
    <w:p>
      <w:r>
        <w:rPr>
          <w:i/>
          <w:color w:val="666666"/>
          <w:sz w:val="18"/>
        </w:rPr>
        <w:t>Dashtban A et al.  ·  J R Soc Med  ·  12.08.2026  ·  PMID 42584205</w:t>
      </w:r>
    </w:p>
    <w:p>
      <w:r>
        <w:t>Vergleich von Versorgungskosten und Arztkontakten zwischen Long-COVID-Betroffenen und Kontrollpersonen.</w:t>
      </w:r>
    </w:p>
    <w:p>
      <w:r>
        <w:rPr>
          <w:b/>
        </w:rPr>
        <w:t xml:space="preserve">Ergebnis: </w:t>
      </w:r>
      <w:r>
        <w:t>Die mittleren Jahreskosten lagen in Wales bei 6.681,60 £ gegenüber 2.039,90 £ (3,27-fach), in England bei 3.378,30 £ gegenüber 1.355,80 £ (2,49-fach); Wales verzeichnete einen um 25 % stärkeren relativen Kostenanstieg (Verhältnis 1,25; 95%-KI 1,09–1,42). Die Versorgungslast fällt regional deutlich unterschiedlich aus.</w:t>
      </w:r>
    </w:p>
    <w:p>
      <w:r>
        <w:rPr>
          <w:color w:val="5A7D3A"/>
          <w:sz w:val="18"/>
        </w:rPr>
        <w:t>https://pubmed.ncbi.nlm.nih.gov/42584205/</w:t>
      </w:r>
    </w:p>
    <w:p>
      <w:pPr>
        <w:pStyle w:val="Heading2"/>
      </w:pPr>
      <w:r>
        <w:t>Eigenbesitz an Zusatzleistungen und Testhäufigkeit in Urologiepraxen</w:t>
      </w:r>
    </w:p>
    <w:p>
      <w:r>
        <w:rPr>
          <w:i/>
          <w:color w:val="666666"/>
          <w:sz w:val="18"/>
        </w:rPr>
        <w:t>Srivastava A et al.  ·  Med Care  ·  12.08.2026  ·  PMID 42583905</w:t>
      </w:r>
    </w:p>
    <w:p>
      <w:r>
        <w:t>Analyse, ob unternehmerische Beteiligung von Urologiepraxen an Zusatzleistungen die Zahl angeordneter Tests erhöht.</w:t>
      </w:r>
    </w:p>
    <w:p>
      <w:r>
        <w:rPr>
          <w:b/>
        </w:rPr>
        <w:t xml:space="preserve">Ergebnis: </w:t>
      </w:r>
      <w:r>
        <w:t>20,6 % der Praxen (706 von 3.430) besaßen eigene Zusatzleistungen; pro 10 Punkte auf dem Unternehmerindex stiegen bei 49.285 Männern die Chancen für Urinuntersuchungen auf das 1,13-Fache (95%-KI 1,09–1,18; p &lt; 0,001) und für nicht indikationsbezogene Tests auf das 1,21-Fache (95%-KI 1,15–1,27; p &lt; 0,001). Finanzielle Eigeninteressen schlagen messbar auf die Leistungsmenge durch.</w:t>
      </w:r>
    </w:p>
    <w:p>
      <w:r>
        <w:rPr>
          <w:color w:val="5A7D3A"/>
          <w:sz w:val="18"/>
        </w:rPr>
        <w:t>https://pubmed.ncbi.nlm.nih.gov/42583905/</w:t>
      </w:r>
    </w:p>
    <w:p>
      <w:pPr>
        <w:pStyle w:val="Heading2"/>
      </w:pPr>
      <w:r>
        <w:t>Soziale Bedarfe und Versorgungszugang nach Kostenträger</w:t>
      </w:r>
    </w:p>
    <w:p>
      <w:r>
        <w:rPr>
          <w:i/>
          <w:color w:val="666666"/>
          <w:sz w:val="18"/>
        </w:rPr>
        <w:t>Wang VH et al.  ·  Med Care  ·  10.08.2026  ·  PMID 42583901</w:t>
      </w:r>
    </w:p>
    <w:p>
      <w:r>
        <w:t>Querschnittsanalyse, wie häufig gesundheitsbezogene soziale Bedarfe je nach Versicherungsart auftreten und den Zugang zur Versorgung beeinflussen.</w:t>
      </w:r>
    </w:p>
    <w:p>
      <w:r>
        <w:rPr>
          <w:b/>
        </w:rPr>
        <w:t xml:space="preserve">Ergebnis: </w:t>
      </w:r>
      <w:r>
        <w:t>Unter 126.490 Befragten war Ernährungsunsicherheit bei Medicaid-Versicherten mit 49,20 % weit häufiger als bei privat (11,89 %) oder über Medicare (5,20 %) Versicherten; Wohnungsunsicherheit lag bei 54,61 %, 25,18 % und 14,99 %. Ernährungsunsicherheit ging in allen Gruppen mit häufiger unterlassener Versorgung einher.</w:t>
      </w:r>
    </w:p>
    <w:p>
      <w:r>
        <w:rPr>
          <w:color w:val="5A7D3A"/>
          <w:sz w:val="18"/>
        </w:rPr>
        <w:t>https://pubmed.ncbi.nlm.nih.gov/42583901/</w:t>
      </w:r>
    </w:p>
    <w:p>
      <w:pPr>
        <w:pStyle w:val="Heading2"/>
      </w:pPr>
      <w:r>
        <w:t>Leitlinientreue in der Nachsorge nach akuter Nierenschädigung</w:t>
      </w:r>
    </w:p>
    <w:p>
      <w:r>
        <w:rPr>
          <w:i/>
          <w:color w:val="666666"/>
          <w:sz w:val="18"/>
        </w:rPr>
        <w:t>Mok PLH et al.  ·  BMC Med  ·  12.08.2026  ·  PMID 42581362</w:t>
      </w:r>
    </w:p>
    <w:p>
      <w:r>
        <w:t>Routinedatenanalyse zur Frage, wie konsequent die empfohlene Nachsorge nach akuter Nierenschädigung umgesetzt wird.</w:t>
      </w:r>
    </w:p>
    <w:p>
      <w:r>
        <w:rPr>
          <w:b/>
        </w:rPr>
        <w:t xml:space="preserve">Ergebnis: </w:t>
      </w:r>
      <w:r>
        <w:t>Bei 209.222 Patientinnen und Patienten (279.187 Episoden) wurde die Nierenschädigung nur in 19,5 % kodiert (95%-KI 18,5–20,5); 72,6 % hatten Hausarztkontakt, aber nur 34,2 % eine Kreatininkontrolle nach 90 Tagen und 4,2 % eine Albumin-Kreatinin-Bestimmung. Die empfohlene Nachsorge findet weitgehend nicht statt.</w:t>
      </w:r>
    </w:p>
    <w:p>
      <w:r>
        <w:rPr>
          <w:color w:val="5A7D3A"/>
          <w:sz w:val="18"/>
        </w:rPr>
        <w:t>https://pubmed.ncbi.nlm.nih.gov/42581362/</w:t>
      </w:r>
    </w:p>
    <w:p>
      <w:pPr>
        <w:pStyle w:val="Heading1"/>
      </w:pPr>
      <w:r>
        <w:t>Aufgenommen am 10.08.2026</w:t>
      </w:r>
    </w:p>
    <w:p>
      <w:pPr>
        <w:pStyle w:val="Heading2"/>
      </w:pPr>
      <w:r>
        <w:t>ConcePTION-Algorithmus: Schwangerschaften in Routinedaten erkennen</w:t>
      </w:r>
    </w:p>
    <w:p>
      <w:r>
        <w:rPr>
          <w:i/>
          <w:color w:val="666666"/>
          <w:sz w:val="18"/>
        </w:rPr>
        <w:t>Limoncella G et al.  ·  Pharmacoepidemiol Drug Saf  ·  Aug. 2026  ·  PMID 42571911</w:t>
      </w:r>
    </w:p>
    <w:p>
      <w:r>
        <w:t>Entwicklung und Anwendung eines Algorithmus, der Schwangerschaften in bevölkerungsbezogenen Gesundheitsdatenbanken identifiziert.</w:t>
      </w:r>
    </w:p>
    <w:p>
      <w:r>
        <w:rPr>
          <w:b/>
        </w:rPr>
        <w:t xml:space="preserve">Ergebnis: </w:t>
      </w:r>
      <w:r>
        <w:t>Über 10 europäische Datenbanken wurden rund 2,7 Mio. Schwangerschaften erkannt; 50–83 % endeten in Lebendgeburten, 4–10 % in Fehlgeburten. Das Gestationsalter war für 6–89 % der Datensätze schätzbar (RMSE 17–50 Tage). Das verbessert die Nutzung von Routinedaten für die Arzneimittelsicherheit in der Schwangerschaft.</w:t>
      </w:r>
    </w:p>
    <w:p>
      <w:r>
        <w:rPr>
          <w:color w:val="5A7D3A"/>
          <w:sz w:val="18"/>
        </w:rPr>
        <w:t>https://pubmed.ncbi.nlm.nih.gov/42571911/</w:t>
      </w:r>
    </w:p>
    <w:p>
      <w:pPr>
        <w:pStyle w:val="Heading2"/>
      </w:pPr>
      <w:r>
        <w:t>Wartezeit von Diagnose bis Operation beim Zervixkarzinom</w:t>
      </w:r>
    </w:p>
    <w:p>
      <w:r>
        <w:rPr>
          <w:i/>
          <w:color w:val="666666"/>
          <w:sz w:val="18"/>
        </w:rPr>
        <w:t>Jalink M et al.  ·  Cancer Epidemiol  ·  04.08.2026  ·  PMID 42551070</w:t>
      </w:r>
    </w:p>
    <w:p>
      <w:r>
        <w:t>Kohortenstudie zum Zusammenhang zwischen dem Intervall Diagnose–Operation und dem Gesamtüberleben.</w:t>
      </w:r>
    </w:p>
    <w:p>
      <w:r>
        <w:rPr>
          <w:b/>
        </w:rPr>
        <w:t xml:space="preserve">Ergebnis: </w:t>
      </w:r>
      <w:r>
        <w:t>Bei 1.501 Patientinnen (mediane Wartezeit 80 Tage) war ein sehr kurzes Intervall (2–6 Wochen) mit erhöhtem Sterberisiko verbunden (HR 2,33; 95%-KI 1,14–4,77) gegenüber 10–14 Wochen; das Muster war U-förmig. Sowohl sehr kurze als auch sehr lange Wartezeiten erscheinen ungünstig.</w:t>
      </w:r>
    </w:p>
    <w:p>
      <w:r>
        <w:rPr>
          <w:color w:val="5A7D3A"/>
          <w:sz w:val="18"/>
        </w:rPr>
        <w:t>https://pubmed.ncbi.nlm.nih.gov/42551070/</w:t>
      </w:r>
    </w:p>
    <w:p>
      <w:pPr>
        <w:pStyle w:val="Heading1"/>
      </w:pPr>
      <w:r>
        <w:t>Aufgenommen am 09.08.2026</w:t>
      </w:r>
    </w:p>
    <w:p>
      <w:pPr>
        <w:pStyle w:val="Heading2"/>
      </w:pPr>
      <w:r>
        <w:t>Aufhörversuche beim Shisha-Rauchen junger Erwachsener in Deutschland</w:t>
      </w:r>
    </w:p>
    <w:p>
      <w:r>
        <w:rPr>
          <w:i/>
          <w:color w:val="666666"/>
          <w:sz w:val="18"/>
        </w:rPr>
        <w:t>Fedler C et al.  ·  Tob Use Insights  ·  07.08.2026  ·  PMID 42571166</w:t>
      </w:r>
    </w:p>
    <w:p>
      <w:r>
        <w:t>Befragung zu Aufhörverhalten und dessen Prädiktoren bei jungen Shisha-Rauchenden in Deutschland.</w:t>
      </w:r>
    </w:p>
    <w:p>
      <w:r>
        <w:rPr>
          <w:b/>
        </w:rPr>
        <w:t xml:space="preserve">Ergebnis: </w:t>
      </w:r>
      <w:r>
        <w:t>Nur 14,6 % (95%-KI 11,9–17,8) hatten je einen Aufhörversuch unternommen; die wahrgenommene Abhängigkeit war der einzige signifikante Prädiktor. Präventions- und Entwöhnungsangebote erreichen die Gruppe bislang kaum.</w:t>
      </w:r>
    </w:p>
    <w:p>
      <w:r>
        <w:rPr>
          <w:color w:val="5A7D3A"/>
          <w:sz w:val="18"/>
        </w:rPr>
        <w:t>https://pubmed.ncbi.nlm.nih.gov/42571166/</w:t>
      </w:r>
    </w:p>
    <w:p>
      <w:pPr>
        <w:pStyle w:val="Heading2"/>
      </w:pPr>
      <w:r>
        <w:t>Determinanten der Teilnahme am Mammographie-Screening (Ankara, Türkei)</w:t>
      </w:r>
    </w:p>
    <w:p>
      <w:r>
        <w:rPr>
          <w:i/>
          <w:color w:val="666666"/>
          <w:sz w:val="18"/>
        </w:rPr>
        <w:t>Topcu FB et al.  ·  BMC Health Serv Res  ·  07.08.2026  ·  PMID 42571012</w:t>
      </w:r>
    </w:p>
    <w:p>
      <w:r>
        <w:t>Querschnittstudie zu Faktoren, die die Inanspruchnahme der Brustkrebs-Früherkennung bei Frauen beeinflussen.</w:t>
      </w:r>
    </w:p>
    <w:p>
      <w:r>
        <w:rPr>
          <w:b/>
        </w:rPr>
        <w:t xml:space="preserve">Ergebnis: </w:t>
      </w:r>
      <w:r>
        <w:t>Frauen, die Screening-Programme kannten, nahmen 8,5-mal häufiger teil; nach früherer anderer Krebsfrüherkennung 5,5-mal häufiger; eine chronische Erkrankung verdoppelte die Chance. Bekanntheit und Aufklärung sind die zentralen Hebel.</w:t>
      </w:r>
    </w:p>
    <w:p>
      <w:r>
        <w:rPr>
          <w:color w:val="5A7D3A"/>
          <w:sz w:val="18"/>
        </w:rPr>
        <w:t>https://pubmed.ncbi.nlm.nih.gov/42571012/</w:t>
      </w:r>
    </w:p>
    <w:p>
      <w:pPr>
        <w:pStyle w:val="Heading2"/>
      </w:pPr>
      <w:r>
        <w:t>Therapieunterbrechende Systemfehler der Heim-Peritonealdialyse (HomeChoice-Cycler)</w:t>
      </w:r>
    </w:p>
    <w:p>
      <w:r>
        <w:rPr>
          <w:i/>
          <w:color w:val="666666"/>
          <w:sz w:val="18"/>
        </w:rPr>
        <w:t>Albert A et al.  ·  BMC Health Serv Res  ·  08.08.2026  ·  PMID 42571003</w:t>
      </w:r>
    </w:p>
    <w:p>
      <w:r>
        <w:t>Analyse technischer Fehler bei der Heimdialyse und ihrer Häufigkeit im Versorgungsalltag.</w:t>
      </w:r>
    </w:p>
    <w:p>
      <w:r>
        <w:rPr>
          <w:b/>
        </w:rPr>
        <w:t xml:space="preserve">Ergebnis: </w:t>
      </w:r>
      <w:r>
        <w:t>49 verschiedene Fehlertypen in 138 Vorfällen; Druckkammer-Fehler machten 21,7 % aus; Fehler traten in unter 0,25 % der Behandlungssitzungen auf. Die Heimtechnik ist überwiegend zuverlässig; einzelne Fehlerquellen sind gezielt adressierbar.</w:t>
      </w:r>
    </w:p>
    <w:p>
      <w:r>
        <w:rPr>
          <w:color w:val="5A7D3A"/>
          <w:sz w:val="18"/>
        </w:rPr>
        <w:t>https://pubmed.ncbi.nlm.nih.gov/42571003/</w:t>
      </w:r>
    </w:p>
    <w:p>
      <w:pPr>
        <w:pStyle w:val="Heading2"/>
      </w:pPr>
      <w:r>
        <w:t>Lebensqualität nach risikoreduzierender Hysterektomie</w:t>
      </w:r>
    </w:p>
    <w:p>
      <w:r>
        <w:rPr>
          <w:i/>
          <w:color w:val="666666"/>
          <w:sz w:val="18"/>
        </w:rPr>
        <w:t>Oxley S et al.  ·  Gynecol Oncol  ·  08.08.2026  ·  PMID 42570385</w:t>
      </w:r>
    </w:p>
    <w:p>
      <w:r>
        <w:t>Untersuchung der gesundheitsbezogenen Lebensqualität (Nutzwerte) nach vorbeugender Gebärmutterentfernung.</w:t>
      </w:r>
    </w:p>
    <w:p>
      <w:r>
        <w:rPr>
          <w:b/>
        </w:rPr>
        <w:t xml:space="preserve">Ergebnis: </w:t>
      </w:r>
      <w:r>
        <w:t>Mittlere Nutzwerte lagen je nach Eingriff und Zeitpunkt zwischen 0,670 und 0,942, mit signifikanten Gruppenunterschieden (p &lt; 0,001). Art und Zeitpunkt des Eingriffs beeinflussen die Lebensqualität deutlich.</w:t>
      </w:r>
    </w:p>
    <w:p>
      <w:r>
        <w:rPr>
          <w:color w:val="5A7D3A"/>
          <w:sz w:val="18"/>
        </w:rPr>
        <w:t>https://pubmed.ncbi.nlm.nih.gov/42570385/</w:t>
      </w:r>
    </w:p>
    <w:p>
      <w:pPr>
        <w:pStyle w:val="Heading2"/>
      </w:pPr>
      <w:r>
        <w:t>Orale Antikoagulation und neu auftretende Demenz bei Vorhofflimmern</w:t>
      </w:r>
    </w:p>
    <w:p>
      <w:r>
        <w:rPr>
          <w:i/>
          <w:color w:val="666666"/>
          <w:sz w:val="18"/>
        </w:rPr>
        <w:t>Belachew EA et al.  ·  Geroscience  ·  08.08.2026  ·  PMID 42570194</w:t>
      </w:r>
    </w:p>
    <w:p>
      <w:r>
        <w:t>Real-World-Kohortenstudie zum Zusammenhang zwischen Art des Gerinnungshemmers und Demenzrisiko.</w:t>
      </w:r>
    </w:p>
    <w:p>
      <w:r>
        <w:rPr>
          <w:b/>
        </w:rPr>
        <w:t xml:space="preserve">Ergebnis: </w:t>
      </w:r>
      <w:r>
        <w:t>DOAK gingen mit geringerem Demenzrisiko einher (HR 0,63; 95%-KI 0,56–0,70), Warfarin mit höherem Risiko (HR 1,31; 95%-KI 1,16–1,49). Die Wirkstoffwahl könnte für die kognitive Langzeitprognose bedeutsam sein.</w:t>
      </w:r>
    </w:p>
    <w:p>
      <w:r>
        <w:rPr>
          <w:color w:val="5A7D3A"/>
          <w:sz w:val="18"/>
        </w:rPr>
        <w:t>https://pubmed.ncbi.nlm.nih.gov/42570194/</w:t>
      </w:r>
    </w:p>
    <w:p>
      <w:pPr>
        <w:pStyle w:val="Heading2"/>
      </w:pPr>
      <w:r>
        <w:t>Adhärenz zu Bewegungsleitlinien bei US-Krebsüberlebenden</w:t>
      </w:r>
    </w:p>
    <w:p>
      <w:r>
        <w:rPr>
          <w:i/>
          <w:color w:val="666666"/>
          <w:sz w:val="18"/>
        </w:rPr>
        <w:t>Kumar G et al.  ·  J Cancer Surviv  ·  08.08.2026  ·  PMID 42570052</w:t>
      </w:r>
    </w:p>
    <w:p>
      <w:r>
        <w:t>Auswertung landesweiter Surveydaten zur Einhaltung der Empfehlungen für körperliche Aktivität über die Zeit.</w:t>
      </w:r>
    </w:p>
    <w:p>
      <w:r>
        <w:rPr>
          <w:b/>
        </w:rPr>
        <w:t xml:space="preserve">Ergebnis: </w:t>
      </w:r>
      <w:r>
        <w:t>Die Adhärenz stieg von 9,2 % (2010) auf 22,0 % (2015) und fiel bis 2020 wieder auf 8,7 %. Anhaltend niedrige, zuletzt rückläufige Werte weisen auf Versorgungslücken in der Bewegungsförderung hin.</w:t>
      </w:r>
    </w:p>
    <w:p>
      <w:r>
        <w:rPr>
          <w:color w:val="5A7D3A"/>
          <w:sz w:val="18"/>
        </w:rPr>
        <w:t>https://pubmed.ncbi.nlm.nih.gov/42570052/</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Studienarchiv - Versorgungsforschung</dc:title>
  <dc:subject/>
  <dc:creator>Monitor Versorgungsforschung</dc:creator>
  <cp:keywords/>
  <dc:description>generated by python-docx</dc:description>
  <cp:lastModifiedBy/>
  <cp:revision>1</cp:revision>
  <dcterms:created xsi:type="dcterms:W3CDTF">2026-10-21T06:00:00Z</dcterms:created>
  <dcterms:modified xsi:type="dcterms:W3CDTF">2026-10-21T06:00:00Z</dcterms:modified>
  <cp:category/>
</cp:coreProperties>
</file>