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25.08.2026  |  2 Studien  |  wissen.m-vf.de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Sterblichkeit bei akuter Lebererkrankung in England: nationale Kohortenstudie</w:t>
      </w:r>
    </w:p>
    <w:p>
      <w:r>
        <w:rPr>
          <w:i/>
          <w:color w:val="666666"/>
          <w:sz w:val="18"/>
        </w:rPr>
        <w:t>Campbell C et al.  ·  Eur J Intern Med  ·  24.08.2026  ·  PMID 42637631</w:t>
      </w:r>
    </w:p>
    <w:p>
      <w:r>
        <w:t>Studie zur Langzeitsterblichkeit von 82.402 Patienten mit chronischer Lebererkrankung nach erstem Notfallaufenthalt in englischen Krankenhäusern (2012-2019).</w:t>
      </w:r>
    </w:p>
    <w:p>
      <w:r>
        <w:rPr>
          <w:b/>
        </w:rPr>
        <w:t xml:space="preserve">Ergebnis: </w:t>
      </w:r>
      <w:r>
        <w:t>5-Jahres-Mortalität 59,9%; Median-Überlebenszeit 2,72 Jahre (95%-KI 2,66-2,79). Regional erhöhte Mortalität außerhalb Londons (adjHR 1,06-1,19); Encephalopathie (adjHR 1,70), Aszites (adjHR 1,64) und gastrointestinale Blutung (adjHR 1,10) mit erhöhter Mortalität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Routinedaten; vergleichbar mit deutschem NHS-ähnlichen System in Versorgungssteuerung und Datenqualität.</w:t>
      </w:r>
    </w:p>
    <w:p>
      <w:r>
        <w:rPr>
          <w:color w:val="5A7D3A"/>
          <w:sz w:val="18"/>
        </w:rPr>
        <w:t>https://pubmed.ncbi.nlm.nih.gov/42637631/</w:t>
      </w:r>
    </w:p>
    <w:p>
      <w:pPr>
        <w:pStyle w:val="Heading2"/>
      </w:pPr>
      <w:r>
        <w:t>Apotheken-Interventionen bei niedriger Health Literacy: systematische Übersicht mit Co-Design-Fokus</w:t>
      </w:r>
    </w:p>
    <w:p>
      <w:r>
        <w:rPr>
          <w:i/>
          <w:color w:val="666666"/>
          <w:sz w:val="18"/>
        </w:rPr>
        <w:t>Suppiah SD et al.  ·  Res Social Adm Pharm  ·  22.08.2026  ·  PMID 42637584</w:t>
      </w:r>
    </w:p>
    <w:p>
      <w:r>
        <w:t>Systematische Übersicht von neun RCTs (13 Publikationen) zu Apotheken-Interventionen für chronisch kranke Erwachsene mit eingeschränkter Health Literacy.</w:t>
      </w:r>
    </w:p>
    <w:p>
      <w:r>
        <w:rPr>
          <w:b/>
        </w:rPr>
        <w:t xml:space="preserve">Ergebnis: </w:t>
      </w:r>
      <w:r>
        <w:t>Medikamentenverstehen verbesserte sich konsistent, besonders durch patientenzentrierte Medikamentenetiketten; Adherence-Effekte waren inkonsistent und nicht nachhaltig; Care-Transition-Interventionen zeigten teilweise Reduktion ungünstiger Events. Co-Design-Elemente waren in nur einem Trial dokumentiert. 10 Studien, alle niedriges bis moderates Bias-Risiko.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Australisch-singapurisches Autorenteam; Konzepte zu Patient-zentrierten Interventionen auf deutschsprachigen Raum übertragbar.</w:t>
      </w:r>
    </w:p>
    <w:p>
      <w:r>
        <w:rPr>
          <w:color w:val="5A7D3A"/>
          <w:sz w:val="18"/>
        </w:rPr>
        <w:t>https://pubmed.ncbi.nlm.nih.gov/42637584/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2026-08-25T06:00:00Z</dcterms:created>
  <dcterms:modified xsi:type="dcterms:W3CDTF">2026-08-25T06:00:00Z</dcterms:modified>
  <cp:category/>
</cp:coreProperties>
</file>