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05.09.2026  |  6 Studien  |  wissen.m-vf.de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Patient and Public Involvement in pediatrischer Gesundheitsforschung: Systematisches Review</w:t>
      </w:r>
    </w:p>
    <w:p>
      <w:r>
        <w:rPr>
          <w:i/>
          <w:color w:val="666666"/>
          <w:sz w:val="18"/>
        </w:rPr>
        <w:t>Stadler V et al.  ·  Health Expect  ·  Okt. 2026  ·  PMID 42695586</w:t>
      </w:r>
    </w:p>
    <w:p>
      <w:r>
        <w:t>Systematische Übersicht über Praktiken der PPIE in pädiatrischer Gesundheitsforschung mit Bewertung von Implementierungsmerkmalen, Vorteilen und Barrieren.</w:t>
      </w:r>
    </w:p>
    <w:p>
      <w:r>
        <w:rPr>
          <w:b/>
        </w:rPr>
        <w:t xml:space="preserve">Ergebnis: </w:t>
      </w:r>
      <w:r>
        <w:t>Von 1.910 identifizierten Referenzen wurden 37 Studien eingeschlossen. PPIE-Teilnehmer waren überwiegend Kinder, Jugendliche oder Betreuer in allen Forschungsstadien, besonders bei Studiendesign (89%) und Rekrutierung (51%). Positive Effekte: verbesserte Rekrutierungs- und Retentionsraten. Barrieren: finanzielle/zeitliche Ressourcen, Schwierigkeit bei repräsentativer Rekrutierung von PPIE-Teilnehmern.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europäischer Kontext; methodisches Interesse für deutschsprachige Forschung</w:t>
      </w:r>
    </w:p>
    <w:p>
      <w:r>
        <w:rPr>
          <w:color w:val="5A7D3A"/>
          <w:sz w:val="18"/>
        </w:rPr>
        <w:t>https://pubmed.ncbi.nlm.nih.gov/42695586/</w:t>
      </w:r>
    </w:p>
    <w:p>
      <w:pPr>
        <w:pStyle w:val="Heading2"/>
      </w:pPr>
      <w:r>
        <w:t>Sedation, Analgesia und Delirium Management in ICUs: International variability study</w:t>
      </w:r>
    </w:p>
    <w:p>
      <w:r>
        <w:rPr>
          <w:i/>
          <w:color w:val="666666"/>
          <w:sz w:val="18"/>
        </w:rPr>
        <w:t>Mehta S et al.  ·  Crit Care Explor  ·  01.09.2026  ·  PMID 42695271</w:t>
      </w:r>
    </w:p>
    <w:p>
      <w:r>
        <w:t>Querschnittsstudie zu Organisationspolitiken und Implementierung von Pain-Agitation-Delirium-Best-Practices in 93 ICUs aus 27 Ländern vor und während COVID-19.</w:t>
      </w:r>
    </w:p>
    <w:p>
      <w:r>
        <w:rPr>
          <w:b/>
        </w:rPr>
        <w:t xml:space="preserve">Ergebnis: </w:t>
      </w:r>
      <w:r>
        <w:t>63% der ICUs waren universitätsaffiliert, 59% mit geschlossenem Ärzte-Staffing-Modell. Über 75% nutzten validierte PAD-Skalen (Richmond: 86%, CAM-ICU: 59%). Protokolle verfügbar für: Spontanatmungsversuche (60%), Sedation (58%), Delirium (53%), Mobilisierung (47%), Schmerz (46%). Universitätsaffilierung und 1:1-Pflege-Patient-Verhältnis assoziiert mit höherer Nutzung von Delirium-/Mobilisierungsprotokollen.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Mehrländerstudie mit deutschem Standort (Berlin); breite internationale Vergleichbarkeit</w:t>
      </w:r>
    </w:p>
    <w:p>
      <w:r>
        <w:rPr>
          <w:color w:val="5A7D3A"/>
          <w:sz w:val="18"/>
        </w:rPr>
        <w:t>https://pubmed.ncbi.nlm.nih.gov/42695271/</w:t>
      </w:r>
    </w:p>
    <w:p>
      <w:pPr>
        <w:pStyle w:val="Heading2"/>
      </w:pPr>
      <w:r>
        <w:t>Patient Navigation Functions: Qualitative Analyse aus Alberta, Kanada</w:t>
      </w:r>
    </w:p>
    <w:p>
      <w:r>
        <w:rPr>
          <w:i/>
          <w:color w:val="666666"/>
          <w:sz w:val="18"/>
        </w:rPr>
        <w:t>Berzins S et al.  ·  Health Serv Insights  ·  02.09.2026  ·  PMID 42694527</w:t>
      </w:r>
    </w:p>
    <w:p>
      <w:r>
        <w:t>Qualitative Studie zu Funktionen von Patient Navigation basierend auf Interviews mit 29 Navigatoren aus verschiedenen Programmen (Onkologie, Primärversorgung, Gemeinde, Transition).</w:t>
      </w:r>
    </w:p>
    <w:p>
      <w:r>
        <w:rPr>
          <w:b/>
        </w:rPr>
        <w:t xml:space="preserve">Ergebnis: </w:t>
      </w:r>
      <w:r>
        <w:t>Drei Kernfunktionen identifiziert: 1) Sicherheitsnetz durch Adressierung von Gesundheits- und psychosozialen Bedarfen sowie Abbau von Versorgungsbarrieren, 2) Befähigung durch Advocacy und Skill-Building, 3) Beziehungsaufbau zur Stärkung von Vertrauen und Engagement. Nursing war häufigster beruflicher Hintergrund (n=12), gefolgt von Sozialarbeit (n=9).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mit ähnlicher Gesundheitssystemstruktur; Konzeptklarheit für Implementation im deutschsprachigen Raum</w:t>
      </w:r>
    </w:p>
    <w:p>
      <w:r>
        <w:rPr>
          <w:color w:val="5A7D3A"/>
          <w:sz w:val="18"/>
        </w:rPr>
        <w:t>https://pubmed.ncbi.nlm.nih.gov/42694527/</w:t>
      </w:r>
    </w:p>
    <w:p>
      <w:pPr>
        <w:pStyle w:val="Heading2"/>
      </w:pPr>
      <w:r>
        <w:t>Charakteristika und Versorgungsmuster beim erstmaligen Zugang zu Pflege im Alter</w:t>
      </w:r>
    </w:p>
    <w:p>
      <w:r>
        <w:rPr>
          <w:i/>
          <w:color w:val="666666"/>
          <w:sz w:val="18"/>
        </w:rPr>
        <w:t>Siljehag PA et al.  ·  BMC Health Serv Res  ·  02.09.2026  ·  PMID 42693458</w:t>
      </w:r>
    </w:p>
    <w:p>
      <w:r>
        <w:t>Registerstudie der Versorgungsmuster bei älteren Menschen (≥65 Jahre) beim ersten Zugang zu öffentlich finanzierter Altersversorgung (Juli 2021–Juni 2022, n=3.649).</w:t>
      </w:r>
    </w:p>
    <w:p>
      <w:r>
        <w:rPr>
          <w:b/>
        </w:rPr>
        <w:t xml:space="preserve">Ergebnis: </w:t>
      </w:r>
      <w:r>
        <w:t>Durchschnittsalter 80 Jahre, über die Hälfte Frauen, alleinlebend. Ein Viertel mit ausgedehnten funktionalen Einschränkungen. Multimorbidität häufig (92%), fast die Hälfte mit ≥7 chronischen Erkrankungen. Psychiatrische Komorbiditäten in 15% der Fälle. Primärversorgung in 80% vorausgegangen. Häusliche Pflege in 95%. Jede zweite Person erfolgte Eintritt unmittelbar nach stationärer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 mit ähnlichen Sozialversicherungs- und Altersstruktur-grundlagen; hohe Übertragbarkeit auf deutsches Versorgungssystem</w:t>
      </w:r>
    </w:p>
    <w:p>
      <w:r>
        <w:rPr>
          <w:color w:val="5A7D3A"/>
          <w:sz w:val="18"/>
        </w:rPr>
        <w:t>https://pubmed.ncbi.nlm.nih.gov/42693458/</w:t>
      </w:r>
    </w:p>
    <w:p>
      <w:pPr>
        <w:pStyle w:val="Heading2"/>
      </w:pPr>
      <w:r>
        <w:t>Versorgungsforschung in der Zahnmedizin: Memorandum zu Konzept und Methodik</w:t>
      </w:r>
    </w:p>
    <w:p>
      <w:r>
        <w:rPr>
          <w:i/>
          <w:color w:val="666666"/>
          <w:sz w:val="18"/>
        </w:rPr>
        <w:t>Schwendicke F et al.  ·  Gesundheitswesen  ·  03.09.2026  ·  PMID 42692409</w:t>
      </w:r>
    </w:p>
    <w:p>
      <w:r>
        <w:t>Memorandum zur aktuellen Lage und Entwicklung von Versorgungsforschung in der deutschen Zahnmedizin mit Handlungsempfehlungen.</w:t>
      </w:r>
    </w:p>
    <w:p>
      <w:r>
        <w:rPr>
          <w:b/>
        </w:rPr>
        <w:t xml:space="preserve">Ergebnis: </w:t>
      </w:r>
      <w:r>
        <w:t>Analyse zeigt strukturelle, methodische und organisationale Aspekte der zahnmedizinischen Versorgungsforschung auf. Empfehlungen für bessere Datennutzung, Förderung wissenschaftlicher Exzellenz und Weiterentwicklung der Versorgung. Adressiert Innovationspotenziale und konkrete Ansätze zur 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Zahnmedizin; direkt für deutsches Gesundheitswesen anwendbar</w:t>
      </w:r>
    </w:p>
    <w:p>
      <w:r>
        <w:rPr>
          <w:color w:val="5A7D3A"/>
          <w:sz w:val="18"/>
        </w:rPr>
        <w:t>https://pubmed.ncbi.nlm.nih.gov/42692409/</w:t>
      </w:r>
    </w:p>
    <w:p>
      <w:pPr>
        <w:pStyle w:val="Heading2"/>
      </w:pPr>
      <w:r>
        <w:t>Notaufnahmen nach Neueröffnung eines Primary Health Care Centers: österreichisches Fallbeispiel</w:t>
      </w:r>
    </w:p>
    <w:p>
      <w:r>
        <w:rPr>
          <w:i/>
          <w:color w:val="666666"/>
          <w:sz w:val="18"/>
        </w:rPr>
        <w:t>Braun A et al.  ·  Health Policy  ·  28.08.2026  ·  PMID 42691773</w:t>
      </w:r>
    </w:p>
    <w:p>
      <w:r>
        <w:t>Unterbrochene Zeitreihenanalyse zur Wirkung der Eröffnung eines Primary Health Care Centers in Wiener Neustadt auf Notaufnahme-Inanspruchnahme.</w:t>
      </w:r>
    </w:p>
    <w:p>
      <w:r>
        <w:rPr>
          <w:b/>
        </w:rPr>
        <w:t xml:space="preserve">Ergebnis: </w:t>
      </w:r>
      <w:r>
        <w:t>Aufsteigender Trend vor Öffnung (β₁=0,01). Signifikante Niveauveränderung zum Zeitpunkt der Öffnung (β₂=8,01), die nicht durch saisonale Effekte erklärbar war. Nach Öffnung reversierter Trend (β₃=-0,03). Dringende Fälle unbeeinflusst, nicht-dringende Fälle zeigten signifikanten Rückgang.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Sozialversicherungssystem; sehr hohe Übertragbarkeit auf deutsches Versorgungssystem</w:t>
      </w:r>
    </w:p>
    <w:p>
      <w:r>
        <w:rPr>
          <w:color w:val="5A7D3A"/>
          <w:sz w:val="18"/>
        </w:rPr>
        <w:t>https://pubmed.ncbi.nlm.nih.gov/42691773/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2026-09-05T06:00:00Z</dcterms:created>
  <dcterms:modified xsi:type="dcterms:W3CDTF">2026-09-05T06:00:00Z</dcterms:modified>
  <cp:category/>
</cp:coreProperties>
</file>