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03.10.2026  |  7 Studien  |  wissen.m-vf.de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Rural medical students in China: nur 23% planen längerfristiges Bleiben im Landdienst</w:t>
      </w:r>
    </w:p>
    <w:p>
      <w:r>
        <w:rPr>
          <w:i/>
          <w:color w:val="666666"/>
          <w:sz w:val="18"/>
        </w:rPr>
        <w:t>Zhang X et al.  ·  BMC Health Serv Res  ·  21.09.2026  ·  PMID 42823771</w:t>
      </w:r>
    </w:p>
    <w:p>
      <w:r>
        <w:t>Qualitative Studie zu Bleibechancen ländlich ausgebildeter Medizinstudierender in chinesischen Stadtgesundheitszentren nach Pflichtdienst.</w:t>
      </w:r>
    </w:p>
    <w:p>
      <w:r>
        <w:rPr>
          <w:b/>
        </w:rPr>
        <w:t xml:space="preserve">Ergebnis: </w:t>
      </w:r>
      <w:r>
        <w:t>Von 26 befragten Studierenden wollten nur 23,1% (6/26) über die vorgeschriebene Dienstzeit hinaus bleiben. Führungsunterstützung erwies sich als prominentester Faktor für Unterschiede zwischen Bleibern und Weggehern. Work-Family-Balance war Erleichterungsfaktor. Karrieremobilitätsmechanismen wurden als unterentwickelt wahrgenommen.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ländliche Kontexte in China; Fachkräftemangel aber global relevant.</w:t>
      </w:r>
    </w:p>
    <w:p>
      <w:r>
        <w:rPr>
          <w:color w:val="5A7D3A"/>
          <w:sz w:val="18"/>
        </w:rPr>
        <w:t>https://pubmed.ncbi.nlm.nih.gov/42823771/</w:t>
      </w:r>
    </w:p>
    <w:p>
      <w:pPr>
        <w:pStyle w:val="Heading2"/>
      </w:pPr>
      <w:r>
        <w:t>Specialist-led interprofessional weaning program reduces failed weaning in high-risk ICU patients</w:t>
      </w:r>
    </w:p>
    <w:p>
      <w:r>
        <w:rPr>
          <w:i/>
          <w:color w:val="666666"/>
          <w:sz w:val="18"/>
        </w:rPr>
        <w:t>Trudzinski FC et al.  ·  Crit Care  ·  30.09.2026  ·  PMID 42823746</w:t>
      </w:r>
    </w:p>
    <w:p>
      <w:r>
        <w:t>Deutsche Studie zur Wirksamkeit eines spezialisierten, interprofessionellen Beatmungsentwöhnungsprogramms bei intensivpflichtigen Patienten mit hohemRisiko.</w:t>
      </w:r>
    </w:p>
    <w:p>
      <w:r>
        <w:rPr>
          <w:b/>
        </w:rPr>
        <w:t xml:space="preserve">Ergebnis: </w:t>
      </w:r>
      <w:r>
        <w:t>In der propensity-score-matched Analyse wiesen Interventionspatienten höhere Quoten erfolgreicher Beatmungsentwöhnung auf (58,3% vs. 46,4%, OR 2,90; 95%-KI 1,61–5,24; p&lt;0,001). Im unadjustierten primären Analyseplan erreichte der Unterschied keine statistische Signifikanz (OR 1,46; p=0,057). Die Machbarkeit wurde demonstriert, mit 16,3% der Patienten in spezialisierte Weaning-Zentren verlegt.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ICU-Verweildauer und Beatmungsdauer sind zentrale Versorgungsergebnisse.</w:t>
      </w:r>
    </w:p>
    <w:p>
      <w:r>
        <w:rPr>
          <w:color w:val="5A7D3A"/>
          <w:sz w:val="18"/>
        </w:rPr>
        <w:t>https://pubmed.ncbi.nlm.nih.gov/42823746/</w:t>
      </w:r>
    </w:p>
    <w:p>
      <w:pPr>
        <w:pStyle w:val="Heading2"/>
      </w:pPr>
      <w:r>
        <w:t>Globale ökonomische Last der Schizophrenie: 243 Milliarden USD im Jahr 2019</w:t>
      </w:r>
    </w:p>
    <w:p>
      <w:r>
        <w:rPr>
          <w:i/>
          <w:color w:val="666666"/>
          <w:sz w:val="18"/>
        </w:rPr>
        <w:t>Welter LS et al.  ·  Int J Ment Health Syst  ·  29.09.2026  ·  PMID 42823740</w:t>
      </w:r>
    </w:p>
    <w:p>
      <w:r>
        <w:t>Health-Economic-Modeling-Studie zur globalen sozioökonomischen Last der Schizophrenie 2019 über 204 Länder (direkte, indirekte und informale Pflegekosten).</w:t>
      </w:r>
    </w:p>
    <w:p>
      <w:r>
        <w:rPr>
          <w:b/>
        </w:rPr>
        <w:t xml:space="preserve">Ergebnis: </w:t>
      </w:r>
      <w:r>
        <w:t>22,1 Millionen Erwachsene (0,39% Prävalenz) lebten mit Schizophrenie 2019. Gesamtkosten: 243,2 Milliarden USD (Kaufkraftparität): 47% direkte Kosten, 29% indirekt (Produktivitätsverluste), 24% informale Pflege. Obere-Mittel-Länder trugen proportional zu BIP am meisten, Hocheinkommensländer in absoluten und Pro-Kopf-Kosten am meisten. Regionale Heterogenität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Modellierung; für Versorgungsforschung Deutschland relevant zur Kostenlast-Abschätzung.</w:t>
      </w:r>
    </w:p>
    <w:p>
      <w:r>
        <w:rPr>
          <w:color w:val="5A7D3A"/>
          <w:sz w:val="18"/>
        </w:rPr>
        <w:t>https://pubmed.ncbi.nlm.nih.gov/42823740/</w:t>
      </w:r>
    </w:p>
    <w:p>
      <w:pPr>
        <w:pStyle w:val="Heading2"/>
      </w:pPr>
      <w:r>
        <w:t>Muskel-Selbstmanagement und virtuelle Physiotherapie in Saudi-Arabien: Kulturelle Anpassungen erforderlich</w:t>
      </w:r>
    </w:p>
    <w:p>
      <w:r>
        <w:rPr>
          <w:i/>
          <w:color w:val="666666"/>
          <w:sz w:val="18"/>
        </w:rPr>
        <w:t>AlMuhana N et al.  ·  BMC Health Serv Res  ·  28.09.2026  ·  PMID 42823682</w:t>
      </w:r>
    </w:p>
    <w:p>
      <w:r>
        <w:t>Qualitative Studie (8 Fokusgruppen, n=36) zu Muskel-Selbstmanagement und Akzeptanz virtueller Physiotherapie in Saudi-Arabien.</w:t>
      </w:r>
    </w:p>
    <w:p>
      <w:r>
        <w:rPr>
          <w:b/>
        </w:rPr>
        <w:t xml:space="preserve">Ergebnis: </w:t>
      </w:r>
      <w:r>
        <w:t>Patienten praktizieren selbstgesteuertes Management wegen verzögerter professioneller Versorgung. Barrieren: strukturelle, psychologische, relationale Faktoren. Neu: Kulturelle Lücke – Patienten brauchten Anleitung zum Anpassen von Salah (islamisches Gebet) bei Muskelschmerzen. Hybrida Versorgung wurde bevorzugt (virtuelle Nachsorge nach In-Person-Assessment), nicht virtuell von Anfang an.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systemische Übertragbarkeit limitiert, aber Befunde zu Selbstmanagement und virtueller Versorgung aussagekräftig.</w:t>
      </w:r>
    </w:p>
    <w:p>
      <w:r>
        <w:rPr>
          <w:color w:val="5A7D3A"/>
          <w:sz w:val="18"/>
        </w:rPr>
        <w:t>https://pubmed.ncbi.nlm.nih.gov/42823682/</w:t>
      </w:r>
    </w:p>
    <w:p>
      <w:pPr>
        <w:pStyle w:val="Heading2"/>
      </w:pPr>
      <w:r>
        <w:t>mHealth-gestützte Integrated Care für ältere Vorhofflimmernpatienten: Kein Vorteil bei optimaler Baseline</w:t>
      </w:r>
    </w:p>
    <w:p>
      <w:r>
        <w:rPr>
          <w:i/>
          <w:color w:val="666666"/>
          <w:sz w:val="18"/>
        </w:rPr>
        <w:t>Lip GYH et al.  ·  Lancet Reg Health Eur  ·  30.08.2026  ·  PMID 42819749</w:t>
      </w:r>
    </w:p>
    <w:p>
      <w:r>
        <w:t>AFFIRMO cluster-RCT in 6 europäischen Ländern zu iABC-System (Integrated Care mit CGA) vs. usual care bei älteren multimorbiden Vorhofflimmernpatienten.</w:t>
      </w:r>
    </w:p>
    <w:p>
      <w:r>
        <w:rPr>
          <w:b/>
        </w:rPr>
        <w:t xml:space="preserve">Ergebnis: </w:t>
      </w:r>
      <w:r>
        <w:t>1.260 Patienten (Alter 74 Jahre, CHA₂DS₂-VASc 4). Primärer Endpunkt ungeplante Hospitalisierung: 17,1% (Intervention) vs. 18,2% (usual care), OR 0,95 (95%-KI 0,61–1,49; p=0,84). App-Nutzung suboptimal (68,5% nur 1/3 der Beobachtungszeit). Günstige Baseline-Compliance (97,3% Antikoagulation).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Mehrländer-Studie mit europäischem Kontext, aber System steuerfinanziert; begrenzte Übertragbarkeit auf deutsches Sozialversicherungssystem.</w:t>
      </w:r>
    </w:p>
    <w:p>
      <w:r>
        <w:rPr>
          <w:color w:val="5A7D3A"/>
          <w:sz w:val="18"/>
        </w:rPr>
        <w:t>https://pubmed.ncbi.nlm.nih.gov/42819749/</w:t>
      </w:r>
    </w:p>
    <w:p>
      <w:pPr>
        <w:pStyle w:val="Heading2"/>
      </w:pPr>
      <w:r>
        <w:t>Blutbasierte Screening-Programme am Arbeitsplatz: Ökonomische Ergebnisse inkonsistent</w:t>
      </w:r>
    </w:p>
    <w:p>
      <w:r>
        <w:rPr>
          <w:i/>
          <w:color w:val="666666"/>
          <w:sz w:val="18"/>
        </w:rPr>
        <w:t>Swadźba D et al.  ·  BMC Health Serv Res  ·  29.09.2026  ·  PMID 42816856</w:t>
      </w:r>
    </w:p>
    <w:p>
      <w:r>
        <w:t>Systematischer Review (56 Studien, überwiegend US-Beobachtungsdaten) zu wirtschaftlichen und Produktivitätsergebnissen von Workplace-Health-Programmen mit Blutscreening.</w:t>
      </w:r>
    </w:p>
    <w:p>
      <w:r>
        <w:rPr>
          <w:b/>
        </w:rPr>
        <w:t xml:space="preserve">Ergebnis: </w:t>
      </w:r>
      <w:r>
        <w:t>Gesundheitskosten: 21 von 29 Studien zeigten günstige Ergebnisse. Return-on-Investment: einheitlich positiv (20 Studien), ohne Abschwächung mit Studienqualität. Absenteeismus: 23 Studien, inkonsistent. Präsentismus/Fluktuation: selten gemessen. Günstiger Effekt nur bei strukturiert begleiteten Programmen, nicht Screening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US-Daten; Fragestellung aber systemunabhängig relevant für Betriebliche Gesundheitsförderung.</w:t>
      </w:r>
    </w:p>
    <w:p>
      <w:r>
        <w:rPr>
          <w:color w:val="5A7D3A"/>
          <w:sz w:val="18"/>
        </w:rPr>
        <w:t>https://pubmed.ncbi.nlm.nih.gov/42816856/</w:t>
      </w:r>
    </w:p>
    <w:p>
      <w:pPr>
        <w:pStyle w:val="Heading2"/>
      </w:pPr>
      <w:r>
        <w:t>Palliativmedizin bei fortgeschrittenem Krebs: MA-Versicherte nutzen mehr, aber bekommen weniger Chemotherapie</w:t>
      </w:r>
    </w:p>
    <w:p>
      <w:r>
        <w:rPr>
          <w:i/>
          <w:color w:val="666666"/>
          <w:sz w:val="18"/>
        </w:rPr>
        <w:t>Hu X et al.  ·  JAMA Netw Open  ·  01.09.2026  ·  PMID 42814462</w:t>
      </w:r>
    </w:p>
    <w:p>
      <w:r>
        <w:t>Kohortenstudie mit SEER/Medicare-Daten zu Palliativmedizin-, Systemtherapie- und Hospiz-Nutzung bei fortgeschrittenem Krebs (Mammakarzinom, CRC, Lungenkarzinom, Pankreaskarzinom, Prostatakarzinom) in Medicare Advantage (MA) vs. Traditional Medicare (TM), 2016–2021.</w:t>
      </w:r>
    </w:p>
    <w:p>
      <w:r>
        <w:rPr>
          <w:b/>
        </w:rPr>
        <w:t xml:space="preserve">Ergebnis: </w:t>
      </w:r>
      <w:r>
        <w:t>135.402 Patienten (32,3% MA, 67,7% TM). MA-Patienten: höhere 6-Monats-Kumulativ-Inzidenz Palliativmedizin (13,3% vs. 9,3%; aHR 1,39 [95%-KI 1,35–1,44]; p&lt;0,001), vor allem HMO-Pläne (aHR 1,66). Nach Oncologist-Matching: PA-Unterschied aufgelöst (aHR 1,05; p=0,19), aber MA-Patienten hatten weniger Systemtherapie (−5,4 Prozentpunkte) und mehr Hospiz (+3,4 Prozentpunkte), persistent nach Matching.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US-Daten; Frage zur Versorgungssteuerung systemabhängig, aber Palliativmedizin-Integration relevant.</w:t>
      </w:r>
    </w:p>
    <w:p>
      <w:r>
        <w:rPr>
          <w:color w:val="5A7D3A"/>
          <w:sz w:val="18"/>
        </w:rPr>
        <w:t>https://pubmed.ncbi.nlm.nih.gov/42814462/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