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27.09.2026  |  6 Studien  |  wissen.m-vf.de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Geschlechtsspezifische Depressionsdiagnostik: Validierung des DESY-PC in der Primärversorgung</w:t>
      </w:r>
    </w:p>
    <w:p>
      <w:r>
        <w:rPr>
          <w:i/>
          <w:color w:val="666666"/>
          <w:sz w:val="18"/>
        </w:rPr>
        <w:t>Schäffler L et al.  ·  Eur Arch Psychiatry Clin Neurosci  ·  26.09.2026  ·  PMID 42799905</w:t>
      </w:r>
    </w:p>
    <w:p>
      <w:r>
        <w:t>Sekundäranalyse einer diagnostischen Querschnittsstudie mit 431 Primärversorgungspatienten (61% Frauen) zur Testgüte des neuen DESY-PC-Fragebogens versus PHQ-9 mit strukturiertem klinischem Interview als Goldstandard.</w:t>
      </w:r>
    </w:p>
    <w:p>
      <w:r>
        <w:rPr>
          <w:b/>
        </w:rPr>
        <w:t xml:space="preserve">Ergebnis: </w:t>
      </w:r>
      <w:r>
        <w:t>DESY-PC zeigte vergleichbare diagnostische Genauigkeit bei Frauen (AUC 0,85, 95% CI 0,80-0,91) und Männern (AUC 0,90, 95% CI 0,83-0,97, p=0,340). Sensitivität und Spezifität waren ausgeglichen (Cut-off 16: Sensitivität Frauen 74%, Männer 83%, p=0,422; Spezifität Frauen 82%, Männer 87%, p=0,220). Messinvarianz über Geschlechter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Akademische Primärversorgungspraxis in München; Screening-Instrument systemunabhängig</w:t>
      </w:r>
    </w:p>
    <w:p>
      <w:r>
        <w:rPr>
          <w:color w:val="5A7D3A"/>
          <w:sz w:val="18"/>
        </w:rPr>
        <w:t>https://pubmed.ncbi.nlm.nih.gov/42799905/</w:t>
      </w:r>
    </w:p>
    <w:p>
      <w:pPr>
        <w:pStyle w:val="Heading2"/>
      </w:pPr>
      <w:r>
        <w:t>Psychische Gesundheitsdiagnosen bei Kindern und Jugendlichen vor und während COVID-19 in Niedersachsen</w:t>
      </w:r>
    </w:p>
    <w:p>
      <w:r>
        <w:rPr>
          <w:i/>
          <w:color w:val="666666"/>
          <w:sz w:val="18"/>
        </w:rPr>
        <w:t>Jobski K et al.  ·  Children (Basel)  ·  14.09.2026  ·  PMID 42794265</w:t>
      </w:r>
    </w:p>
    <w:p>
      <w:r>
        <w:t>Trends-Analyse mit Routinedaten der AOK Niedersachsen 2018-2022 bei etwa 500.000 Versicherten unter 18 Jahren zur Inzidenz und Prävalenz von Angststörungen, depressiven Störungen, Essstörungen und ADHS.</w:t>
      </w:r>
    </w:p>
    <w:p>
      <w:r>
        <w:rPr>
          <w:b/>
        </w:rPr>
        <w:t xml:space="preserve">Ergebnis: </w:t>
      </w:r>
      <w:r>
        <w:t>2021 höchste Inzidenz für Angststörungen (34,7/1.000), gefolgt von ADHS (18,0/1.000), Depression (13,7/1.000) und Essstörungen (2,7/1.000). Vergleich 2019 zu 2021: Inzidenzen stiegen alle, besonders bei Mädchen 15-17 Jahre (Angst +23%, Depression +25%, ADHS +54%, Essstörungen +90%). 2022 Rückgang, aber Prävalenz bei Mädchen nicht auf Vor-Pandemie-Niveau.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Kinder und Jugendliche Niedersachsen</w:t>
      </w:r>
    </w:p>
    <w:p>
      <w:r>
        <w:rPr>
          <w:color w:val="5A7D3A"/>
          <w:sz w:val="18"/>
        </w:rPr>
        <w:t>https://pubmed.ncbi.nlm.nih.gov/42794265/</w:t>
      </w:r>
    </w:p>
    <w:p>
      <w:pPr>
        <w:pStyle w:val="Heading2"/>
      </w:pPr>
      <w:r>
        <w:t>Schlaganfallzertifizierung und Prozessqualität in der akuten ischämischen Schlaganfallbehandlung</w:t>
      </w:r>
    </w:p>
    <w:p>
      <w:r>
        <w:rPr>
          <w:i/>
          <w:color w:val="666666"/>
          <w:sz w:val="18"/>
        </w:rPr>
        <w:t>Boehl M et al.  ·  Neurol Res Pract  ·  25.09.2026  ·  PMID 42791587</w:t>
      </w:r>
    </w:p>
    <w:p>
      <w:r>
        <w:t>Retrospektive Registeranalyse zur Assoziation zwischen Schlaganfalleinheitszertifizierung und Qualitätsindikatoren der intravenösen Thrombolyse in Hessen 2021-2024.</w:t>
      </w:r>
    </w:p>
    <w:p>
      <w:r>
        <w:rPr>
          <w:b/>
        </w:rPr>
        <w:t xml:space="preserve">Ergebnis: </w:t>
      </w:r>
      <w:r>
        <w:t>Zertifizierte Schlaganfalleinheiten führten signifikant häufiger Thrombolyse durch (primär 4,5 h: OR 2,32, 95% CI 1,65-3,27 für pSU; OR 2,19, 95% CI 1,57-3,07 für cSU). Door-to-needle ≤60 min wurden häufiger erreicht (pSU OR 3,13, 95% CI 2,13-4,61; cSU OR 2,60, 95% CI 1,80-3,75). Zertifizierung ist mit besseren Prozessqualitätsindikatoren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Hessen, gesetzlich versicherte Schlaganfallpatienten</w:t>
      </w:r>
    </w:p>
    <w:p>
      <w:r>
        <w:rPr>
          <w:color w:val="5A7D3A"/>
          <w:sz w:val="18"/>
        </w:rPr>
        <w:t>https://pubmed.ncbi.nlm.nih.gov/42791587/</w:t>
      </w:r>
    </w:p>
    <w:p>
      <w:pPr>
        <w:pStyle w:val="Heading2"/>
      </w:pPr>
      <w:r>
        <w:t>Patient-reported Experience und psychische Gesundheit: Unterschiede zwischen Immigrant*innen und norwegischer Bevölkerung in der Psychiatrie</w:t>
      </w:r>
    </w:p>
    <w:p>
      <w:r>
        <w:rPr>
          <w:i/>
          <w:color w:val="666666"/>
          <w:sz w:val="18"/>
        </w:rPr>
        <w:t>Ellingsen-Dalskau LH et al.  ·  BMC Health Serv Res  ·  12.09.2026  ·  PMID 42791573</w:t>
      </w:r>
    </w:p>
    <w:p>
      <w:r>
        <w:t>Nationale Befragung (2020-2022) von 8.184 Patienten in norwegischen psychiatrischen Stationen mit gemischten Methoden zu Unterschieden in Patientenerfahrung und Zwangsmaßnahmen zwischen Immigrant*innen und Mehrheitsbevölkerung.</w:t>
      </w:r>
    </w:p>
    <w:p>
      <w:r>
        <w:rPr>
          <w:b/>
        </w:rPr>
        <w:t xml:space="preserve">Ergebnis: </w:t>
      </w:r>
      <w:r>
        <w:t>Einige Immigrant*innengruppen berichteten höhere Zwangsanwendung und geringere Verbesserung der psychischen Gesundheit; qualitative Analyse zeigte unterschiedliche Erwartungen, Vertrauen, Kommunikation und Informationszugang als Einflussfaktoren. Insgesamt ähnliche Erfahrungswerte, aber kontextabhängige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Skandinavien mit ähnlichem Sozialversicherungssystem; Patientenperspektive übertragbar</w:t>
      </w:r>
    </w:p>
    <w:p>
      <w:r>
        <w:rPr>
          <w:color w:val="5A7D3A"/>
          <w:sz w:val="18"/>
        </w:rPr>
        <w:t>https://pubmed.ncbi.nlm.nih.gov/42791573/</w:t>
      </w:r>
    </w:p>
    <w:p>
      <w:pPr>
        <w:pStyle w:val="Heading2"/>
      </w:pPr>
      <w:r>
        <w:t>Bedeutung von Präsenzberatung in TIA-Kliniken aus Patienten- und Fachperspektive</w:t>
      </w:r>
    </w:p>
    <w:p>
      <w:r>
        <w:rPr>
          <w:i/>
          <w:color w:val="666666"/>
          <w:sz w:val="18"/>
        </w:rPr>
        <w:t>Heath J et al.  ·  BMC Health Serv Res  ·  14.09.2026  ·  PMID 42791572</w:t>
      </w:r>
    </w:p>
    <w:p>
      <w:r>
        <w:t>Qualitative Interviews mit 15 Patienten und 12 Fachpersonen in England zur Evaluation von virtuellen versus Face-to-Face-TIA-Kliniken während und nach COVID-19.</w:t>
      </w:r>
    </w:p>
    <w:p>
      <w:r>
        <w:rPr>
          <w:b/>
        </w:rPr>
        <w:t xml:space="preserve">Ergebnis: </w:t>
      </w:r>
      <w:r>
        <w:t>Patienten betonten die Wichtigkeit von Präsenzkontakt ('being seen'); zwei Kernthemen identifiziert: (1) bessere Kommunikationsmöglichkeiten und (2) Gefühl, von einem multiprofessionellen Team versorgt zu werden. Fachpersonen sahen virtuelle Kliniken positiver als Patienten; eine Hybrid-Lösung könnte optimal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aber Fragestellung zu Patientenperspektive systemunabhängig</w:t>
      </w:r>
    </w:p>
    <w:p>
      <w:r>
        <w:rPr>
          <w:color w:val="5A7D3A"/>
          <w:sz w:val="18"/>
        </w:rPr>
        <w:t>https://pubmed.ncbi.nlm.nih.gov/42791572/</w:t>
      </w:r>
    </w:p>
    <w:p>
      <w:pPr>
        <w:pStyle w:val="Heading2"/>
      </w:pPr>
      <w:r>
        <w:t>Patient-Journey-Mapping für allogene Stammzelltransplantation: Holistische Versorgungsbedarfe</w:t>
      </w:r>
    </w:p>
    <w:p>
      <w:r>
        <w:rPr>
          <w:i/>
          <w:color w:val="666666"/>
          <w:sz w:val="18"/>
        </w:rPr>
        <w:t>Nan J et al.  ·  BMC Health Serv Res  ·  13.08.2026  ·  PMID 42786489</w:t>
      </w:r>
    </w:p>
    <w:p>
      <w:r>
        <w:t>Qualitative Studie mit 16 allogenen-HSCT-Patienten (November-Dezember 2025) zur Kartierung der Gesundheitsmanagement-Reise über vier Phasen (Screening, Transplantation, Erhaltungstherapie, Langzeit-Follow-up).</w:t>
      </w:r>
    </w:p>
    <w:p>
      <w:r>
        <w:rPr>
          <w:b/>
        </w:rPr>
        <w:t xml:space="preserve">Ergebnis: </w:t>
      </w:r>
      <w:r>
        <w:t>31 Themen über drei Dimensionen identifiziert (Aufgabenausführung, emotionaler Zustand, Schmerzpunkte). Symptombelastung verschoben sich dynamisch: psychische Belastung und Entscheidungslähmung in Phase 1, akute physische Symptome in Phase 2, chronische funktionelle Rückgänge in Phase 4. Durchgehend kritische Schmerzpunkte: fragmentierte Übergänge, Misalignment von Information zu Bedarf, fehlendes Selbstmanagement-Support, finanzielle 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patient-centered Journey-Mapping-Methodik systemunabhängig übertragbar</w:t>
      </w:r>
    </w:p>
    <w:p>
      <w:r>
        <w:rPr>
          <w:color w:val="5A7D3A"/>
          <w:sz w:val="18"/>
        </w:rPr>
        <w:t>https://pubmed.ncbi.nlm.nih.gov/42786489/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