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27.09.2026  |  261 Studien  |  wissen.m-vf.de</w:t>
      </w:r>
    </w:p>
    <w:p>
      <w:pPr>
        <w:pStyle w:val="Heading1"/>
      </w:pPr>
      <w:r>
        <w:t>Aufgenommen am 27.09.2026</w:t>
      </w:r>
    </w:p>
    <w:p>
      <w:pPr>
        <w:pStyle w:val="Heading2"/>
      </w:pPr>
      <w:r>
        <w:t>Geschlechtsspezifische Depressionsdiagnostik: Validierung des DESY-PC in der Primärversorgung</w:t>
      </w:r>
    </w:p>
    <w:p>
      <w:r>
        <w:rPr>
          <w:i/>
          <w:color w:val="666666"/>
          <w:sz w:val="18"/>
        </w:rPr>
        <w:t>Schäffler L et al.  ·  Eur Arch Psychiatry Clin Neurosci  ·  26.09.2026  ·  PMID 42799905</w:t>
      </w:r>
    </w:p>
    <w:p>
      <w:r>
        <w:t>Sekundäranalyse einer diagnostischen Querschnittsstudie mit 431 Primärversorgungspatienten (61% Frauen) zur Testgüte des neuen DESY-PC-Fragebogens versus PHQ-9 mit strukturiertem klinischem Interview als Goldstandard.</w:t>
      </w:r>
    </w:p>
    <w:p>
      <w:r>
        <w:rPr>
          <w:b/>
        </w:rPr>
        <w:t xml:space="preserve">Ergebnis: </w:t>
      </w:r>
      <w:r>
        <w:t>DESY-PC zeigte vergleichbare diagnostische Genauigkeit bei Frauen (AUC 0,85, 95% CI 0,80-0,91) und Männern (AUC 0,90, 95% CI 0,83-0,97, p=0,340). Sensitivität und Spezifität waren ausgeglichen (Cut-off 16: Sensitivität Frauen 74%, Männer 83%, p=0,422; Spezifität Frauen 82%, Männer 87%, p=0,220). Messinvarianz über Geschlechter bestätigt.</w:t>
      </w:r>
    </w:p>
    <w:p>
      <w:r>
        <w:rPr>
          <w:b/>
          <w:sz w:val="19"/>
        </w:rPr>
        <w:t xml:space="preserve">Übertragbarkeit: </w:t>
      </w:r>
      <w:r>
        <w:rPr>
          <w:sz w:val="19"/>
        </w:rPr>
        <w:t>Deutsche Akademische Primärversorgungspraxis in München; Screening-Instrument systemunabhängig</w:t>
      </w:r>
    </w:p>
    <w:p>
      <w:r>
        <w:rPr>
          <w:color w:val="5A7D3A"/>
          <w:sz w:val="18"/>
        </w:rPr>
        <w:t>https://pubmed.ncbi.nlm.nih.gov/42799905/</w:t>
      </w:r>
    </w:p>
    <w:p>
      <w:pPr>
        <w:pStyle w:val="Heading2"/>
      </w:pPr>
      <w:r>
        <w:t>Psychische Gesundheitsdiagnosen bei Kindern und Jugendlichen vor und während COVID-19 in Niedersachsen</w:t>
      </w:r>
    </w:p>
    <w:p>
      <w:r>
        <w:rPr>
          <w:i/>
          <w:color w:val="666666"/>
          <w:sz w:val="18"/>
        </w:rPr>
        <w:t>Jobski K et al.  ·  Children (Basel)  ·  14.09.2026  ·  PMID 42794265</w:t>
      </w:r>
    </w:p>
    <w:p>
      <w:r>
        <w:t>Trends-Analyse mit Routinedaten der AOK Niedersachsen 2018-2022 bei etwa 500.000 Versicherten unter 18 Jahren zur Inzidenz und Prävalenz von Angststörungen, depressiven Störungen, Essstörungen und ADHS.</w:t>
      </w:r>
    </w:p>
    <w:p>
      <w:r>
        <w:rPr>
          <w:b/>
        </w:rPr>
        <w:t xml:space="preserve">Ergebnis: </w:t>
      </w:r>
      <w:r>
        <w:t>2021 höchste Inzidenz für Angststörungen (34,7/1.000), gefolgt von ADHS (18,0/1.000), Depression (13,7/1.000) und Essstörungen (2,7/1.000). Vergleich 2019 zu 2021: Inzidenzen stiegen alle, besonders bei Mädchen 15-17 Jahre (Angst +23%, Depression +25%, ADHS +54%, Essstörungen +90%). 2022 Rückgang, aber Prävalenz bei Mädchen nicht auf Vor-Pandemie-Niveau.</w:t>
      </w:r>
    </w:p>
    <w:p>
      <w:r>
        <w:rPr>
          <w:b/>
          <w:sz w:val="19"/>
        </w:rPr>
        <w:t xml:space="preserve">Übertragbarkeit: </w:t>
      </w:r>
      <w:r>
        <w:rPr>
          <w:sz w:val="19"/>
        </w:rPr>
        <w:t>Deutsche Routinedaten, gesetzlich versicherte Kinder und Jugendliche Niedersachsen</w:t>
      </w:r>
    </w:p>
    <w:p>
      <w:r>
        <w:rPr>
          <w:color w:val="5A7D3A"/>
          <w:sz w:val="18"/>
        </w:rPr>
        <w:t>https://pubmed.ncbi.nlm.nih.gov/42794265/</w:t>
      </w:r>
    </w:p>
    <w:p>
      <w:pPr>
        <w:pStyle w:val="Heading2"/>
      </w:pPr>
      <w:r>
        <w:t>Schlaganfallzertifizierung und Prozessqualität in der akuten ischämischen Schlaganfallbehandlung</w:t>
      </w:r>
    </w:p>
    <w:p>
      <w:r>
        <w:rPr>
          <w:i/>
          <w:color w:val="666666"/>
          <w:sz w:val="18"/>
        </w:rPr>
        <w:t>Boehl M et al.  ·  Neurol Res Pract  ·  25.09.2026  ·  PMID 42791587</w:t>
      </w:r>
    </w:p>
    <w:p>
      <w:r>
        <w:t>Retrospektive Registeranalyse zur Assoziation zwischen Schlaganfalleinheitszertifizierung und Qualitätsindikatoren der intravenösen Thrombolyse in Hessen 2021-2024.</w:t>
      </w:r>
    </w:p>
    <w:p>
      <w:r>
        <w:rPr>
          <w:b/>
        </w:rPr>
        <w:t xml:space="preserve">Ergebnis: </w:t>
      </w:r>
      <w:r>
        <w:t>Zertifizierte Schlaganfalleinheiten führten signifikant häufiger Thrombolyse durch (primär 4,5 h: OR 2,32, 95% CI 1,65-3,27 für pSU; OR 2,19, 95% CI 1,57-3,07 für cSU). Door-to-needle ≤60 min wurden häufiger erreicht (pSU OR 3,13, 95% CI 2,13-4,61; cSU OR 2,60, 95% CI 1,80-3,75). Zertifizierung ist mit besseren Prozessqualitätsindikatoren assoziiert.</w:t>
      </w:r>
    </w:p>
    <w:p>
      <w:r>
        <w:rPr>
          <w:b/>
          <w:sz w:val="19"/>
        </w:rPr>
        <w:t xml:space="preserve">Übertragbarkeit: </w:t>
      </w:r>
      <w:r>
        <w:rPr>
          <w:sz w:val="19"/>
        </w:rPr>
        <w:t>Deutsche Routinedaten aus Hessen, gesetzlich versicherte Schlaganfallpatienten</w:t>
      </w:r>
    </w:p>
    <w:p>
      <w:r>
        <w:rPr>
          <w:color w:val="5A7D3A"/>
          <w:sz w:val="18"/>
        </w:rPr>
        <w:t>https://pubmed.ncbi.nlm.nih.gov/42791587/</w:t>
      </w:r>
    </w:p>
    <w:p>
      <w:pPr>
        <w:pStyle w:val="Heading2"/>
      </w:pPr>
      <w:r>
        <w:t>Patient-reported Experience und psychische Gesundheit: Unterschiede zwischen Immigrant*innen und norwegischer Bevölkerung in der Psychiatrie</w:t>
      </w:r>
    </w:p>
    <w:p>
      <w:r>
        <w:rPr>
          <w:i/>
          <w:color w:val="666666"/>
          <w:sz w:val="18"/>
        </w:rPr>
        <w:t>Ellingsen-Dalskau LH et al.  ·  BMC Health Serv Res  ·  12.09.2026  ·  PMID 42791573</w:t>
      </w:r>
    </w:p>
    <w:p>
      <w:r>
        <w:t>Nationale Befragung (2020-2022) von 8.184 Patienten in norwegischen psychiatrischen Stationen mit gemischten Methoden zu Unterschieden in Patientenerfahrung und Zwangsmaßnahmen zwischen Immigrant*innen und Mehrheitsbevölkerung.</w:t>
      </w:r>
    </w:p>
    <w:p>
      <w:r>
        <w:rPr>
          <w:b/>
        </w:rPr>
        <w:t xml:space="preserve">Ergebnis: </w:t>
      </w:r>
      <w:r>
        <w:t>Einige Immigrant*innengruppen berichteten höhere Zwangsanwendung und geringere Verbesserung der psychischen Gesundheit; qualitative Analyse zeigte unterschiedliche Erwartungen, Vertrauen, Kommunikation und Informationszugang als Einflussfaktoren. Insgesamt ähnliche Erfahrungswerte, aber kontextabhängige Unterschiede.</w:t>
      </w:r>
    </w:p>
    <w:p>
      <w:r>
        <w:rPr>
          <w:b/>
          <w:sz w:val="19"/>
        </w:rPr>
        <w:t xml:space="preserve">Übertragbarkeit: </w:t>
      </w:r>
      <w:r>
        <w:rPr>
          <w:sz w:val="19"/>
        </w:rPr>
        <w:t>Norwegen, Skandinavien mit ähnlichem Sozialversicherungssystem; Patientenperspektive übertragbar</w:t>
      </w:r>
    </w:p>
    <w:p>
      <w:r>
        <w:rPr>
          <w:color w:val="5A7D3A"/>
          <w:sz w:val="18"/>
        </w:rPr>
        <w:t>https://pubmed.ncbi.nlm.nih.gov/42791573/</w:t>
      </w:r>
    </w:p>
    <w:p>
      <w:pPr>
        <w:pStyle w:val="Heading2"/>
      </w:pPr>
      <w:r>
        <w:t>Bedeutung von Präsenzberatung in TIA-Kliniken aus Patienten- und Fachperspektive</w:t>
      </w:r>
    </w:p>
    <w:p>
      <w:r>
        <w:rPr>
          <w:i/>
          <w:color w:val="666666"/>
          <w:sz w:val="18"/>
        </w:rPr>
        <w:t>Heath J et al.  ·  BMC Health Serv Res  ·  14.09.2026  ·  PMID 42791572</w:t>
      </w:r>
    </w:p>
    <w:p>
      <w:r>
        <w:t>Qualitative Interviews mit 15 Patienten und 12 Fachpersonen in England zur Evaluation von virtuellen versus Face-to-Face-TIA-Kliniken während und nach COVID-19.</w:t>
      </w:r>
    </w:p>
    <w:p>
      <w:r>
        <w:rPr>
          <w:b/>
        </w:rPr>
        <w:t xml:space="preserve">Ergebnis: </w:t>
      </w:r>
      <w:r>
        <w:t>Patienten betonten die Wichtigkeit von Präsenzkontakt ('being seen'); zwei Kernthemen identifiziert: (1) bessere Kommunikationsmöglichkeiten und (2) Gefühl, von einem multiprofessionellen Team versorgt zu werden. Fachpersonen sahen virtuelle Kliniken positiver als Patienten; eine Hybrid-Lösung könnte optimal sein.</w:t>
      </w:r>
    </w:p>
    <w:p>
      <w:r>
        <w:rPr>
          <w:b/>
          <w:sz w:val="19"/>
        </w:rPr>
        <w:t xml:space="preserve">Übertragbarkeit: </w:t>
      </w:r>
      <w:r>
        <w:rPr>
          <w:sz w:val="19"/>
        </w:rPr>
        <w:t>Großbritannien (NHS), aber Fragestellung zu Patientenperspektive systemunabhängig</w:t>
      </w:r>
    </w:p>
    <w:p>
      <w:r>
        <w:rPr>
          <w:color w:val="5A7D3A"/>
          <w:sz w:val="18"/>
        </w:rPr>
        <w:t>https://pubmed.ncbi.nlm.nih.gov/42791572/</w:t>
      </w:r>
    </w:p>
    <w:p>
      <w:pPr>
        <w:pStyle w:val="Heading2"/>
      </w:pPr>
      <w:r>
        <w:t>Patient-Journey-Mapping für allogene Stammzelltransplantation: Holistische Versorgungsbedarfe</w:t>
      </w:r>
    </w:p>
    <w:p>
      <w:r>
        <w:rPr>
          <w:i/>
          <w:color w:val="666666"/>
          <w:sz w:val="18"/>
        </w:rPr>
        <w:t>Nan J et al.  ·  BMC Health Serv Res  ·  13.08.2026  ·  PMID 42786489</w:t>
      </w:r>
    </w:p>
    <w:p>
      <w:r>
        <w:t>Qualitative Studie mit 16 allogenen-HSCT-Patienten (November-Dezember 2025) zur Kartierung der Gesundheitsmanagement-Reise über vier Phasen (Screening, Transplantation, Erhaltungstherapie, Langzeit-Follow-up).</w:t>
      </w:r>
    </w:p>
    <w:p>
      <w:r>
        <w:rPr>
          <w:b/>
        </w:rPr>
        <w:t xml:space="preserve">Ergebnis: </w:t>
      </w:r>
      <w:r>
        <w:t>31 Themen über drei Dimensionen identifiziert (Aufgabenausführung, emotionaler Zustand, Schmerzpunkte). Symptombelastung verschoben sich dynamisch: psychische Belastung und Entscheidungslähmung in Phase 1, akute physische Symptome in Phase 2, chronische funktionelle Rückgänge in Phase 4. Durchgehend kritische Schmerzpunkte: fragmentierte Übergänge, Misalignment von Information zu Bedarf, fehlendes Selbstmanagement-Support, finanzielle Last.</w:t>
      </w:r>
    </w:p>
    <w:p>
      <w:r>
        <w:rPr>
          <w:b/>
          <w:sz w:val="19"/>
        </w:rPr>
        <w:t xml:space="preserve">Übertragbarkeit: </w:t>
      </w:r>
      <w:r>
        <w:rPr>
          <w:sz w:val="19"/>
        </w:rPr>
        <w:t>China, aber patient-centered Journey-Mapping-Methodik systemunabhängig übertragbar</w:t>
      </w:r>
    </w:p>
    <w:p>
      <w:r>
        <w:rPr>
          <w:color w:val="5A7D3A"/>
          <w:sz w:val="18"/>
        </w:rPr>
        <w:t>https://pubmed.ncbi.nlm.nih.gov/42786489/</w:t>
      </w:r>
    </w:p>
    <w:p>
      <w:pPr>
        <w:pStyle w:val="Heading1"/>
      </w:pPr>
      <w:r>
        <w:t>Aufgenommen am 26.09.2026</w:t>
      </w:r>
    </w:p>
    <w:p>
      <w:pPr>
        <w:pStyle w:val="Heading2"/>
      </w:pPr>
      <w:r>
        <w:t>Strukturiertes Shared Decision-Making in der Krankenhausversorgung</w:t>
      </w:r>
    </w:p>
    <w:p>
      <w:r>
        <w:rPr>
          <w:i/>
          <w:color w:val="666666"/>
          <w:sz w:val="18"/>
        </w:rPr>
        <w:t>Salas-Gama K et al.  ·  J Healthc Qual Res  ·  25.09.2026  ·  PMID 42790349</w:t>
      </w:r>
    </w:p>
    <w:p>
      <w:r>
        <w:t>Entwicklung und pilotweise Implementierung eines sechsstufigen Shared-Decision-Making-Modells zur Integration in Krankenhausabläufe mit Evaluation von Machbarkeit, Akzeptabilität und Outcome.</w:t>
      </w:r>
    </w:p>
    <w:p>
      <w:r>
        <w:rPr>
          <w:b/>
        </w:rPr>
        <w:t xml:space="preserve">Ergebnis: </w:t>
      </w:r>
      <w:r>
        <w:t>Bei Adipositas berichteten SDM-Teilnehmer höheres Patientenwissen (80,0% vs. 48,8%; p&lt;0,001) und größere Entscheidungszufriedenheit (28,0 vs. 24,2; p=0,022). Bei chronischer Nierenkrankheit zeigte sich signifikant höheres Wissen (91,1% vs. 37,1%; p&lt;0,001). Machbarkeitsschwellen wurden in beiden Indikationen erreicht.</w:t>
      </w:r>
    </w:p>
    <w:p>
      <w:r>
        <w:rPr>
          <w:b/>
          <w:sz w:val="19"/>
        </w:rPr>
        <w:t xml:space="preserve">Übertragbarkeit: </w:t>
      </w:r>
      <w:r>
        <w:rPr>
          <w:sz w:val="19"/>
        </w:rPr>
        <w:t>Spanien, Pilotprojekt im Krankenhaus - methodische Übertragbarkeit auf deutsches Setting gegeben</w:t>
      </w:r>
    </w:p>
    <w:p>
      <w:r>
        <w:rPr>
          <w:color w:val="5A7D3A"/>
          <w:sz w:val="18"/>
        </w:rPr>
        <w:t>https://pubmed.ncbi.nlm.nih.gov/42790349/</w:t>
      </w:r>
    </w:p>
    <w:p>
      <w:pPr>
        <w:pStyle w:val="Heading2"/>
      </w:pPr>
      <w:r>
        <w:t>Surgery on Foot-Protokoll: Patientenerfahrung bei Kolorektalkarzinom</w:t>
      </w:r>
    </w:p>
    <w:p>
      <w:r>
        <w:rPr>
          <w:i/>
          <w:color w:val="666666"/>
          <w:sz w:val="18"/>
        </w:rPr>
        <w:t>van Gool ISM et al.  ·  J Surg Oncol  ·  25.09.2026  ·  PMID 42788955</w:t>
      </w:r>
    </w:p>
    <w:p>
      <w:r>
        <w:t>Qualitative Studie zu Patientenerfahrungen mit dem Surgery-on-Foot-Protokoll, bei dem Patienten am OP-Tag (statt Vortagnacht) aufgenommen und zur OP gehen.</w:t>
      </w:r>
    </w:p>
    <w:p>
      <w:r>
        <w:rPr>
          <w:b/>
        </w:rPr>
        <w:t xml:space="preserve">Ergebnis: </w:t>
      </w:r>
      <w:r>
        <w:t>14 Patienten befragt; Gesamterfahrung positiv. Faktoren für Kontrollgefühl: persönlicher Umgang, involvierte Ärzte und Anwesenheit von Bezugspersonen. Einige Patienten berichteten Angst und Unbehagen bezüglich Krankenhausumgebung. Protokoll wirkte sich positiv auf patientenzentrierte Aspekte aus.</w:t>
      </w:r>
    </w:p>
    <w:p>
      <w:r>
        <w:rPr>
          <w:b/>
          <w:sz w:val="19"/>
        </w:rPr>
        <w:t xml:space="preserve">Übertragbarkeit: </w:t>
      </w:r>
      <w:r>
        <w:rPr>
          <w:sz w:val="19"/>
        </w:rPr>
        <w:t>Niederlande (akademisches Krankenhaus), vergleichbares Versorgungssystem mit Deutschland</w:t>
      </w:r>
    </w:p>
    <w:p>
      <w:r>
        <w:rPr>
          <w:color w:val="5A7D3A"/>
          <w:sz w:val="18"/>
        </w:rPr>
        <w:t>https://pubmed.ncbi.nlm.nih.gov/42788955/</w:t>
      </w:r>
    </w:p>
    <w:p>
      <w:pPr>
        <w:pStyle w:val="Heading2"/>
      </w:pPr>
      <w:r>
        <w:t>Transformatives Governance-Modell für Gesundheit - Evaluierung des Programms Alles ist Gezondheid</w:t>
      </w:r>
    </w:p>
    <w:p>
      <w:r>
        <w:rPr>
          <w:i/>
          <w:color w:val="666666"/>
          <w:sz w:val="18"/>
        </w:rPr>
        <w:t>Bekker MPM et al.  ·  TSG  ·  16.09.2026  ·  PMID 42787321</w:t>
      </w:r>
    </w:p>
    <w:p>
      <w:r>
        <w:t>Mehrfachfallstudie zur Evaluierung eines niederländischen Programms für domeinoverstijgende Gesundheitsnetze; Entwicklung eines heuristischen Transformativen-Governance-Modells basierend auf Interviews, Beobachtungen und Workshops.</w:t>
      </w:r>
    </w:p>
    <w:p>
      <w:r>
        <w:rPr>
          <w:b/>
        </w:rPr>
        <w:t xml:space="preserve">Ergebnis: </w:t>
      </w:r>
      <w:r>
        <w:t>Fünf Small Wins und fünf Veränderungsmechanismen identifiziert, die sich nicht-linear gegenseitig verstärken. Konflikteskalation und -management essentiell für Anpassung von Normen und Regeln. Modell zeigt, wie Transformationsprozesse durch nationale Plattform und Zusammenarbeit ermöglicht werden.</w:t>
      </w:r>
    </w:p>
    <w:p>
      <w:r>
        <w:rPr>
          <w:b/>
          <w:sz w:val="19"/>
        </w:rPr>
        <w:t xml:space="preserve">Übertragbarkeit: </w:t>
      </w:r>
      <w:r>
        <w:rPr>
          <w:sz w:val="19"/>
        </w:rPr>
        <w:t>Niederlande, Sozialversicherungssystem - hohe Übertragbarkeit auf Deutschland</w:t>
      </w:r>
    </w:p>
    <w:p>
      <w:r>
        <w:rPr>
          <w:color w:val="5A7D3A"/>
          <w:sz w:val="18"/>
        </w:rPr>
        <w:t>https://pubmed.ncbi.nlm.nih.gov/42787321/</w:t>
      </w:r>
    </w:p>
    <w:p>
      <w:pPr>
        <w:pStyle w:val="Heading2"/>
      </w:pPr>
      <w:r>
        <w:t>Komplexität von Beatmungsentwöhnung in der Intensivmedizin</w:t>
      </w:r>
    </w:p>
    <w:p>
      <w:r>
        <w:rPr>
          <w:i/>
          <w:color w:val="666666"/>
          <w:sz w:val="18"/>
        </w:rPr>
        <w:t>Sterr F et al.  ·  Nurs Crit Care  ·  Nov. 2026  ·  PMID 42786673</w:t>
      </w:r>
    </w:p>
    <w:p>
      <w:r>
        <w:t>Qualitative Studie mit 29 Intensivpflegefachkräften zur Identifikation von Charakteristika und Mechanismen der Beatmungsentwöhnung als komplexe Intervention.</w:t>
      </w:r>
    </w:p>
    <w:p>
      <w:r>
        <w:rPr>
          <w:b/>
        </w:rPr>
        <w:t xml:space="preserve">Ergebnis: </w:t>
      </w:r>
      <w:r>
        <w:t>Vier Hauptthemen identifiziert: Komplexität der Beatmungsentwöhnung, Outcomes, Interventionen sowie Verknüpfungen und Wechselwirkungen. Analyse zeigt, dass Beatmungsentwöhnung durch Interaktion verschiedener Interventionen, Outcomes und kontextueller Faktoren geprägt ist und theoretisch-konzeptuell organisiert werden muss.</w:t>
      </w:r>
    </w:p>
    <w:p>
      <w:r>
        <w:rPr>
          <w:b/>
          <w:sz w:val="19"/>
        </w:rPr>
        <w:t xml:space="preserve">Übertragbarkeit: </w:t>
      </w:r>
      <w:r>
        <w:rPr>
          <w:sz w:val="19"/>
        </w:rPr>
        <w:t>Deutschland, qualitative Analyse von Intensivpflegeprozessen - systemunabhängig übertragbar</w:t>
      </w:r>
    </w:p>
    <w:p>
      <w:r>
        <w:rPr>
          <w:color w:val="5A7D3A"/>
          <w:sz w:val="18"/>
        </w:rPr>
        <w:t>https://pubmed.ncbi.nlm.nih.gov/42786673/</w:t>
      </w:r>
    </w:p>
    <w:p>
      <w:pPr>
        <w:pStyle w:val="Heading2"/>
      </w:pPr>
      <w:r>
        <w:t>Vertrauen in Gesundheitssystem und Vermeidung von Gesundheitsleistungen</w:t>
      </w:r>
    </w:p>
    <w:p>
      <w:r>
        <w:rPr>
          <w:i/>
          <w:color w:val="666666"/>
          <w:sz w:val="18"/>
        </w:rPr>
        <w:t>Uçar M et al.  ·  BMC Health Serv Res  ·  31.08.2026  ·  PMID 42786500</w:t>
      </w:r>
    </w:p>
    <w:p>
      <w:r>
        <w:t>Querschnittsuntersuchung zum Zusammenhang zwischen medizinischem Vertrauen, Systemvertrauen und Verzögerungsverhalten bei der Inanspruchnahme sowie Einstellung zu Krebsscreening in der Primärversorgung.</w:t>
      </w:r>
    </w:p>
    <w:p>
      <w:r>
        <w:rPr>
          <w:b/>
        </w:rPr>
        <w:t xml:space="preserve">Ergebnis: </w:t>
      </w:r>
      <w:r>
        <w:t>Medizinisches Misstrauen und Systemvertrauen waren positiv mit Verzögerungsverhalten assoziiert und negativ mit Screening-Einstellungen (p&lt;0,001). Medizinisches Misstrauen zeigte stärkste unabhängige Assoziation mit Verzögerungsverhalten (β=0,59) und Screening-Einstellung (β=-0,79).</w:t>
      </w:r>
    </w:p>
    <w:p>
      <w:r>
        <w:rPr>
          <w:b/>
          <w:sz w:val="19"/>
        </w:rPr>
        <w:t xml:space="preserve">Übertragbarkeit: </w:t>
      </w:r>
      <w:r>
        <w:rPr>
          <w:sz w:val="19"/>
        </w:rPr>
        <w:t>Türkei, aber Fragestellung zum Vertrauensaufbau systemunabhängig relevant</w:t>
      </w:r>
    </w:p>
    <w:p>
      <w:r>
        <w:rPr>
          <w:color w:val="5A7D3A"/>
          <w:sz w:val="18"/>
        </w:rPr>
        <w:t>https://pubmed.ncbi.nlm.nih.gov/42786500/</w:t>
      </w:r>
    </w:p>
    <w:p>
      <w:pPr>
        <w:pStyle w:val="Heading2"/>
      </w:pPr>
      <w:r>
        <w:t>Versorgungslücken in der Rehabilitation von unter 60-Jährigen in Deutschland</w:t>
      </w:r>
    </w:p>
    <w:p>
      <w:r>
        <w:rPr>
          <w:i/>
          <w:color w:val="666666"/>
          <w:sz w:val="18"/>
        </w:rPr>
        <w:t>Armbruster C et al.  ·  BMC Health Serv Res  ·  24.09.2026  ·  PMID 42786497</w:t>
      </w:r>
    </w:p>
    <w:p>
      <w:r>
        <w:t>Exploratory Expertenbefragung zu Versorgungslücken und Machbarkeit einer indikationsübergreifenden, ambulanten Rehabilitationsversorgung für Patienten unter 60 Jahren mit komplexen Beeinträchtigungen.</w:t>
      </w:r>
    </w:p>
    <w:p>
      <w:r>
        <w:rPr>
          <w:b/>
        </w:rPr>
        <w:t xml:space="preserve">Ergebnis: </w:t>
      </w:r>
      <w:r>
        <w:t>136 Experten aus sechs Fachbereichen nahmen teil; überwiegende Mehrheit sah hohe Versorgungslücken in aktuellen Rehabilitationsdiensten. Experten bewerteten indikationsübergreifende, ambulante Rehabilitation positiv bezüglich Nutzen und Notwendigkeit, um bestehende Versorgungslücken zu schließen.</w:t>
      </w:r>
    </w:p>
    <w:p>
      <w:r>
        <w:rPr>
          <w:b/>
          <w:sz w:val="19"/>
        </w:rPr>
        <w:t xml:space="preserve">Übertragbarkeit: </w:t>
      </w:r>
      <w:r>
        <w:rPr>
          <w:sz w:val="19"/>
        </w:rPr>
        <w:t>Deutsche Expertenbefragung, direkt auf deutsches Versorgungssystem anwendbar</w:t>
      </w:r>
    </w:p>
    <w:p>
      <w:r>
        <w:rPr>
          <w:color w:val="5A7D3A"/>
          <w:sz w:val="18"/>
        </w:rPr>
        <w:t>https://pubmed.ncbi.nlm.nih.gov/42786497/</w:t>
      </w:r>
    </w:p>
    <w:p>
      <w:pPr>
        <w:pStyle w:val="Heading1"/>
      </w:pPr>
      <w:r>
        <w:t>Aufgenommen am 25.09.2026</w:t>
      </w:r>
    </w:p>
    <w:p>
      <w:pPr>
        <w:pStyle w:val="Heading2"/>
      </w:pPr>
      <w:r>
        <w:t>Morbiditäten und Infektionen bei MS-Patienten in niederländischen Hausarztpraxen</w:t>
      </w:r>
    </w:p>
    <w:p>
      <w:r>
        <w:rPr>
          <w:i/>
          <w:color w:val="666666"/>
          <w:sz w:val="18"/>
        </w:rPr>
        <w:t>Lemmens CMC et al.  ·  Mult Scler Relat Disord  ·  14.09.2026  ·  PMID 42785001</w:t>
      </w:r>
    </w:p>
    <w:p>
      <w:r>
        <w:t>Retrospektive Fall-Kontroll-Studie zu Begleiterkrankungen und Infektionsraten bei MS-Patienten versus Kontrollpersonen in niederländischen Primärversorgungspraxen (Nivel-Datenbank 2019).</w:t>
      </w:r>
    </w:p>
    <w:p>
      <w:r>
        <w:rPr>
          <w:b/>
        </w:rPr>
        <w:t xml:space="preserve">Ergebnis: </w:t>
      </w:r>
      <w:r>
        <w:t>MS-Patienten zeigten höhere Lebenszeitprävalenz chronischer Erkrankungen (insbesondere Osteoporose, Schlaganfall, Epilepsie); jährliche Infektionsrate OR 1,86 (95%-KI 1,73–1,99). CCI-Scores ≥2 und ≥1 Infektionsepisode waren mit erhöhter 5-Jahres-Mortalität assoziiert (aHR 3,30 bzw. 1,68).</w:t>
      </w:r>
    </w:p>
    <w:p>
      <w:r>
        <w:rPr>
          <w:b/>
          <w:sz w:val="19"/>
        </w:rPr>
        <w:t xml:space="preserve">Übertragbarkeit: </w:t>
      </w:r>
      <w:r>
        <w:rPr>
          <w:sz w:val="19"/>
        </w:rPr>
        <w:t>Niederlande, Primärversorgungsdaten; vergleichbares Sozialversicherungssystem</w:t>
      </w:r>
    </w:p>
    <w:p>
      <w:r>
        <w:rPr>
          <w:color w:val="5A7D3A"/>
          <w:sz w:val="18"/>
        </w:rPr>
        <w:t>https://pubmed.ncbi.nlm.nih.gov/42785001/</w:t>
      </w:r>
    </w:p>
    <w:p>
      <w:pPr>
        <w:pStyle w:val="Heading2"/>
      </w:pPr>
      <w:r>
        <w:t>Patientenperspektiven auf Apotheker-gesteuertes Hypertonie-Management nach Notaufnahme</w:t>
      </w:r>
    </w:p>
    <w:p>
      <w:r>
        <w:rPr>
          <w:i/>
          <w:color w:val="666666"/>
          <w:sz w:val="18"/>
        </w:rPr>
        <w:t>Kuhn D et al.  ·  Am J Health Syst Pharm  ·  24.09.2026  ·  PMID 42781767</w:t>
      </w:r>
    </w:p>
    <w:p>
      <w:r>
        <w:t>Qualitative Studie mit 11 Patienten aus urban-akademischer Notaufnahme zur Akzeptanz von Apotheker-gesteuerter Hypertonie-Nachbetreuung nach Entlassung.</w:t>
      </w:r>
    </w:p>
    <w:p>
      <w:r>
        <w:rPr>
          <w:b/>
        </w:rPr>
        <w:t xml:space="preserve">Ergebnis: </w:t>
      </w:r>
      <w:r>
        <w:t>Vier Themen: (1) begrenzte Hypertonie-Kommunikation, Wissenslücken; (2) Technologie mindert Barrieren; (3) Apotheker-Expertise akzeptiert, aber Unsicherheit zu Qualifikation/Verschreibungsrecht; (4) Wert von Kontinuität und Arzt-Apotheker-Zusammenarbeit.</w:t>
      </w:r>
    </w:p>
    <w:p>
      <w:r>
        <w:rPr>
          <w:b/>
          <w:sz w:val="19"/>
        </w:rPr>
        <w:t xml:space="preserve">Übertragbarkeit: </w:t>
      </w:r>
      <w:r>
        <w:rPr>
          <w:sz w:val="19"/>
        </w:rPr>
        <w:t>USA, aber Fragestellung zu Prozessen/Patientenperspektive teilweise übertragbar</w:t>
      </w:r>
    </w:p>
    <w:p>
      <w:r>
        <w:rPr>
          <w:color w:val="5A7D3A"/>
          <w:sz w:val="18"/>
        </w:rPr>
        <w:t>https://pubmed.ncbi.nlm.nih.gov/42781767/</w:t>
      </w:r>
    </w:p>
    <w:p>
      <w:pPr>
        <w:pStyle w:val="Heading2"/>
      </w:pPr>
      <w:r>
        <w:t>Referenzpreise beeinflussen Kostenanalysen in gesundheitsökonomischen Evaluationen</w:t>
      </w:r>
    </w:p>
    <w:p>
      <w:r>
        <w:rPr>
          <w:i/>
          <w:color w:val="666666"/>
          <w:sz w:val="18"/>
        </w:rPr>
        <w:t>Hoelen TA et al.  ·  Int J Technol Assess Health Care  ·  24.09.2026  ·  PMID 42779108</w:t>
      </w:r>
    </w:p>
    <w:p>
      <w:r>
        <w:t>Empirischer Vergleich der Auswirkungen nationaler Preisrichtlinien auf Kostenanalysen von Gesundheitstechnologien anhand idiopathischer Skoliose in Niederlanden und Großbritannien.</w:t>
      </w:r>
    </w:p>
    <w:p>
      <w:r>
        <w:rPr>
          <w:b/>
        </w:rPr>
        <w:t xml:space="preserve">Ergebnis: </w:t>
      </w:r>
      <w:r>
        <w:t>Niederländische Kostenestimate stiegen um 18% nach Richtlinien-Update 2014–2024; UK-Kosten waren 69% höher als in NL. Zwölf niederländische Kostenposten änderten sich um &gt;10%, vier britische – deutliche Methodenvariation zwischen Ländern.</w:t>
      </w:r>
    </w:p>
    <w:p>
      <w:r>
        <w:rPr>
          <w:b/>
          <w:sz w:val="19"/>
        </w:rPr>
        <w:t xml:space="preserve">Übertragbarkeit: </w:t>
      </w:r>
      <w:r>
        <w:rPr>
          <w:sz w:val="19"/>
        </w:rPr>
        <w:t>Niederlande, Vereinigtes Königreich; zentrale Erkenntnisse zu Übertragbarkeitsgrenzen</w:t>
      </w:r>
    </w:p>
    <w:p>
      <w:r>
        <w:rPr>
          <w:color w:val="5A7D3A"/>
          <w:sz w:val="18"/>
        </w:rPr>
        <w:t>https://pubmed.ncbi.nlm.nih.gov/42779108/</w:t>
      </w:r>
    </w:p>
    <w:p>
      <w:pPr>
        <w:pStyle w:val="Heading2"/>
      </w:pPr>
      <w:r>
        <w:t>Regionale Demenz-Strategie durch Delphi-Prozess: Sachsen-Anhalt</w:t>
      </w:r>
    </w:p>
    <w:p>
      <w:r>
        <w:rPr>
          <w:i/>
          <w:color w:val="666666"/>
          <w:sz w:val="18"/>
        </w:rPr>
        <w:t>Schiller C et al.  ·  BMC Health Serv Res  ·  22.09.2026  ·  PMID 42778917</w:t>
      </w:r>
    </w:p>
    <w:p>
      <w:r>
        <w:t>Partizipative, zweiphasige Methode (Delphi + deliberative Dialoge) zur Entwicklung einer regionalen Demenz-Strategie mit 406 Teilnehmern (Betroffene, Angehörige, Fachkräfte, Politiker).</w:t>
      </w:r>
    </w:p>
    <w:p>
      <w:r>
        <w:rPr>
          <w:b/>
        </w:rPr>
        <w:t xml:space="preserve">Ergebnis: </w:t>
      </w:r>
      <w:r>
        <w:t>88 initiale Ziele; 47 erreichten Konsens in Runde 1, 21 weitere in Runde 2, 7 durch Dialoge validiert. Finale Strategie: 40 strategische Ziele in vier Themenbereichen. Identifizierte Hürden: Fachkräftemangel, Bürokratie, Angehörigen-Belastung.</w:t>
      </w:r>
    </w:p>
    <w:p>
      <w:r>
        <w:rPr>
          <w:b/>
          <w:sz w:val="19"/>
        </w:rPr>
        <w:t xml:space="preserve">Übertragbarkeit: </w:t>
      </w:r>
      <w:r>
        <w:rPr>
          <w:sz w:val="19"/>
        </w:rPr>
        <w:t>Deutschland (Sachsen-Anhalt); direkter Übertrag auf Versorgungsplanung</w:t>
      </w:r>
    </w:p>
    <w:p>
      <w:r>
        <w:rPr>
          <w:color w:val="5A7D3A"/>
          <w:sz w:val="18"/>
        </w:rPr>
        <w:t>https://pubmed.ncbi.nlm.nih.gov/42778917/</w:t>
      </w:r>
    </w:p>
    <w:p>
      <w:pPr>
        <w:pStyle w:val="Heading2"/>
      </w:pPr>
      <w:r>
        <w:t>Ökonomische Evaluation von Prävention gegen Langzeiterkrankschreibung</w:t>
      </w:r>
    </w:p>
    <w:p>
      <w:r>
        <w:rPr>
          <w:i/>
          <w:color w:val="666666"/>
          <w:sz w:val="18"/>
        </w:rPr>
        <w:t>Klasen S et al.  ·  J Occup Rehabil  ·  23.09.2026  ·  PMID 42778834</w:t>
      </w:r>
    </w:p>
    <w:p>
      <w:r>
        <w:t>Gesundheitsökonomische Analyse einer Früh-Interventionsstrategie gegen Langzeitausfallrisiko basierend auf RCT-Daten mit 12-Monats-Follow-up in Niederlanden.</w:t>
      </w:r>
    </w:p>
    <w:p>
      <w:r>
        <w:rPr>
          <w:b/>
        </w:rPr>
        <w:t xml:space="preserve">Ergebnis: </w:t>
      </w:r>
      <w:r>
        <w:t>Aus Arbeitgeber-Perspektive dominant (€–3,92/Punkt Selbstempfundene-Gesundheit-Verbesserung mit Kostenersparnis durch reduzierte Krankschreibung). Aus Gesellschafts- und Gesundheitswesen-Perspektive: ICER €39,19–39,77/Punkt.</w:t>
      </w:r>
    </w:p>
    <w:p>
      <w:r>
        <w:rPr>
          <w:b/>
          <w:sz w:val="19"/>
        </w:rPr>
        <w:t xml:space="preserve">Übertragbarkeit: </w:t>
      </w:r>
      <w:r>
        <w:rPr>
          <w:sz w:val="19"/>
        </w:rPr>
        <w:t>Niederlande, Sozialversicherungssystem, Arbeitsmedizin-Fokus</w:t>
      </w:r>
    </w:p>
    <w:p>
      <w:r>
        <w:rPr>
          <w:color w:val="5A7D3A"/>
          <w:sz w:val="18"/>
        </w:rPr>
        <w:t>https://pubmed.ncbi.nlm.nih.gov/42778834/</w:t>
      </w:r>
    </w:p>
    <w:p>
      <w:pPr>
        <w:pStyle w:val="Heading2"/>
      </w:pPr>
      <w:r>
        <w:t>Kosteneffektivität von endoskopischer Schlauchmagen-Bildung in Singapur</w:t>
      </w:r>
    </w:p>
    <w:p>
      <w:r>
        <w:rPr>
          <w:i/>
          <w:color w:val="666666"/>
          <w:sz w:val="18"/>
        </w:rPr>
        <w:t>Chay J et al.  ·  Surg Obes Relat Dis  ·  28.08.2026  ·  PMID 42767913</w:t>
      </w:r>
    </w:p>
    <w:p>
      <w:r>
        <w:t>Markov-Modell zur Lebenszeitanalyse von endoskopischer Schlauchmagen-Bildung plus Lebensstiländerung versus alleinige Lebensstiländerung bei Adipositas.</w:t>
      </w:r>
    </w:p>
    <w:p>
      <w:r>
        <w:rPr>
          <w:b/>
        </w:rPr>
        <w:t xml:space="preserve">Ergebnis: </w:t>
      </w:r>
      <w:r>
        <w:t>ICER SG$24.580/QALY (US$18.410). Für Patienten ohne T2D: SG$19.320/QALY; mit T2D: SG$37.320/QALY. Bei Schwelle SG$75.000/QALY kosteneffektiv in 98,8% probabilistischer Sensitivitätsanalysen.</w:t>
      </w:r>
    </w:p>
    <w:p>
      <w:r>
        <w:rPr>
          <w:b/>
          <w:sz w:val="19"/>
        </w:rPr>
        <w:t xml:space="preserve">Übertragbarkeit: </w:t>
      </w:r>
      <w:r>
        <w:rPr>
          <w:sz w:val="19"/>
        </w:rPr>
        <w:t>Nur bedingt: Singapur-Kontext, andere Kostenstrukturen; Fragestellung aber systemunabhängig</w:t>
      </w:r>
    </w:p>
    <w:p>
      <w:r>
        <w:rPr>
          <w:color w:val="5A7D3A"/>
          <w:sz w:val="18"/>
        </w:rPr>
        <w:t>https://pubmed.ncbi.nlm.nih.gov/42767913/</w:t>
      </w:r>
    </w:p>
    <w:p>
      <w:pPr>
        <w:pStyle w:val="Heading1"/>
      </w:pPr>
      <w:r>
        <w:t>Aufgenommen am 24.09.2026</w:t>
      </w:r>
    </w:p>
    <w:p>
      <w:pPr>
        <w:pStyle w:val="Heading2"/>
      </w:pPr>
      <w:r>
        <w:t>Rauchen und schwere Erkrankungen: 10-Jahres-Assoziation mit Nikotinentwöhnung</w:t>
      </w:r>
    </w:p>
    <w:p>
      <w:r>
        <w:rPr>
          <w:i/>
          <w:color w:val="666666"/>
          <w:sz w:val="18"/>
        </w:rPr>
        <w:t>Imai E et al.  ·  J Epidemiol  ·  19.09.2026  ·  PMID 42778372</w:t>
      </w:r>
    </w:p>
    <w:p>
      <w:r>
        <w:t>Prospektive Kohortenstudie mit 17.779 japanischen Rauchern zur Assoziation von Herzinfarkt, Schlaganfall, Krebs und Chirurgie mit langfristiger Rauchentwöhnung.</w:t>
      </w:r>
    </w:p>
    <w:p>
      <w:r>
        <w:rPr>
          <w:b/>
        </w:rPr>
        <w:t xml:space="preserve">Ergebnis: </w:t>
      </w:r>
      <w:r>
        <w:t>26,9 % der Raucher (n=4.789) beendeten das Rauchen über 10 Jahre. Major-disease-Diagnosen zeigten starke Assoziation mit Entwöhnung (OR 5,39; 95%-KI 4,80–6,05); Herzinfarkt OR 6,87 (95%-KI 5,18–9,12), Schlaganfall OR 4,03 (95%-KI 3,40–4,78), Lungenkrebs OR 7,41 (95%-KI 4,44–12,51).</w:t>
      </w:r>
    </w:p>
    <w:p>
      <w:r>
        <w:rPr>
          <w:b/>
          <w:sz w:val="19"/>
        </w:rPr>
        <w:t xml:space="preserve">Übertragbarkeit: </w:t>
      </w:r>
      <w:r>
        <w:rPr>
          <w:sz w:val="19"/>
        </w:rPr>
        <w:t>Japan – Fragestellung systemunabhängig; vergleichbare Verhaltensforschung übertragbar</w:t>
      </w:r>
    </w:p>
    <w:p>
      <w:r>
        <w:rPr>
          <w:color w:val="5A7D3A"/>
          <w:sz w:val="18"/>
        </w:rPr>
        <w:t>https://pubmed.ncbi.nlm.nih.gov/42778372/</w:t>
      </w:r>
    </w:p>
    <w:p>
      <w:pPr>
        <w:pStyle w:val="Heading2"/>
      </w:pPr>
      <w:r>
        <w:t>Gemeindeverankerung und Verbleib von Ärzten in unterversorgten Regionen</w:t>
      </w:r>
    </w:p>
    <w:p>
      <w:r>
        <w:rPr>
          <w:i/>
          <w:color w:val="666666"/>
          <w:sz w:val="18"/>
        </w:rPr>
        <w:t>Pathman DE et al.  ·  JAMA Netw Open  ·  01.09.2026  ·  PMID 42776525</w:t>
      </w:r>
    </w:p>
    <w:p>
      <w:r>
        <w:t>Querschnittsstudie mit 1.074 Ärzten in ländlichen und urbanen Health Professional Shortage Areas (HPSA) zur Assoziation von Gemeindeintegration mit beabsichtigtem Verbleib.</w:t>
      </w:r>
    </w:p>
    <w:p>
      <w:r>
        <w:rPr>
          <w:b/>
        </w:rPr>
        <w:t xml:space="preserve">Ergebnis: </w:t>
      </w:r>
      <w:r>
        <w:t>75,5 % der Ärzte in ländlichen und 71,2 % in urbanen HPSA planten Verbleib &gt;2 Jahre (p=0,14). Beide Dimensionen (Gemeindeintegration β=0,58–0,69; Gemeindebedarfserfüllung β=0,56–0,61) waren unabhängig assoziiert mit Verbleib; keine signifikanten ländlich-urbanen Unterschiede.</w:t>
      </w:r>
    </w:p>
    <w:p>
      <w:r>
        <w:rPr>
          <w:b/>
          <w:sz w:val="19"/>
        </w:rPr>
        <w:t xml:space="preserve">Übertragbarkeit: </w:t>
      </w:r>
      <w:r>
        <w:rPr>
          <w:sz w:val="19"/>
        </w:rPr>
        <w:t>USA-Daten – Fragestellung zu Ärztebindung aber systemunabhängig relevant</w:t>
      </w:r>
    </w:p>
    <w:p>
      <w:r>
        <w:rPr>
          <w:color w:val="5A7D3A"/>
          <w:sz w:val="18"/>
        </w:rPr>
        <w:t>https://pubmed.ncbi.nlm.nih.gov/42776525/</w:t>
      </w:r>
    </w:p>
    <w:p>
      <w:pPr>
        <w:pStyle w:val="Heading2"/>
      </w:pPr>
      <w:r>
        <w:t>Unkomplizierte Harnwegsinfekte: Apothekerverschreibung in der Gemeindepharmzie</w:t>
      </w:r>
    </w:p>
    <w:p>
      <w:r>
        <w:rPr>
          <w:i/>
          <w:color w:val="666666"/>
          <w:sz w:val="18"/>
        </w:rPr>
        <w:t>Budden M et al.  ·  Int J Clin Pharm  ·  23.09.2026  ·  PMID 42776432</w:t>
      </w:r>
    </w:p>
    <w:p>
      <w:r>
        <w:t>Große Kohortenstudie (n=14.680 Follow-up) zu Wirksamkeit und Sicherheit von strukturierter Apothekerverschreibung für unkomplizierte Harnwegsinfekte in Australien.</w:t>
      </w:r>
    </w:p>
    <w:p>
      <w:r>
        <w:rPr>
          <w:b/>
        </w:rPr>
        <w:t xml:space="preserve">Ergebnis: </w:t>
      </w:r>
      <w:r>
        <w:t>Symptomauflösung nach 7 Tagen bei 79,4 % der Patienten, weitere 17,9 % mit Teilbesserung. Antibiotika in 92,6 % verschrieben, Überweisungen in 6,9 %, Nebenwirkungen in 5,0 % (meist milde gastrointestinale Symptome).</w:t>
      </w:r>
    </w:p>
    <w:p>
      <w:r>
        <w:rPr>
          <w:b/>
          <w:sz w:val="19"/>
        </w:rPr>
        <w:t xml:space="preserve">Übertragbarkeit: </w:t>
      </w:r>
      <w:r>
        <w:rPr>
          <w:sz w:val="19"/>
        </w:rPr>
        <w:t>Australien – vergleichbar zu Apotheker-Extended-Services in Sozialversicherungssystemen</w:t>
      </w:r>
    </w:p>
    <w:p>
      <w:r>
        <w:rPr>
          <w:color w:val="5A7D3A"/>
          <w:sz w:val="18"/>
        </w:rPr>
        <w:t>https://pubmed.ncbi.nlm.nih.gov/42776432/</w:t>
      </w:r>
    </w:p>
    <w:p>
      <w:pPr>
        <w:pStyle w:val="Heading2"/>
      </w:pPr>
      <w:r>
        <w:t>Augenärztliche Versorgung in deutschen Seniorenheimen: TOVIS-Studie</w:t>
      </w:r>
    </w:p>
    <w:p>
      <w:r>
        <w:rPr>
          <w:i/>
          <w:color w:val="666666"/>
          <w:sz w:val="18"/>
        </w:rPr>
        <w:t>Ach T et al.  ·  Z Gerontol Geriatr  ·  23.09.2026  ·  PMID 42776232</w:t>
      </w:r>
    </w:p>
    <w:p>
      <w:r>
        <w:t>Narrative Übersicht mit Fokus auf Versorgungslücken bei Augenerkrankungen in deutschen Pflegeheimen und Teleophthalmologie-Modell TOVIS (n=109 Bewohner).</w:t>
      </w:r>
    </w:p>
    <w:p>
      <w:r>
        <w:rPr>
          <w:b/>
        </w:rPr>
        <w:t xml:space="preserve">Ergebnis: </w:t>
      </w:r>
      <w:r>
        <w:t>OVIS-Studie: 61 % der Bewohner hatten behandlungsbedürftige ophthalmologische Befunde (Katarakt 53 %, AMD 39 %); letzte Augenarztvisite durchschnittlich 4 Jahre zurück. TOVIS-Pilotstudie: 48,5 % visusrelevante Katarakt, 34,1 % AMD, 60,6 % unzureichend angepasste Brille; nur 26,9 % der empfohlenen Nachuntersuchungen tatsächlich wahrgenommen.</w:t>
      </w:r>
    </w:p>
    <w:p>
      <w:r>
        <w:rPr>
          <w:b/>
          <w:sz w:val="19"/>
        </w:rPr>
        <w:t xml:space="preserve">Übertragbarkeit: </w:t>
      </w:r>
      <w:r>
        <w:rPr>
          <w:sz w:val="19"/>
        </w:rPr>
        <w:t>Deutsche Daten, Seniorenheime – direkt auf deutsches System übertragbar</w:t>
      </w:r>
    </w:p>
    <w:p>
      <w:r>
        <w:rPr>
          <w:color w:val="5A7D3A"/>
          <w:sz w:val="18"/>
        </w:rPr>
        <w:t>https://pubmed.ncbi.nlm.nih.gov/42776232/</w:t>
      </w:r>
    </w:p>
    <w:p>
      <w:pPr>
        <w:pStyle w:val="Heading2"/>
      </w:pPr>
      <w:r>
        <w:t>Soziale Determinanten und Gesundheitsungleichheit: Systemdynamische Perspektive</w:t>
      </w:r>
    </w:p>
    <w:p>
      <w:r>
        <w:rPr>
          <w:i/>
          <w:color w:val="666666"/>
          <w:sz w:val="18"/>
        </w:rPr>
        <w:t>Sturmberg JP et al.  ·  Front Public Health  ·  08.09.2026  ·  PMID 42774359</w:t>
      </w:r>
    </w:p>
    <w:p>
      <w:r>
        <w:t>Konzeptionelle Übersichtsarbeit zu Mechanismen, wie vernetzte soziale Determinanten Gesundheitsungleichheit durch biologisches Embedding und Rückkopplungsschleifen über die Lebensspanne verfestigen.</w:t>
      </w:r>
    </w:p>
    <w:p>
      <w:r>
        <w:rPr>
          <w:b/>
        </w:rPr>
        <w:t xml:space="preserve">Ergebnis: </w:t>
      </w:r>
      <w:r>
        <w:t>Kernaussage: Frühe biologische Prägung (Stressregulation, Entzündung, Epigenetik) und systemische Rückkopplungsschleifen stabilisieren Nachteil über Generationen; Nichtlinearität erklärt begrenzte Effekte isolierter Interventionen. Koordinierte, ortsgestützte Strategien und relationale Kontinuität in Primärversorgung zeigen Potenzial.</w:t>
      </w:r>
    </w:p>
    <w:p>
      <w:r>
        <w:rPr>
          <w:b/>
          <w:sz w:val="19"/>
        </w:rPr>
        <w:t xml:space="preserve">Übertragbarkeit: </w:t>
      </w:r>
      <w:r>
        <w:rPr>
          <w:sz w:val="19"/>
        </w:rPr>
        <w:t>Konzeptionelle Analyse – systemunabhängig, aber besonders relevant für Versorgungsstruktur</w:t>
      </w:r>
    </w:p>
    <w:p>
      <w:r>
        <w:rPr>
          <w:color w:val="5A7D3A"/>
          <w:sz w:val="18"/>
        </w:rPr>
        <w:t>https://pubmed.ncbi.nlm.nih.gov/42774359/</w:t>
      </w:r>
    </w:p>
    <w:p>
      <w:pPr>
        <w:pStyle w:val="Heading2"/>
      </w:pPr>
      <w:r>
        <w:t>Künstliche Intelligenz in der Kosten-Effektivitäts-Bewertung von Schmerztherapie</w:t>
      </w:r>
    </w:p>
    <w:p>
      <w:r>
        <w:rPr>
          <w:i/>
          <w:color w:val="666666"/>
          <w:sz w:val="18"/>
        </w:rPr>
        <w:t>Zmudzki F et al.  ·  Expert Rev Pharmacoecon Outcomes Res  ·  22.09.2026  ·  PMID 42773780</w:t>
      </w:r>
    </w:p>
    <w:p>
      <w:r>
        <w:t>Übersichtsarbeit zu Integration von KI-Methoden in ökonomische Evaluationen zur Präzisionsmedizin bei chronischem Schmerz.</w:t>
      </w:r>
    </w:p>
    <w:p>
      <w:r>
        <w:rPr>
          <w:b/>
        </w:rPr>
        <w:t xml:space="preserve">Ergebnis: </w:t>
      </w:r>
      <w:r>
        <w:t>Diskussion, wie maschinelles Lernen und automatisierte Datenverarbeitung ökonomische Rahmen für personalisierte Schmerzmanagement-Strategien verbessern können; konkrete Ergebnisse im Abstract nicht quantifiziert.</w:t>
      </w:r>
    </w:p>
    <w:p>
      <w:r>
        <w:rPr>
          <w:b/>
          <w:sz w:val="19"/>
        </w:rPr>
        <w:t xml:space="preserve">Übertragbarkeit: </w:t>
      </w:r>
      <w:r>
        <w:rPr>
          <w:sz w:val="19"/>
        </w:rPr>
        <w:t>Konzeptionelle Methodologie – systemunabhängig auf KI-Anwendungen fokussiert</w:t>
      </w:r>
    </w:p>
    <w:p>
      <w:r>
        <w:rPr>
          <w:color w:val="5A7D3A"/>
          <w:sz w:val="18"/>
        </w:rPr>
        <w:t>https://pubmed.ncbi.nlm.nih.gov/42773780/</w:t>
      </w:r>
    </w:p>
    <w:p>
      <w:pPr>
        <w:pStyle w:val="Heading1"/>
      </w:pPr>
      <w:r>
        <w:t>Aufgenommen am 23.09.2026</w:t>
      </w:r>
    </w:p>
    <w:p>
      <w:pPr>
        <w:pStyle w:val="Heading2"/>
      </w:pPr>
      <w:r>
        <w:t>Einkommensvolatilität und Mortalität bei Depression</w:t>
      </w:r>
    </w:p>
    <w:p>
      <w:r>
        <w:rPr>
          <w:i/>
          <w:color w:val="666666"/>
          <w:sz w:val="18"/>
        </w:rPr>
        <w:t>Cho H et al.  ·  J Korean Med Sci  ·  21.09.2026  ·  PMID 42773077</w:t>
      </w:r>
    </w:p>
    <w:p>
      <w:r>
        <w:t>Koreanische Kohortenstudie an 735.922 Personen mit Depression, die Zusammenhang zwischen Einkommensvolatilität und all-cause-Mortalität sowie Hospitalisierungen untersuchte.</w:t>
      </w:r>
    </w:p>
    <w:p>
      <w:r>
        <w:rPr>
          <w:b/>
        </w:rPr>
        <w:t xml:space="preserve">Ergebnis: </w:t>
      </w:r>
      <w:r>
        <w:t>Höhere Einkommensvolatilität assoziiert mit erhöhtem Mortalitätsrisiko (HR 1,18; 95%-KI 1,16–1,19) und Hospitalisierungen (IRR 1,07; 1,06–1,08). Bei Männern stärker ausgeprägt (HR 1,26 vs. 1,12 bei Frauen). Besonders hohe Risiken für Bluterkrankungen (IRR 1,47), endokrine Erkrankungen (1,40) und psychische Störungen (1,26).</w:t>
      </w:r>
    </w:p>
    <w:p>
      <w:r>
        <w:rPr>
          <w:b/>
          <w:sz w:val="19"/>
        </w:rPr>
        <w:t xml:space="preserve">Übertragbarkeit: </w:t>
      </w:r>
      <w:r>
        <w:rPr>
          <w:sz w:val="19"/>
        </w:rPr>
        <w:t>Südkorea – begrenzte Übertragbarkeit auf deutsches System mit anderer Sozialstruktur</w:t>
      </w:r>
    </w:p>
    <w:p>
      <w:r>
        <w:rPr>
          <w:color w:val="5A7D3A"/>
          <w:sz w:val="18"/>
        </w:rPr>
        <w:t>https://pubmed.ncbi.nlm.nih.gov/42773077/</w:t>
      </w:r>
    </w:p>
    <w:p>
      <w:pPr>
        <w:pStyle w:val="Heading2"/>
      </w:pPr>
      <w:r>
        <w:t>Ultra-verarbeitete Lebensmittel und chronische Erkrankungen</w:t>
      </w:r>
    </w:p>
    <w:p>
      <w:r>
        <w:rPr>
          <w:i/>
          <w:color w:val="666666"/>
          <w:sz w:val="18"/>
        </w:rPr>
        <w:t>Liu X et al.  ·  Fam Med Community Health  ·  22.09.2026  ·  PMID 42773062</w:t>
      </w:r>
    </w:p>
    <w:p>
      <w:r>
        <w:t>Metaanalyse von 51 prospektiven Kohortenstudien mit 8,8 Mio. Teilnehmern zu Risiken ultra-verarbeiteter Lebensmittel.</w:t>
      </w:r>
    </w:p>
    <w:p>
      <w:r>
        <w:rPr>
          <w:b/>
        </w:rPr>
        <w:t xml:space="preserve">Ergebnis: </w:t>
      </w:r>
      <w:r>
        <w:t>Ultra-verarbeitete Lebensmittel assoziiert mit kardiovaskulären Ereignissen (HR 1,24), Krebs (HR 1,12), Adipositas (HR 1,23), Diabetes (HR 1,24), Depression/Angststörung (HR 1,27), Verdauungserkrankungen (HR 1,31) und all-cause-Mortalität (HR 1,18). Pro 100 g/Tag zusätzlich: kardiovaskuläre Ereignisse HR 1,14.</w:t>
      </w:r>
    </w:p>
    <w:p>
      <w:r>
        <w:rPr>
          <w:b/>
          <w:sz w:val="19"/>
        </w:rPr>
        <w:t xml:space="preserve">Übertragbarkeit: </w:t>
      </w:r>
      <w:r>
        <w:rPr>
          <w:sz w:val="19"/>
        </w:rPr>
        <w:t>Internationale Daten – Fragestellung systemunabhängig, für Public-Health-Empfehlungen universell übertragbar</w:t>
      </w:r>
    </w:p>
    <w:p>
      <w:r>
        <w:rPr>
          <w:color w:val="5A7D3A"/>
          <w:sz w:val="18"/>
        </w:rPr>
        <w:t>https://pubmed.ncbi.nlm.nih.gov/42773062/</w:t>
      </w:r>
    </w:p>
    <w:p>
      <w:pPr>
        <w:pStyle w:val="Heading2"/>
      </w:pPr>
      <w:r>
        <w:t>Kardiovaskuläre Autonome Neuropathie und Diabeteskomplikationen</w:t>
      </w:r>
    </w:p>
    <w:p>
      <w:r>
        <w:rPr>
          <w:i/>
          <w:color w:val="666666"/>
          <w:sz w:val="18"/>
        </w:rPr>
        <w:t>Ignacy P et al.  ·  Clin Ther  ·  22.09.2026  ·  PMID 42773037</w:t>
      </w:r>
    </w:p>
    <w:p>
      <w:r>
        <w:t>Polnische Querschnittsstudie mit 728 Diabetespatienten zur Assoziation zwischen mikrovaskulären/makrovaskulären Komplikationen und kardiovaskulärer autonomer Neuropathie.</w:t>
      </w:r>
    </w:p>
    <w:p>
      <w:r>
        <w:rPr>
          <w:b/>
        </w:rPr>
        <w:t xml:space="preserve">Ergebnis: </w:t>
      </w:r>
      <w:r>
        <w:t>Kardiovaskuläre autonome Neuropathie bei 48,2% (davon definit 15,8%). Unabhängig assoziiert mit diabetischer Retinopathie (OR 2,26; 95%-KI 1,25–4,19; p=0,008); borderline mit CKD (OR 1,57; p=0,049). Keine signifikante Assoziation mit ASCVD.</w:t>
      </w:r>
    </w:p>
    <w:p>
      <w:r>
        <w:rPr>
          <w:b/>
          <w:sz w:val="19"/>
        </w:rPr>
        <w:t xml:space="preserve">Übertragbarkeit: </w:t>
      </w:r>
      <w:r>
        <w:rPr>
          <w:sz w:val="19"/>
        </w:rPr>
        <w:t>Polen – ähnliches Sozialversicherungssystem, gute Übertragbarkeit auf Deutschland</w:t>
      </w:r>
    </w:p>
    <w:p>
      <w:r>
        <w:rPr>
          <w:color w:val="5A7D3A"/>
          <w:sz w:val="18"/>
        </w:rPr>
        <w:t>https://pubmed.ncbi.nlm.nih.gov/42773037/</w:t>
      </w:r>
    </w:p>
    <w:p>
      <w:pPr>
        <w:pStyle w:val="Heading2"/>
      </w:pPr>
      <w:r>
        <w:t>Persona-Methode in partizipativer Versorgungsforschung</w:t>
      </w:r>
    </w:p>
    <w:p>
      <w:r>
        <w:rPr>
          <w:i/>
          <w:color w:val="666666"/>
          <w:sz w:val="18"/>
        </w:rPr>
        <w:t>Dittmer K et al.  ·  Z Evid Fortbild Qual Gesundhwes  ·  22.09.2026  ·  PMID 42773021</w:t>
      </w:r>
    </w:p>
    <w:p>
      <w:r>
        <w:t>Deutschsprachiger Methodenbericht zur Anwendung der Persona-Methode bei partizipativer Versorgungsforschung mit Fokusgruppen und Expert*innen.</w:t>
      </w:r>
    </w:p>
    <w:p>
      <w:r>
        <w:rPr>
          <w:b/>
        </w:rPr>
        <w:t xml:space="preserve">Ergebnis: </w:t>
      </w:r>
      <w:r>
        <w:t>Personas integrieren Erfahrungswissen mehrerer Experten anonym, ohne persönliche Daten preiszugeben; ideal für vulnerable Gruppen. Risiken: Stereotypisierung; Mitigation durch reflektive Entwicklungsprozesse. Reflexionsfragen zur Bias-Reduktion werden präsentiert.</w:t>
      </w:r>
    </w:p>
    <w:p>
      <w:r>
        <w:rPr>
          <w:b/>
          <w:sz w:val="19"/>
        </w:rPr>
        <w:t xml:space="preserve">Übertragbarkeit: </w:t>
      </w:r>
      <w:r>
        <w:rPr>
          <w:sz w:val="19"/>
        </w:rPr>
        <w:t>Deutsches Projekt – direkt übertragbar auf deutsche Versorgungsforschung</w:t>
      </w:r>
    </w:p>
    <w:p>
      <w:r>
        <w:rPr>
          <w:color w:val="5A7D3A"/>
          <w:sz w:val="18"/>
        </w:rPr>
        <w:t>https://pubmed.ncbi.nlm.nih.gov/42773021/</w:t>
      </w:r>
    </w:p>
    <w:p>
      <w:pPr>
        <w:pStyle w:val="Heading2"/>
      </w:pPr>
      <w:r>
        <w:t>Mobile Screening-Einheit für Barretts Ösophagus in England</w:t>
      </w:r>
    </w:p>
    <w:p>
      <w:r>
        <w:rPr>
          <w:i/>
          <w:color w:val="666666"/>
          <w:sz w:val="18"/>
        </w:rPr>
        <w:t>Landy R et al.  ·  BMJ Open Gastroenterol  ·  22.09.2026  ·  PMID 42772946</w:t>
      </w:r>
    </w:p>
    <w:p>
      <w:r>
        <w:t>Implementierungsstudie in England mit mobiler Einheit zur Kapselschwamm-Testung bei Refluxpatienten; Vergleich Hausarzt-Rekrutierung vs. Selbstmeldung.</w:t>
      </w:r>
    </w:p>
    <w:p>
      <w:r>
        <w:rPr>
          <w:b/>
        </w:rPr>
        <w:t xml:space="preserve">Ergebnis: </w:t>
      </w:r>
      <w:r>
        <w:t>Bei GP-Einladung: 50% Antwortquote, 59,6% interessiert, 66,3% elegibel, 532 teilgenommen; 15% aller Eingeladenen erfolgreich getestet. Bei Selbstmeldung: 39,6% erfolgreich getestet. Barretts-Prävalenz 4,2% (GP-invitiert) vs. 3,4% (Selbstmeldung). Akzeptanz &gt;99%.</w:t>
      </w:r>
    </w:p>
    <w:p>
      <w:r>
        <w:rPr>
          <w:b/>
          <w:sz w:val="19"/>
        </w:rPr>
        <w:t xml:space="preserve">Übertragbarkeit: </w:t>
      </w:r>
      <w:r>
        <w:rPr>
          <w:sz w:val="19"/>
        </w:rPr>
        <w:t>Großbritannien – ähnliche Primärversorgungsstruktur, begrenzte Übertragbarkeit (steuerfinanziert)</w:t>
      </w:r>
    </w:p>
    <w:p>
      <w:r>
        <w:rPr>
          <w:color w:val="5A7D3A"/>
          <w:sz w:val="18"/>
        </w:rPr>
        <w:t>https://pubmed.ncbi.nlm.nih.gov/42772946/</w:t>
      </w:r>
    </w:p>
    <w:p>
      <w:pPr>
        <w:pStyle w:val="Heading2"/>
      </w:pPr>
      <w:r>
        <w:t>Forschungsprioritäten in Hebammentätigkeit und Geburtshilfe</w:t>
      </w:r>
    </w:p>
    <w:p>
      <w:r>
        <w:rPr>
          <w:i/>
          <w:color w:val="666666"/>
          <w:sz w:val="18"/>
        </w:rPr>
        <w:t>Field J et al.  ·  BMJ Open  ·  21.09.2026  ·  PMID 42767736</w:t>
      </w:r>
    </w:p>
    <w:p>
      <w:r>
        <w:t>UK James-Lind-Alliance Priority-Setting Partnership mit 977 Befragten (Hebammen, Eltern, schwangere Personen) zur Identifikation von Forschungslücken in Geburtshilfe.</w:t>
      </w:r>
    </w:p>
    <w:p>
      <w:r>
        <w:rPr>
          <w:b/>
        </w:rPr>
        <w:t xml:space="preserve">Ergebnis: </w:t>
      </w:r>
      <w:r>
        <w:t>68 Priority-Topics identifiziert, nach evidenzbasierter Prüfung auf 67 reduziert, dann von 548 Befragten gereiht. 10 Top-Prioritäten durch Konsens vereinbart; umfassen klinische Versorgung, Personalwohlbefinden und Ausbildung.</w:t>
      </w:r>
    </w:p>
    <w:p>
      <w:r>
        <w:rPr>
          <w:b/>
          <w:sz w:val="19"/>
        </w:rPr>
        <w:t xml:space="preserve">Übertragbarkeit: </w:t>
      </w:r>
      <w:r>
        <w:rPr>
          <w:sz w:val="19"/>
        </w:rPr>
        <w:t>Großbritannien – methodisch stark, bedingt übertragbar auf deutsches Hebammensystem</w:t>
      </w:r>
    </w:p>
    <w:p>
      <w:r>
        <w:rPr>
          <w:color w:val="5A7D3A"/>
          <w:sz w:val="18"/>
        </w:rPr>
        <w:t>https://pubmed.ncbi.nlm.nih.gov/42767736/</w:t>
      </w:r>
    </w:p>
    <w:p>
      <w:pPr>
        <w:pStyle w:val="Heading2"/>
      </w:pPr>
      <w:r>
        <w:t>FeNO und Blut-Eosinophile zur Asthmadiagnose bei Kindern und Erwachsenen</w:t>
      </w:r>
    </w:p>
    <w:p>
      <w:r>
        <w:rPr>
          <w:i/>
          <w:color w:val="666666"/>
          <w:sz w:val="18"/>
        </w:rPr>
        <w:t>Roy MA et al.  ·  Lancet Respir Med  ·  15.09.2026  ·  PMID 42743935</w:t>
      </w:r>
    </w:p>
    <w:p>
      <w:r>
        <w:t>Metaanalyse von 30 diagnostischen Studien (22 bei Erwachsenen, 9 bei Kindern) zur Genauigkeit von FeNO und Blut-Eosinophilen gegenüber Bronchialprovokationstests.</w:t>
      </w:r>
    </w:p>
    <w:p>
      <w:r>
        <w:rPr>
          <w:b/>
        </w:rPr>
        <w:t xml:space="preserve">Ergebnis: </w:t>
      </w:r>
      <w:r>
        <w:t>FeNO diagnostische Genauigkeit: Erwachsene AUC 0,80, Kinder AUC 0,75. Bei Erwachsenen FeNO≥65 ppb: positive Vorhersagekraft 80%, &lt;20 ppb: negative VK 93%. Blut-Eosinophile schwache Leistung (AUC 0,65). Prospektive Validierung in DIVE-Kohorte (n=123) bestätigte Ergebnisse (FeNO AUC 0,77).</w:t>
      </w:r>
    </w:p>
    <w:p>
      <w:r>
        <w:rPr>
          <w:b/>
          <w:sz w:val="19"/>
        </w:rPr>
        <w:t xml:space="preserve">Übertragbarkeit: </w:t>
      </w:r>
      <w:r>
        <w:rPr>
          <w:sz w:val="19"/>
        </w:rPr>
        <w:t>Internationale Daten mit prospektiver Primärversorgungsvalidierung – Diagnostik systemunabhängig</w:t>
      </w:r>
    </w:p>
    <w:p>
      <w:r>
        <w:rPr>
          <w:color w:val="5A7D3A"/>
          <w:sz w:val="18"/>
        </w:rPr>
        <w:t>https://pubmed.ncbi.nlm.nih.gov/42743935/</w:t>
      </w:r>
    </w:p>
    <w:p>
      <w:pPr>
        <w:pStyle w:val="Heading1"/>
      </w:pPr>
      <w:r>
        <w:t>Aufgenommen am 22.09.2026</w:t>
      </w:r>
    </w:p>
    <w:p>
      <w:pPr>
        <w:pStyle w:val="Heading2"/>
      </w:pPr>
      <w:r>
        <w:t>Teletherapy-Einsatz in der Physiotherapie: deutsche Versorgungsforschung zu Barrieren und Förderfaktoren</w:t>
      </w:r>
    </w:p>
    <w:p>
      <w:r>
        <w:rPr>
          <w:i/>
          <w:color w:val="666666"/>
          <w:sz w:val="18"/>
        </w:rPr>
        <w:t>Michels T et al.  ·  JMIR Form Res  ·  21.09.2026  ·  PMID 42766842</w:t>
      </w:r>
    </w:p>
    <w:p>
      <w:r>
        <w:t>Querschnittsstudie von 458 Physiotherapeuten in Deutschland, die Barrieren und Förderfaktoren für die Implementierung von Teletherapie in der Praxis erfasste.</w:t>
      </w:r>
    </w:p>
    <w:p>
      <w:r>
        <w:rPr>
          <w:b/>
        </w:rPr>
        <w:t xml:space="preserve">Ergebnis: </w:t>
      </w:r>
      <w:r>
        <w:t>Nur 6,6 % der Teilnehmer hatten Teletherapie-Erfahrung; 87,3 % hielten Teletherapie für sinnvoll, aber nur 15,5 % fühlten sich ausreichend informiert. Häufigste Barrieren: Integration in Praxisroutinen, unzureichende Informationen zu rechtlichen Rahmenbedingungen und digitale Infrastruktur (Nennungen nicht weiter spezifiziert). Die Ergebnisse zeigen hohe Akzeptanz bei niedriger Nutzung und Informationsdefiziten.</w:t>
      </w:r>
    </w:p>
    <w:p>
      <w:r>
        <w:rPr>
          <w:b/>
          <w:sz w:val="19"/>
        </w:rPr>
        <w:t xml:space="preserve">Übertragbarkeit: </w:t>
      </w:r>
      <w:r>
        <w:rPr>
          <w:sz w:val="19"/>
        </w:rPr>
        <w:t>Deutsche Routinedaten aus der Physiotherapie; direkt auf das System übertragbar.</w:t>
      </w:r>
    </w:p>
    <w:p>
      <w:r>
        <w:rPr>
          <w:color w:val="5A7D3A"/>
          <w:sz w:val="18"/>
        </w:rPr>
        <w:t>https://pubmed.ncbi.nlm.nih.gov/42766842/</w:t>
      </w:r>
    </w:p>
    <w:p>
      <w:pPr>
        <w:pStyle w:val="Heading2"/>
      </w:pPr>
      <w:r>
        <w:t>Implementierung der elektronischen Patientenakte (ePA) in deutschen Arztpraxen: qualitative Frühevaluierung</w:t>
      </w:r>
    </w:p>
    <w:p>
      <w:r>
        <w:rPr>
          <w:i/>
          <w:color w:val="666666"/>
          <w:sz w:val="18"/>
        </w:rPr>
        <w:t>May S et al.  ·  J Med Internet Res  ·  21.09.2026  ·  PMID 42766713</w:t>
      </w:r>
    </w:p>
    <w:p>
      <w:r>
        <w:t>Qualitative Studie mit 49 semistrukturierten Interviews zu Implementierungsbarrieren und -förderfaktoren der ePA in ambulanten Praxen nach dem Rollout im Januar 2025.</w:t>
      </w:r>
    </w:p>
    <w:p>
      <w:r>
        <w:rPr>
          <w:b/>
        </w:rPr>
        <w:t xml:space="preserve">Ergebnis: </w:t>
      </w:r>
      <w:r>
        <w:t>Erleichterer: Führungsengagement, interne Kommunikation und Lernklima. Barrieren: technische Instabilität, heterogene Funktionalität von Praxismanagementsystemen, begrenzte Sektorübergreifung, unzureichendes Patientenbewusstsein. Implementierung stark abhängig von Organisationskapazität und Infrastrukturstabilität, nicht von professionellem Widerstand.</w:t>
      </w:r>
    </w:p>
    <w:p>
      <w:r>
        <w:rPr>
          <w:b/>
          <w:sz w:val="19"/>
        </w:rPr>
        <w:t xml:space="preserve">Übertragbarkeit: </w:t>
      </w:r>
      <w:r>
        <w:rPr>
          <w:sz w:val="19"/>
        </w:rPr>
        <w:t>Deutsche Routinedaten zur ePA-Implementierung; hochgradig systemrelevant für deutsches Versorgungssystem.</w:t>
      </w:r>
    </w:p>
    <w:p>
      <w:r>
        <w:rPr>
          <w:color w:val="5A7D3A"/>
          <w:sz w:val="18"/>
        </w:rPr>
        <w:t>https://pubmed.ncbi.nlm.nih.gov/42766713/</w:t>
      </w:r>
    </w:p>
    <w:p>
      <w:pPr>
        <w:pStyle w:val="Heading2"/>
      </w:pPr>
      <w:r>
        <w:t>Framework für klinische Bewertung von Large Language Models in der Patientenedukation</w:t>
      </w:r>
    </w:p>
    <w:p>
      <w:r>
        <w:rPr>
          <w:i/>
          <w:color w:val="666666"/>
          <w:sz w:val="18"/>
        </w:rPr>
        <w:t>Austria D et al.  ·  JMIR Form Res  ·  21.09.2026  ·  PMID 42766478</w:t>
      </w:r>
    </w:p>
    <w:p>
      <w:r>
        <w:t>Positions- und konzeptionelle Arbeit, die ein kliniker-zentriertes Evaluierungsframework (TAM-MCRS) für LLM-generierte Patientenedukation integriert Technology Acceptance Model und Medical Condition Regard Scale.</w:t>
      </w:r>
    </w:p>
    <w:p>
      <w:r>
        <w:rPr>
          <w:b/>
        </w:rPr>
        <w:t xml:space="preserve">Ergebnis: </w:t>
      </w:r>
      <w:r>
        <w:t>Das Framework kombiniert Usefulness/Completeness mit Ease of Use/Appropriateness und erfasst dabei Evaluator-Attitudinalvarianz durch MCRS als Kovariate. Ziel ist objektive, klinisch realistische und disparity-responsive Evidenz zur Qualität von LLM-generierten Unterlagen für Patientenbildung.</w:t>
      </w:r>
    </w:p>
    <w:p>
      <w:r>
        <w:rPr>
          <w:b/>
          <w:sz w:val="19"/>
        </w:rPr>
        <w:t xml:space="preserve">Übertragbarkeit: </w:t>
      </w:r>
      <w:r>
        <w:rPr>
          <w:sz w:val="19"/>
        </w:rPr>
        <w:t>Theoretischer Ansatz systemunabhängig, aber Methodenentwicklung US-fokussiert; nur bedingt übertragbar.</w:t>
      </w:r>
    </w:p>
    <w:p>
      <w:r>
        <w:rPr>
          <w:color w:val="5A7D3A"/>
          <w:sz w:val="18"/>
        </w:rPr>
        <w:t>https://pubmed.ncbi.nlm.nih.gov/42766478/</w:t>
      </w:r>
    </w:p>
    <w:p>
      <w:pPr>
        <w:pStyle w:val="Heading2"/>
      </w:pPr>
      <w:r>
        <w:t>Kontextfaktoren und Lernbedarfe bei Leitlinienentwicklung: qualitative Multiplenfall-Studie</w:t>
      </w:r>
    </w:p>
    <w:p>
      <w:r>
        <w:rPr>
          <w:i/>
          <w:color w:val="666666"/>
          <w:sz w:val="18"/>
        </w:rPr>
        <w:t>de Mortier CA et al.  ·  Med Teach  ·  21.09.2026  ·  PMID 42766408</w:t>
      </w:r>
    </w:p>
    <w:p>
      <w:r>
        <w:t>Qualitative Längsschnittstudie mit 18 Panelmitgliedern und 10 Projektleitern in 5 niederländischen Leitlinienprojekten; Analyse, welche kontextuellen Faktoren die Lernbedarfe in der Guideline-Entwicklung prägen.</w:t>
      </w:r>
    </w:p>
    <w:p>
      <w:r>
        <w:rPr>
          <w:b/>
        </w:rPr>
        <w:t xml:space="preserve">Ergebnis: </w:t>
      </w:r>
      <w:r>
        <w:t>Drei interaktive Themen beeinflussen Lernbedarfe: Leitlinienthema (Zusammensetzung, Methodik, Evidenzunsicherheit), Partizipationsdynamiken (Hierarchie, Sicherheit), Aufgabenverteilung. Methodische Kompetenz allein genügt nicht; Lernbedarfe entstehen aus Kombination aller drei Faktoren. Empfehlung: flexible, kontextsensitive und rollenpezifische Bildungsinitiativen.</w:t>
      </w:r>
    </w:p>
    <w:p>
      <w:r>
        <w:rPr>
          <w:b/>
          <w:sz w:val="19"/>
        </w:rPr>
        <w:t xml:space="preserve">Übertragbarkeit: </w:t>
      </w:r>
      <w:r>
        <w:rPr>
          <w:sz w:val="19"/>
        </w:rPr>
        <w:t>Niederlande, Versorgungsforschungs-Setting; gut übertragbar auf deutsches System zur Leitlinienentwicklung.</w:t>
      </w:r>
    </w:p>
    <w:p>
      <w:r>
        <w:rPr>
          <w:color w:val="5A7D3A"/>
          <w:sz w:val="18"/>
        </w:rPr>
        <w:t>https://pubmed.ncbi.nlm.nih.gov/42766408/</w:t>
      </w:r>
    </w:p>
    <w:p>
      <w:pPr>
        <w:pStyle w:val="Heading2"/>
      </w:pPr>
      <w:r>
        <w:t>Länderverglichende Forschungsinfrastruktur für Diabetes-Versorgung im ländlichen Raum</w:t>
      </w:r>
    </w:p>
    <w:p>
      <w:r>
        <w:rPr>
          <w:i/>
          <w:color w:val="666666"/>
          <w:sz w:val="18"/>
        </w:rPr>
        <w:t>Murfet G et al.  ·  Glob Health Action  ·  21.09.2026  ·  PMID 42765135</w:t>
      </w:r>
    </w:p>
    <w:p>
      <w:r>
        <w:t>Konzeptuelle Positionspapier, das ein neues International Consortium for Rural Diabetes Research (ICRDR) vorstellt, um fragmentierte Diabetes-Forschung in ländlichen Regionen zu koordinieren.</w:t>
      </w:r>
    </w:p>
    <w:p>
      <w:r>
        <w:rPr>
          <w:b/>
        </w:rPr>
        <w:t xml:space="preserve">Ergebnis: </w:t>
      </w:r>
      <w:r>
        <w:t>Kernaussage: Ländliche Diabetes-Versorgungsforschung bleibt isoliert und stützt sich auf urbane Evidenz; koordinierte internationale Infrastruktur mit gemeinsamen Prioritäten, Methoden und Outcome-Maßstäben ist erforderlich. Das ICRDR adressiert Zugangsbarrien (Fachkräftemangel, Isolation, fragmentierte Services) durch Multicentre-Studien und Kapazitätsaufbau.</w:t>
      </w:r>
    </w:p>
    <w:p>
      <w:r>
        <w:rPr>
          <w:b/>
          <w:sz w:val="19"/>
        </w:rPr>
        <w:t xml:space="preserve">Übertragbarkeit: </w:t>
      </w:r>
      <w:r>
        <w:rPr>
          <w:sz w:val="19"/>
        </w:rPr>
        <w:t>Konzeptionell und methodisch international orientiert; hilft deutschem System, Evidenzlücken in ländlichen Regionen zu schließen.</w:t>
      </w:r>
    </w:p>
    <w:p>
      <w:r>
        <w:rPr>
          <w:color w:val="5A7D3A"/>
          <w:sz w:val="18"/>
        </w:rPr>
        <w:t>https://pubmed.ncbi.nlm.nih.gov/42765135/</w:t>
      </w:r>
    </w:p>
    <w:p>
      <w:pPr>
        <w:pStyle w:val="Heading2"/>
      </w:pPr>
      <w:r>
        <w:t>Kernoutcome-Set für Shared-Decision-Making-Interventionen: Entwicklungsprotokoll</w:t>
      </w:r>
    </w:p>
    <w:p>
      <w:r>
        <w:rPr>
          <w:i/>
          <w:color w:val="666666"/>
          <w:sz w:val="18"/>
        </w:rPr>
        <w:t>Hoffmann C et al.  ·  BMJ Open  ·  15.09.2026  ·  PMID 42744360</w:t>
      </w:r>
    </w:p>
    <w:p>
      <w:r>
        <w:t>Studienprotokoll zur Entwicklung eines Core Outcome Set (COS) für die Evaluation von Shared-Decision-Making-Interventionen mittels Delphi-Survey und Konsensuskonferenz.</w:t>
      </w:r>
    </w:p>
    <w:p>
      <w:r>
        <w:rPr>
          <w:b/>
        </w:rPr>
        <w:t xml:space="preserve">Ergebnis: </w:t>
      </w:r>
      <w:r>
        <w:t>Geplante Struktur: Schritt 1: Erstellung einer langen Kandidaten-Outcome-Liste durch Literaturanalyse und qualitative Interviews (mind. 20 Stakeholder). Schritt 2: Delphi-Survey mit mind. 150 internationalen Teilnehmern (Profis, Patienten) in zwei Runden zur Priorisierung. Schritt 3: Konsensus per modified nominal group technique. Laufzeit Juni 2025 bis September 2026; Ergebnisse erwartungsgemäß für standardisierte Evaluationspraxis verfügbar.</w:t>
      </w:r>
    </w:p>
    <w:p>
      <w:r>
        <w:rPr>
          <w:b/>
          <w:sz w:val="19"/>
        </w:rPr>
        <w:t xml:space="preserve">Übertragbarkeit: </w:t>
      </w:r>
      <w:r>
        <w:rPr>
          <w:sz w:val="19"/>
        </w:rPr>
        <w:t>Britische Studienkoordination; Shared Decision Making ist international etabliertes Konzept; methodisch auf deutsche SDM-Forschung anwendbar.</w:t>
      </w:r>
    </w:p>
    <w:p>
      <w:r>
        <w:rPr>
          <w:color w:val="5A7D3A"/>
          <w:sz w:val="18"/>
        </w:rPr>
        <w:t>https://pubmed.ncbi.nlm.nih.gov/42744360/</w:t>
      </w:r>
    </w:p>
    <w:p>
      <w:pPr>
        <w:pStyle w:val="Heading1"/>
      </w:pPr>
      <w:r>
        <w:t>Aufgenommen am 21.09.2026</w:t>
      </w:r>
    </w:p>
    <w:p>
      <w:pPr>
        <w:pStyle w:val="Heading2"/>
      </w:pPr>
      <w:r>
        <w:t>Geburtshilfe-Standardisierung: Ballonkatheter und Wehenmuster nach Einleitung</w:t>
      </w:r>
    </w:p>
    <w:p>
      <w:r>
        <w:rPr>
          <w:i/>
          <w:color w:val="666666"/>
          <w:sz w:val="18"/>
        </w:rPr>
        <w:t>Baboeuf A et al.  ·  J Gynecol Obstet Hum Reprod  ·  19.09.2026  ·  PMID 42762855</w:t>
      </w:r>
    </w:p>
    <w:p>
      <w:r>
        <w:t>Retrospektive Evaluierung eines standardisierten Induktionsprotokolls mit Ballonkatheter zur Zervixreifung als Erstlinientherapie vs. freie Wahl in französischer Tertiärklinik.</w:t>
      </w:r>
    </w:p>
    <w:p>
      <w:r>
        <w:rPr>
          <w:b/>
        </w:rPr>
        <w:t xml:space="preserve">Ergebnis: </w:t>
      </w:r>
      <w:r>
        <w:t>Vaginale Geburt innerhalb 24h: 27,3% (Protokoll) vs. 34,0% (Baseline), p=0,18; nächtliche Epiduralanalgesie signifikant weniger häufig nach Protokoll (35,6% vs. 46,2%, p=0,008); 77,4% der Frauen mit Gesamtzufriedenheit einverstanden.</w:t>
      </w:r>
    </w:p>
    <w:p>
      <w:r>
        <w:rPr>
          <w:b/>
          <w:sz w:val="19"/>
        </w:rPr>
        <w:t xml:space="preserve">Übertragbarkeit: </w:t>
      </w:r>
      <w:r>
        <w:rPr>
          <w:sz w:val="19"/>
        </w:rPr>
        <w:t>Französische Tertiärklinik, übertragbare Implementierungsfrage, aber begrenzte klinische Effekte</w:t>
      </w:r>
    </w:p>
    <w:p>
      <w:r>
        <w:rPr>
          <w:color w:val="5A7D3A"/>
          <w:sz w:val="18"/>
        </w:rPr>
        <w:t>https://pubmed.ncbi.nlm.nih.gov/42762855/</w:t>
      </w:r>
    </w:p>
    <w:p>
      <w:pPr>
        <w:pStyle w:val="Heading2"/>
      </w:pPr>
      <w:r>
        <w:t>Palliativversorgungsqualität für Patienten mit schweren psychischen Störungen</w:t>
      </w:r>
    </w:p>
    <w:p>
      <w:r>
        <w:rPr>
          <w:i/>
          <w:color w:val="666666"/>
          <w:sz w:val="18"/>
        </w:rPr>
        <w:t>Bøndergaard K et al.  ·  Omega (Westport)  ·  19.09.2026  ·  PMID 42762069</w:t>
      </w:r>
    </w:p>
    <w:p>
      <w:r>
        <w:t>Querschnitts-Fragebogenstudie mit dänischen Hausärzten und Palliativmedizinern zu Qualität der Palliativbetreuung bei verstorbenen Patienten mit schweren psychischen Störungen.</w:t>
      </w:r>
    </w:p>
    <w:p>
      <w:r>
        <w:rPr>
          <w:b/>
        </w:rPr>
        <w:t xml:space="preserve">Ergebnis: </w:t>
      </w:r>
      <w:r>
        <w:t>123 Fragebogen von 162 (76% Rücklaufquote); die meisten Verläufe als gut oder sehr gut bewertet; qualitative Analyse enthüllte drei Themen: Zusammenarbeit/Timing, Kommunikation/Beziehungen, Komplexität; Koordination und Kommunikation bei Lebensende-Entscheidungen teilweise herausfordernd.</w:t>
      </w:r>
    </w:p>
    <w:p>
      <w:r>
        <w:rPr>
          <w:b/>
          <w:sz w:val="19"/>
        </w:rPr>
        <w:t xml:space="preserve">Übertragbarkeit: </w:t>
      </w:r>
      <w:r>
        <w:rPr>
          <w:sz w:val="19"/>
        </w:rPr>
        <w:t>Dänemark, skandinavisches steuerfinanziertes System mit Hausarztfokus</w:t>
      </w:r>
    </w:p>
    <w:p>
      <w:r>
        <w:rPr>
          <w:color w:val="5A7D3A"/>
          <w:sz w:val="18"/>
        </w:rPr>
        <w:t>https://pubmed.ncbi.nlm.nih.gov/42762069/</w:t>
      </w:r>
    </w:p>
    <w:p>
      <w:pPr>
        <w:pStyle w:val="Heading2"/>
      </w:pPr>
      <w:r>
        <w:t>Angiotensin-Inhibitoren vor elektiver Chirurgie: RCT-Absetzen vs. Fortführen</w:t>
      </w:r>
    </w:p>
    <w:p>
      <w:r>
        <w:rPr>
          <w:i/>
          <w:color w:val="666666"/>
          <w:sz w:val="18"/>
        </w:rPr>
        <w:t>Scott IA et al.  ·  J Hosp Med  ·  19.09.2026  ·  PMID 42762066</w:t>
      </w:r>
    </w:p>
    <w:p>
      <w:r>
        <w:t>Single-Center-RCT zu kardiovaskulären Komplikationen nach elektiver, nicht-kardischer Chirurgie unter Fortführung vs. 24h-Absetzen von ACE-Inhibitoren/ARBs.</w:t>
      </w:r>
    </w:p>
    <w:p>
      <w:r>
        <w:rPr>
          <w:b/>
        </w:rPr>
        <w:t xml:space="preserve">Ergebnis: </w:t>
      </w:r>
      <w:r>
        <w:t>667 Patienten randomisiert (325 Fortführung, 313 Absetzen); primärer Outcome MACE: 2,8% vs. 2,9% (Differenz 0,1%, 95% CI −2,5% bis 2,8%, p=1,00); intraop. Hypotonie 63,5% vs. 60,7%, AKI 7,4% vs. 4,8%; keine signifikanten Unterschiede; Absetzen reduzierte nicht MACE, Hypotonie oder AKI.</w:t>
      </w:r>
    </w:p>
    <w:p>
      <w:r>
        <w:rPr>
          <w:b/>
          <w:sz w:val="19"/>
        </w:rPr>
        <w:t xml:space="preserve">Übertragbarkeit: </w:t>
      </w:r>
      <w:r>
        <w:rPr>
          <w:sz w:val="19"/>
        </w:rPr>
        <w:t>Australische Tertiärklinik, aber klinische Prozessfrage systemunabhängig</w:t>
      </w:r>
    </w:p>
    <w:p>
      <w:r>
        <w:rPr>
          <w:color w:val="5A7D3A"/>
          <w:sz w:val="18"/>
        </w:rPr>
        <w:t>https://pubmed.ncbi.nlm.nih.gov/42762066/</w:t>
      </w:r>
    </w:p>
    <w:p>
      <w:pPr>
        <w:pStyle w:val="Heading2"/>
      </w:pPr>
      <w:r>
        <w:t>Frühe Krebsinzidenz in Nordischen Ländern 2003–2022 mit Projektion bis 2050</w:t>
      </w:r>
    </w:p>
    <w:p>
      <w:r>
        <w:rPr>
          <w:i/>
          <w:color w:val="666666"/>
          <w:sz w:val="18"/>
        </w:rPr>
        <w:t>Johansson AL et al.  ·  Lancet Reg Health Eur  ·  12.09.2026  ·  PMID 42761845</w:t>
      </w:r>
    </w:p>
    <w:p>
      <w:r>
        <w:t>Bevölkerungsbasierte Trendstudie der Inzidenz früher Krebserkrankungen (Alter 20–49) in Nordischen Ländern über 20 Jahre mit Vorhersagen bis 2050.</w:t>
      </w:r>
    </w:p>
    <w:p>
      <w:r>
        <w:rPr>
          <w:b/>
        </w:rPr>
        <w:t xml:space="preserve">Ergebnis: </w:t>
      </w:r>
      <w:r>
        <w:t>Signifikante Inzidenzzunahme bei 12 von 18 Krebsarten; Darmkrebs &lt;35 Jahren höchster EAPC (&gt;2%), mit 9.174 zusätzlichen Fällen (2003–2007 zu 2018–2022: 47.491 zu 56.665); regionale Variation Appalachien und Südosten USA.</w:t>
      </w:r>
    </w:p>
    <w:p>
      <w:r>
        <w:rPr>
          <w:b/>
          <w:sz w:val="19"/>
        </w:rPr>
        <w:t xml:space="preserve">Übertragbarkeit: </w:t>
      </w:r>
      <w:r>
        <w:rPr>
          <w:sz w:val="19"/>
        </w:rPr>
        <w:t>Nordische Länder, vergleichbare Gesundheitssysteme mit guten Datenregistern</w:t>
      </w:r>
    </w:p>
    <w:p>
      <w:r>
        <w:rPr>
          <w:color w:val="5A7D3A"/>
          <w:sz w:val="18"/>
        </w:rPr>
        <w:t>https://pubmed.ncbi.nlm.nih.gov/42761845/</w:t>
      </w:r>
    </w:p>
    <w:p>
      <w:pPr>
        <w:pStyle w:val="Heading2"/>
      </w:pPr>
      <w:r>
        <w:t>Darmkrebsscreening bei sexuellen Minderheiten nach US-Guidelines 2021</w:t>
      </w:r>
    </w:p>
    <w:p>
      <w:r>
        <w:rPr>
          <w:i/>
          <w:color w:val="666666"/>
          <w:sz w:val="18"/>
        </w:rPr>
        <w:t>George L et al.  ·  AJPM Focus  ·  12.05.2026  ·  PMID 42761516</w:t>
      </w:r>
    </w:p>
    <w:p>
      <w:r>
        <w:t>Querschnittsanalyse der Screening-Compliance für Darmkrebs bei sexuellen Minderheiten nach Aktualisierung der USPSTF-Richtlinien (2021), USA 2022.</w:t>
      </w:r>
    </w:p>
    <w:p>
      <w:r>
        <w:rPr>
          <w:b/>
        </w:rPr>
        <w:t xml:space="preserve">Ergebnis: </w:t>
      </w:r>
      <w:r>
        <w:t>Screening-Rate insgesamt: 69,0% (gay/lesbian), 62,7% (bisexual), 58,4% (andere Orientierung), 68,8% (heterosexuell); Personen mit anderer Orientierung signifikant niedriger als heterosexuell (aPR=0,90, 95% CI 0,84–0,97); Dispariät besonders in Alter 65–75 und Frauen.</w:t>
      </w:r>
    </w:p>
    <w:p>
      <w:r>
        <w:rPr>
          <w:b/>
          <w:sz w:val="19"/>
        </w:rPr>
        <w:t xml:space="preserve">Übertragbarkeit: </w:t>
      </w:r>
      <w:r>
        <w:rPr>
          <w:sz w:val="19"/>
        </w:rPr>
        <w:t>USA, aber Screeningdisparität bei Minderheiten systemunabhängig relevant</w:t>
      </w:r>
    </w:p>
    <w:p>
      <w:r>
        <w:rPr>
          <w:color w:val="5A7D3A"/>
          <w:sz w:val="18"/>
        </w:rPr>
        <w:t>https://pubmed.ncbi.nlm.nih.gov/42761516/</w:t>
      </w:r>
    </w:p>
    <w:p>
      <w:pPr>
        <w:pStyle w:val="Heading2"/>
      </w:pPr>
      <w:r>
        <w:t>Kulturelle Diabetes-Schulung: Kosteneffektivität für Marshallese-Bevölkerung</w:t>
      </w:r>
    </w:p>
    <w:p>
      <w:r>
        <w:rPr>
          <w:i/>
          <w:color w:val="666666"/>
          <w:sz w:val="18"/>
        </w:rPr>
        <w:t>Lamprecht-Carson D et al.  ·  Diabetes Obes Metab  ·  17.09.2026  ·  PMID 42755138</w:t>
      </w:r>
    </w:p>
    <w:p>
      <w:r>
        <w:t>Markov-Modell zur Kosteneffektivität eines kulturell angepassten Diabetes-Selbstmanagement-Programms vs. Standard-DSME für Marshallese-Erwachsene mit Typ-2-Diabetes.</w:t>
      </w:r>
    </w:p>
    <w:p>
      <w:r>
        <w:rPr>
          <w:b/>
        </w:rPr>
        <w:t xml:space="preserve">Ergebnis: </w:t>
      </w:r>
      <w:r>
        <w:t>Kulturell angepasstes Programm cost-effective mit ICER von 3.083 Dollar pro QALY; in 87,1% der Simulationen bevorzugte Strategie bei WTP 50.000 Dollar pro QALY; bescheidene aber relevante Unterschiede zwischen Interventionszenarien.</w:t>
      </w:r>
    </w:p>
    <w:p>
      <w:r>
        <w:rPr>
          <w:b/>
          <w:sz w:val="19"/>
        </w:rPr>
        <w:t xml:space="preserve">Übertragbarkeit: </w:t>
      </w:r>
      <w:r>
        <w:rPr>
          <w:sz w:val="19"/>
        </w:rPr>
        <w:t>USA-Daten, aber Fragestellung zur Kultursensitivität systemunabhängig transferierbar</w:t>
      </w:r>
    </w:p>
    <w:p>
      <w:r>
        <w:rPr>
          <w:color w:val="5A7D3A"/>
          <w:sz w:val="18"/>
        </w:rPr>
        <w:t>https://pubmed.ncbi.nlm.nih.gov/42755138/</w:t>
      </w:r>
    </w:p>
    <w:p>
      <w:pPr>
        <w:pStyle w:val="Heading1"/>
      </w:pPr>
      <w:r>
        <w:t>Aufgenommen am 20.09.2026</w:t>
      </w:r>
    </w:p>
    <w:p>
      <w:pPr>
        <w:pStyle w:val="Heading2"/>
      </w:pPr>
      <w:r>
        <w:t>Workplace-Health-Promotion in Pflegeheimen: qualitative Prozessevaluation</w:t>
      </w:r>
    </w:p>
    <w:p>
      <w:r>
        <w:rPr>
          <w:i/>
          <w:color w:val="666666"/>
          <w:sz w:val="18"/>
        </w:rPr>
        <w:t>Czakert J et al.  ·  Front Public Health  ·  04.09.2026  ·  PMID 42761123</w:t>
      </w:r>
    </w:p>
    <w:p>
      <w:r>
        <w:t>Qualitative Prozessevaluation zur Entwicklung und Implementierung von drei WHP-Workshops in einem Pilotheim nach RE-AIM-Framework.</w:t>
      </w:r>
    </w:p>
    <w:p>
      <w:r>
        <w:rPr>
          <w:b/>
        </w:rPr>
        <w:t xml:space="preserve">Ergebnis: </w:t>
      </w:r>
      <w:r>
        <w:t>Entwicklung aus sieben Phasen. Etwa ein Drittel der Teilnehmenden aktiv involviert, andere passiv oder resistiv. Engagement variabel, Schlüsselhemmnisse: Motivation, wahrgenommene Relevanz, Gruppendynamik, Fatigue, Sprachbarrieren. Zentral: organisatorische Vorbereitung und Partizipation.</w:t>
      </w:r>
    </w:p>
    <w:p>
      <w:r>
        <w:rPr>
          <w:b/>
          <w:sz w:val="19"/>
        </w:rPr>
        <w:t xml:space="preserve">Übertragbarkeit: </w:t>
      </w:r>
      <w:r>
        <w:rPr>
          <w:sz w:val="19"/>
        </w:rPr>
        <w:t>Deutschland, Langzeitpflegesektor, hohe Relevanz für Implementierungspraxis</w:t>
      </w:r>
    </w:p>
    <w:p>
      <w:r>
        <w:rPr>
          <w:color w:val="5A7D3A"/>
          <w:sz w:val="18"/>
        </w:rPr>
        <w:t>https://pubmed.ncbi.nlm.nih.gov/42761123/</w:t>
      </w:r>
    </w:p>
    <w:p>
      <w:pPr>
        <w:pStyle w:val="Heading2"/>
      </w:pPr>
      <w:r>
        <w:t>Regionale Disparitäten Zahngesundheit Deutschland</w:t>
      </w:r>
    </w:p>
    <w:p>
      <w:r>
        <w:rPr>
          <w:i/>
          <w:color w:val="666666"/>
          <w:sz w:val="18"/>
        </w:rPr>
        <w:t>Gortschakow J et al.  ·  J Clin Periodontol  ·  18.09.2026  ·  PMID 42760791</w:t>
      </w:r>
    </w:p>
    <w:p>
      <w:r>
        <w:t>Bevölkerungsstudie mit 184.871 Erwachsenen untersucht Prävalenz von Zahnlosigkeit und Taschentiefen bundesweit mittels klinischer Untersuchung.</w:t>
      </w:r>
    </w:p>
    <w:p>
      <w:r>
        <w:rPr>
          <w:b/>
        </w:rPr>
        <w:t xml:space="preserve">Ergebnis: </w:t>
      </w:r>
      <w:r>
        <w:t>Zahnlosigkeitsprävalenz: 1,7 % (95%-KI 1,6–1,9). Mittlere Taschentiefe: 1,89 mm (1,87–1,91). Deutliche regionale Disparitäten von 1,3 % (Augsburg/Regensburg) bis 2,3 % (Neubrandenburg).</w:t>
      </w:r>
    </w:p>
    <w:p>
      <w:r>
        <w:rPr>
          <w:b/>
          <w:sz w:val="19"/>
        </w:rPr>
        <w:t xml:space="preserve">Übertragbarkeit: </w:t>
      </w:r>
      <w:r>
        <w:rPr>
          <w:sz w:val="19"/>
        </w:rPr>
        <w:t>Deutsche Routinedaten aus Kohorte, exzellente Übertragbarkeit</w:t>
      </w:r>
    </w:p>
    <w:p>
      <w:r>
        <w:rPr>
          <w:color w:val="5A7D3A"/>
          <w:sz w:val="18"/>
        </w:rPr>
        <w:t>https://pubmed.ncbi.nlm.nih.gov/42760791/</w:t>
      </w:r>
    </w:p>
    <w:p>
      <w:pPr>
        <w:pStyle w:val="Heading2"/>
      </w:pPr>
      <w:r>
        <w:t>Arbeitsbelastung und Berufsverbleib in Gesundheitsberufen</w:t>
      </w:r>
    </w:p>
    <w:p>
      <w:r>
        <w:rPr>
          <w:i/>
          <w:color w:val="666666"/>
          <w:sz w:val="18"/>
        </w:rPr>
        <w:t>Andersson Hammar I et al.  ·  BMC Health Serv Res  ·  17.09.2026  ·  PMID 42760563</w:t>
      </w:r>
    </w:p>
    <w:p>
      <w:r>
        <w:t>Längsschnittstudie untersuchte Zusammenhänge zwischen Arbeitserfahrungen, Gesundheit und Verbleibsabsicht bei Fachpersonen drei Jahre nach Berufsstart.</w:t>
      </w:r>
    </w:p>
    <w:p>
      <w:r>
        <w:rPr>
          <w:b/>
        </w:rPr>
        <w:t xml:space="preserve">Ergebnis: </w:t>
      </w:r>
      <w:r>
        <w:t>Höhere Arbeitszufriedenheit war mit besserer Gesundheit und deutlich gestärkter Absicht zum Verbleib in der Profession assoziiert. Die 30–36-Jährigen zeigten niedrigere Verbleibsabsicht als jüngere und ältere Kohorten.</w:t>
      </w:r>
    </w:p>
    <w:p>
      <w:r>
        <w:rPr>
          <w:b/>
          <w:sz w:val="19"/>
        </w:rPr>
        <w:t xml:space="preserve">Übertragbarkeit: </w:t>
      </w:r>
      <w:r>
        <w:rPr>
          <w:sz w:val="19"/>
        </w:rPr>
        <w:t>Schweden, gut übertragbar auf deutsches Gesundheitssystem und Arbeitskontexte</w:t>
      </w:r>
    </w:p>
    <w:p>
      <w:r>
        <w:rPr>
          <w:color w:val="5A7D3A"/>
          <w:sz w:val="18"/>
        </w:rPr>
        <w:t>https://pubmed.ncbi.nlm.nih.gov/42760563/</w:t>
      </w:r>
    </w:p>
    <w:p>
      <w:pPr>
        <w:pStyle w:val="Heading2"/>
      </w:pPr>
      <w:r>
        <w:t>Apotheker-Intervention bei koronaren Patienten: Medication-Review-Studie</w:t>
      </w:r>
    </w:p>
    <w:p>
      <w:r>
        <w:rPr>
          <w:i/>
          <w:color w:val="666666"/>
          <w:sz w:val="18"/>
        </w:rPr>
        <w:t>Östbring MJ et al.  ·  BMC Health Serv Res  ·  15.09.2026  ·  PMID 42760559</w:t>
      </w:r>
    </w:p>
    <w:p>
      <w:r>
        <w:t>Prozessevaluation eines randomisierten Trials zu pharmazeutisch-gesteuerter Adhärence-Intervention mittels Motivierender Gesprächsführung bei Herzkranken.</w:t>
      </w:r>
    </w:p>
    <w:p>
      <w:r>
        <w:rPr>
          <w:b/>
        </w:rPr>
        <w:t xml:space="preserve">Ergebnis: </w:t>
      </w:r>
      <w:r>
        <w:t>Klinische Apotheker identifizierten durchschnittlich 4,3 medikationsbezogene Probleme pro Patient. In 194 von 218 bekannten Fällen wurde das Problem gelöst/verbessert. 52,8 % der Interventionsgruppe vs. 31,0 % der Kontrollgruppe verschoben sich zu akzeptierenderer Arzneimittelhaltung (p = 0,051).</w:t>
      </w:r>
    </w:p>
    <w:p>
      <w:r>
        <w:rPr>
          <w:b/>
          <w:sz w:val="19"/>
        </w:rPr>
        <w:t xml:space="preserve">Übertragbarkeit: </w:t>
      </w:r>
      <w:r>
        <w:rPr>
          <w:sz w:val="19"/>
        </w:rPr>
        <w:t>Schweden, Sozialversicherungssystem, pharmazeutische Versorgungsrollen</w:t>
      </w:r>
    </w:p>
    <w:p>
      <w:r>
        <w:rPr>
          <w:color w:val="5A7D3A"/>
          <w:sz w:val="18"/>
        </w:rPr>
        <w:t>https://pubmed.ncbi.nlm.nih.gov/42760559/</w:t>
      </w:r>
    </w:p>
    <w:p>
      <w:pPr>
        <w:pStyle w:val="Heading2"/>
      </w:pPr>
      <w:r>
        <w:t>Psychische Gesundheit peripartal: Screening-Barrieren in Indien</w:t>
      </w:r>
    </w:p>
    <w:p>
      <w:r>
        <w:rPr>
          <w:i/>
          <w:color w:val="666666"/>
          <w:sz w:val="18"/>
        </w:rPr>
        <w:t>Basu P et al.  ·  BMC Health Serv Res  ·  03.08.2026  ·  PMID 42760554</w:t>
      </w:r>
    </w:p>
    <w:p>
      <w:r>
        <w:t>Qualitative Studie zu Hemmnissen und Facilitatoren von perinataler psychischer Gesundheitsscreening aus Perspektive von Frauen und Angehörigen des Gesundheitswesens.</w:t>
      </w:r>
    </w:p>
    <w:p>
      <w:r>
        <w:rPr>
          <w:b/>
        </w:rPr>
        <w:t xml:space="preserve">Ergebnis: </w:t>
      </w:r>
      <w:r>
        <w:t>Facilitatoren: etabliertes Referralsystem, Medikamentenverfügbarkeit, Datenschutz. Barrieren: fragmentierte Services, hohe Arbeitsbelastung, Stigma, unzureichende Schulung, mangelndes Vertrauen. Familienpräsenz behinderte offene Diskussionen.</w:t>
      </w:r>
    </w:p>
    <w:p>
      <w:r>
        <w:rPr>
          <w:b/>
          <w:sz w:val="19"/>
        </w:rPr>
        <w:t xml:space="preserve">Übertragbarkeit: </w:t>
      </w:r>
      <w:r>
        <w:rPr>
          <w:sz w:val="19"/>
        </w:rPr>
        <w:t>Indien; Fragestellung systemunabhängig, aber Übertragbarkeit limitiert durch andere Ressourcenlage</w:t>
      </w:r>
    </w:p>
    <w:p>
      <w:r>
        <w:rPr>
          <w:color w:val="5A7D3A"/>
          <w:sz w:val="18"/>
        </w:rPr>
        <w:t>https://pubmed.ncbi.nlm.nih.gov/42760554/</w:t>
      </w:r>
    </w:p>
    <w:p>
      <w:pPr>
        <w:pStyle w:val="Heading2"/>
      </w:pPr>
      <w:r>
        <w:t>Gestationsdiabetes Südlichasiatische Frauen: PPIE-Insights</w:t>
      </w:r>
    </w:p>
    <w:p>
      <w:r>
        <w:rPr>
          <w:i/>
          <w:color w:val="666666"/>
          <w:sz w:val="18"/>
        </w:rPr>
        <w:t>Dapre E et al.  ·  NIHR Open Res  ·  03.09.2026  ·  PMID 42750677</w:t>
      </w:r>
    </w:p>
    <w:p>
      <w:r>
        <w:t>Patient- und Public-Involvement-Engagement-Studie mit südlichasiatischen Frauen zur Verbesserung der Adhärenz in Ernährungsintervention bei Gestationsdiabetes.</w:t>
      </w:r>
    </w:p>
    <w:p>
      <w:r>
        <w:rPr>
          <w:b/>
        </w:rPr>
        <w:t xml:space="preserve">Ergebnis: </w:t>
      </w:r>
      <w:r>
        <w:t>17 Frauen identifizierten drei Schlüsselprobleme: Vulnerabilität (Vertrauensmangel, Kontrollverlust), Zugänglichkeit (flexible Formate, finanzielle Unterstützung), Mentale Belastung (emotionales Wohlbefinden, Familieneinfluss). Empfehlungen: familienbasierte Essensplanung, visuelle Guides, psychosoziale Unterstützung.</w:t>
      </w:r>
    </w:p>
    <w:p>
      <w:r>
        <w:rPr>
          <w:b/>
          <w:sz w:val="19"/>
        </w:rPr>
        <w:t xml:space="preserve">Übertragbarkeit: </w:t>
      </w:r>
      <w:r>
        <w:rPr>
          <w:sz w:val="19"/>
        </w:rPr>
        <w:t>Qualitative UK-Studie; Fragestellung zu Barrieren und Facilitatoren systemunabhängig</w:t>
      </w:r>
    </w:p>
    <w:p>
      <w:r>
        <w:rPr>
          <w:color w:val="5A7D3A"/>
          <w:sz w:val="18"/>
        </w:rPr>
        <w:t>https://pubmed.ncbi.nlm.nih.gov/42750677/</w:t>
      </w:r>
    </w:p>
    <w:p>
      <w:pPr>
        <w:pStyle w:val="Heading1"/>
      </w:pPr>
      <w:r>
        <w:t>Aufgenommen am 19.09.2026</w:t>
      </w:r>
    </w:p>
    <w:p>
      <w:pPr>
        <w:pStyle w:val="Heading2"/>
      </w:pPr>
      <w:r>
        <w:t>Verbesserung von Peer-Support für Mütter mit HIV in Kenia</w:t>
      </w:r>
    </w:p>
    <w:p>
      <w:r>
        <w:rPr>
          <w:i/>
          <w:color w:val="666666"/>
          <w:sz w:val="18"/>
        </w:rPr>
        <w:t>Carlucci JG et al.  ·  PLOS Glob Public Health  ·  18.09.2026  ·  PMID 42758698</w:t>
      </w:r>
    </w:p>
    <w:p>
      <w:r>
        <w:t>Qualitative Interviews mit 16 Mentor Mothers und 36 Frauen mit HIV in Westkenias PMTCT-Programmen zur Verbesserung von Peer-Support-Diensten.</w:t>
      </w:r>
    </w:p>
    <w:p>
      <w:r>
        <w:rPr>
          <w:b/>
        </w:rPr>
        <w:t xml:space="preserve">Ergebnis: </w:t>
      </w:r>
      <w:r>
        <w:t>Beide Gruppen befürworteten Risikostratifizierung: intensive Services für Hochrisiko-Mütter, weniger intensive für Niedrigrisiko. Zentral: empathische Mentoring-Beziehungen mit geteilten Erfahrungen; nötig aber bessere Aufgabendefinition, Kapazitätsaufbau, faire Kompensation und Ressourcen für ökonomische Barrieren.</w:t>
      </w:r>
    </w:p>
    <w:p>
      <w:r>
        <w:rPr>
          <w:b/>
          <w:sz w:val="19"/>
        </w:rPr>
        <w:t xml:space="preserve">Übertragbarkeit: </w:t>
      </w:r>
      <w:r>
        <w:rPr>
          <w:sz w:val="19"/>
        </w:rPr>
        <w:t>Kenia; Modell zu Peer-Support-Effektivität auf andere LMIC-Kontexte übertragbar</w:t>
      </w:r>
    </w:p>
    <w:p>
      <w:r>
        <w:rPr>
          <w:color w:val="5A7D3A"/>
          <w:sz w:val="18"/>
        </w:rPr>
        <w:t>https://pubmed.ncbi.nlm.nih.gov/42758698/</w:t>
      </w:r>
    </w:p>
    <w:p>
      <w:pPr>
        <w:pStyle w:val="Heading2"/>
      </w:pPr>
      <w:r>
        <w:t>Implementierungsstrategie für betriebliche Rauchentwöhnung mit Anreizen</w:t>
      </w:r>
    </w:p>
    <w:p>
      <w:r>
        <w:rPr>
          <w:i/>
          <w:color w:val="666666"/>
          <w:sz w:val="18"/>
        </w:rPr>
        <w:t>van den Brand FA et al.  ·  PLoS One  ·  18.09.2026  ·  PMID 42758680</w:t>
      </w:r>
    </w:p>
    <w:p>
      <w:r>
        <w:t>Systematische Entwicklung einer Implementierungsstrategie für Workplace-Rauchentwöhnungsprogramme mit finanziellen Anreizen mittels Implementation Mapping in den Niederlanden.</w:t>
      </w:r>
    </w:p>
    <w:p>
      <w:r>
        <w:rPr>
          <w:b/>
        </w:rPr>
        <w:t xml:space="preserve">Ergebnis: </w:t>
      </w:r>
      <w:r>
        <w:t>Identifizierte Schlüsseladoptoren (Geschäftsführung, HR-Manager) und Implementierer sowie sieben Determinanten für erfolgreiche Durchführung. Entwickelte evidenzbasierte Strategien einschließlich Implementierungsleitfaden, Website, Video und Webinar. Stakeholder-Feedback führte zu Verbesserungen.</w:t>
      </w:r>
    </w:p>
    <w:p>
      <w:r>
        <w:rPr>
          <w:b/>
          <w:sz w:val="19"/>
        </w:rPr>
        <w:t xml:space="preserve">Übertragbarkeit: </w:t>
      </w:r>
      <w:r>
        <w:rPr>
          <w:sz w:val="19"/>
        </w:rPr>
        <w:t>Niederlande, ähnliches Sozialversicherungssystem mit Betriebsstruktur</w:t>
      </w:r>
    </w:p>
    <w:p>
      <w:r>
        <w:rPr>
          <w:color w:val="5A7D3A"/>
          <w:sz w:val="18"/>
        </w:rPr>
        <w:t>https://pubmed.ncbi.nlm.nih.gov/42758680/</w:t>
      </w:r>
    </w:p>
    <w:p>
      <w:pPr>
        <w:pStyle w:val="Heading2"/>
      </w:pPr>
      <w:r>
        <w:t>Kognitive Verzerrungen und Nierenfunktions-Risikoperception bei älteren CKD-Patienten</w:t>
      </w:r>
    </w:p>
    <w:p>
      <w:r>
        <w:rPr>
          <w:i/>
          <w:color w:val="666666"/>
          <w:sz w:val="18"/>
        </w:rPr>
        <w:t>Bonnet K et al.  ·  Clin J Am Soc Nephrol  ·  18.09.2026  ·  PMID 42758548</w:t>
      </w:r>
    </w:p>
    <w:p>
      <w:r>
        <w:t>Mixed-Methods-Studie mit Älteren (&gt;60 Jahre) im Stadium 3B–5 CKD zu kognitiven Verzerrungen bei der Wahrnehmung ihres Nierenfunktionsausfallrisikos.</w:t>
      </w:r>
    </w:p>
    <w:p>
      <w:r>
        <w:rPr>
          <w:b/>
        </w:rPr>
        <w:t xml:space="preserve">Ergebnis: </w:t>
      </w:r>
      <w:r>
        <w:t>Nur 24% der Teilnehmer hatten Prognosekonsens (objektives vs. subjektiv wahrgenommenes Risiko). Höhere Patient Activation war unabhängig mit niedrigeren Odds für Unsicherheit assoziiert (OR 0,66; 95%-KI 0,44–0,99). Qualitativ: Empfehlungen für hoffnungsvolle Sprache, Einbeziehen von Angehörigen und numeracy-Berücksichtigung.</w:t>
      </w:r>
    </w:p>
    <w:p>
      <w:r>
        <w:rPr>
          <w:b/>
          <w:sz w:val="19"/>
        </w:rPr>
        <w:t xml:space="preserve">Übertragbarkeit: </w:t>
      </w:r>
      <w:r>
        <w:rPr>
          <w:sz w:val="19"/>
        </w:rPr>
        <w:t>US-Daten, aber Fragestellung zur Patientenkommunikation systemunabhängig</w:t>
      </w:r>
    </w:p>
    <w:p>
      <w:r>
        <w:rPr>
          <w:color w:val="5A7D3A"/>
          <w:sz w:val="18"/>
        </w:rPr>
        <w:t>https://pubmed.ncbi.nlm.nih.gov/42758548/</w:t>
      </w:r>
    </w:p>
    <w:p>
      <w:pPr>
        <w:pStyle w:val="Heading2"/>
      </w:pPr>
      <w:r>
        <w:t>Komplexe-Versorgungsprogramm reduziert Krankenhausnutzung bei Kindern</w:t>
      </w:r>
    </w:p>
    <w:p>
      <w:r>
        <w:rPr>
          <w:i/>
          <w:color w:val="666666"/>
          <w:sz w:val="18"/>
        </w:rPr>
        <w:t>Lee J et al.  ·  J Pediatr Health Care  ·  17.09.2026  ·  PMID 42758058</w:t>
      </w:r>
    </w:p>
    <w:p>
      <w:r>
        <w:t>Retrospektive Kohortenstudie von 71 Kindern mit medizinischer Komplexität in einem Cross-Setting-Komplexcare-Programm mit kleinem Kernteam (2015–2024).</w:t>
      </w:r>
    </w:p>
    <w:p>
      <w:r>
        <w:rPr>
          <w:b/>
        </w:rPr>
        <w:t xml:space="preserve">Ergebnis: </w:t>
      </w:r>
      <w:r>
        <w:t>Hospitalisierungen sanken von 3,5 auf 2,0 pro Jahr (p &lt; 0,001), Verweildauer von 41,5 auf 11,5 Tage pro Jahr (p &lt; 0,001). Adjustierte Analysen zeigten 32% Reduktion bei Hospitalisierungen und 72% bei Verweildauer.</w:t>
      </w:r>
    </w:p>
    <w:p>
      <w:r>
        <w:rPr>
          <w:b/>
          <w:sz w:val="19"/>
        </w:rPr>
        <w:t xml:space="preserve">Übertragbarkeit: </w:t>
      </w:r>
      <w:r>
        <w:rPr>
          <w:sz w:val="19"/>
        </w:rPr>
        <w:t>US-amerikanische Universitätsklinik, aber Modell zum Case Management übertragbar</w:t>
      </w:r>
    </w:p>
    <w:p>
      <w:r>
        <w:rPr>
          <w:color w:val="5A7D3A"/>
          <w:sz w:val="18"/>
        </w:rPr>
        <w:t>https://pubmed.ncbi.nlm.nih.gov/42758058/</w:t>
      </w:r>
    </w:p>
    <w:p>
      <w:pPr>
        <w:pStyle w:val="Heading2"/>
      </w:pPr>
      <w:r>
        <w:t>Barrieren von Frontline-Mitarbeitern bei TB-Diensten in High-Burden-Ländern</w:t>
      </w:r>
    </w:p>
    <w:p>
      <w:r>
        <w:rPr>
          <w:i/>
          <w:color w:val="666666"/>
          <w:sz w:val="18"/>
        </w:rPr>
        <w:t>Cox SR et al.  ·  J Glob Health  ·  18.09.2026  ·  PMID 42757757</w:t>
      </w:r>
    </w:p>
    <w:p>
      <w:r>
        <w:t>Scoping Review von 189 Studien (2010–2025) zu Healthcare-Worker-bezogenen Barrieren bei TB-Prävention, Diagnostik und Behandlung in WHO-High-Burden-Ländern.</w:t>
      </w:r>
    </w:p>
    <w:p>
      <w:r>
        <w:rPr>
          <w:b/>
        </w:rPr>
        <w:t xml:space="preserve">Ergebnis: </w:t>
      </w:r>
      <w:r>
        <w:t>Wissens- und Skill-Lücken waren die häufigsten Barrieren (n = 128 Studien). Weitere Themen: Provider-Patient-Kommunikation, Stigma (n = 74 Studien), Motivation für qualitativ hochwertige TB-Pflege (n = 69 Studien). COM-B-Framework identifizierte umsetzbare Targets.</w:t>
      </w:r>
    </w:p>
    <w:p>
      <w:r>
        <w:rPr>
          <w:b/>
          <w:sz w:val="19"/>
        </w:rPr>
        <w:t xml:space="preserve">Übertragbarkeit: </w:t>
      </w:r>
      <w:r>
        <w:rPr>
          <w:sz w:val="19"/>
        </w:rPr>
        <w:t>Länder mit Ressourcenlimitationen; Erkenntnisse zu HSR-Barrieren international relevant</w:t>
      </w:r>
    </w:p>
    <w:p>
      <w:r>
        <w:rPr>
          <w:color w:val="5A7D3A"/>
          <w:sz w:val="18"/>
        </w:rPr>
        <w:t>https://pubmed.ncbi.nlm.nih.gov/42757757/</w:t>
      </w:r>
    </w:p>
    <w:p>
      <w:pPr>
        <w:pStyle w:val="Heading2"/>
      </w:pPr>
      <w:r>
        <w:t>Strukturierte Laktationsberatung und Muttermilchbanken in deutschen NICUs</w:t>
      </w:r>
    </w:p>
    <w:p>
      <w:r>
        <w:rPr>
          <w:i/>
          <w:color w:val="666666"/>
          <w:sz w:val="18"/>
        </w:rPr>
        <w:t>Köberlein-Neu J et al.  ·  BMC Med  ·  11.09.2026  ·  PMID 42754870</w:t>
      </w:r>
    </w:p>
    <w:p>
      <w:r>
        <w:t>Stepped-Wedge-Cluster-RCT in 15 deutschen Level-I-NICUs zur Wirksamkeit von strukturierter Laktationsberatung mit Donor-Milk-Banking auf ausschließliches Stillen bei Entlassung.</w:t>
      </w:r>
    </w:p>
    <w:p>
      <w:r>
        <w:rPr>
          <w:b/>
        </w:rPr>
        <w:t xml:space="preserve">Ergebnis: </w:t>
      </w:r>
      <w:r>
        <w:t>Ausschließliches Stillen bei Entlassung stieg um 11 Prozentpunkte (95%-KI: 3,0–19,0; p = 0,007) von 43% Baseline. Keine signifikanten Unterschiede in klinischen Komplikationen oder Verweildauer. Implementierbarkeit und Durchführungstreue waren ausreichend (Beratung in 71% wie geplant).</w:t>
      </w:r>
    </w:p>
    <w:p>
      <w:r>
        <w:rPr>
          <w:b/>
          <w:sz w:val="19"/>
        </w:rPr>
        <w:t xml:space="preserve">Übertragbarkeit: </w:t>
      </w:r>
      <w:r>
        <w:rPr>
          <w:sz w:val="19"/>
        </w:rPr>
        <w:t>Deutsche RCT-Daten, gesetzlich versicherte Neugeborene in Universitätskliniken</w:t>
      </w:r>
    </w:p>
    <w:p>
      <w:r>
        <w:rPr>
          <w:color w:val="5A7D3A"/>
          <w:sz w:val="18"/>
        </w:rPr>
        <w:t>https://pubmed.ncbi.nlm.nih.gov/42754870/</w:t>
      </w:r>
    </w:p>
    <w:p>
      <w:pPr>
        <w:pStyle w:val="Heading1"/>
      </w:pPr>
      <w:r>
        <w:t>Aufgenommen am 18.09.2026</w:t>
      </w:r>
    </w:p>
    <w:p>
      <w:pPr>
        <w:pStyle w:val="Heading2"/>
      </w:pPr>
      <w:r>
        <w:t>Workforce readiness for Advance Care Planning in ID services</w:t>
      </w:r>
    </w:p>
    <w:p>
      <w:r>
        <w:rPr>
          <w:i/>
          <w:color w:val="666666"/>
          <w:sz w:val="18"/>
        </w:rPr>
        <w:t>Zeilinger EL Prof Dr et al.  ·  J Pain Symptom Manage  ·  17.09.2026  ·  PMID 42754183</w:t>
      </w:r>
    </w:p>
    <w:p>
      <w:r>
        <w:t>Österreichische Querschnittstudie zur Bereitschaft von Betreuungspersonen in Wohneinrichtungen für Menschen mit Behinderungen, ACP-Gespräche zu führen.</w:t>
      </w:r>
    </w:p>
    <w:p>
      <w:r>
        <w:rPr>
          <w:b/>
        </w:rPr>
        <w:t xml:space="preserve">Ergebnis: </w:t>
      </w:r>
      <w:r>
        <w:t>67,7 % der 127 Befragten kannten Patientenverfügungen, aber nur 1,6 % konnten ACP erklären. 68,5 % fühlten sich komfortabel bei ACP-Gesprächen, 85,8 % sahen ACP als wichtig an, und 77,2 % sahen es als ihre Verantwortung. Fehlende konzeptionelle Vorbereitung trotz hoher Unterstützung für ACP.</w:t>
      </w:r>
    </w:p>
    <w:p>
      <w:r>
        <w:rPr>
          <w:b/>
          <w:sz w:val="19"/>
        </w:rPr>
        <w:t xml:space="preserve">Übertragbarkeit: </w:t>
      </w:r>
      <w:r>
        <w:rPr>
          <w:sz w:val="19"/>
        </w:rPr>
        <w:t>Österreich, ähnliche Systemstruktur und Versorgungskontext wie Deutschland</w:t>
      </w:r>
    </w:p>
    <w:p>
      <w:r>
        <w:rPr>
          <w:color w:val="5A7D3A"/>
          <w:sz w:val="18"/>
        </w:rPr>
        <w:t>https://pubmed.ncbi.nlm.nih.gov/42754183/</w:t>
      </w:r>
    </w:p>
    <w:p>
      <w:pPr>
        <w:pStyle w:val="Heading2"/>
      </w:pPr>
      <w:r>
        <w:t>Multilevel-Faktoren bei Non-Response zu Patient-Reported Outcome Measures</w:t>
      </w:r>
    </w:p>
    <w:p>
      <w:r>
        <w:rPr>
          <w:i/>
          <w:color w:val="666666"/>
          <w:sz w:val="18"/>
        </w:rPr>
        <w:t>Liu JB et al.  ·  Qual Life Res  ·  17.09.2026  ·  PMID 42753022</w:t>
      </w:r>
    </w:p>
    <w:p>
      <w:r>
        <w:t>US-Kohortenanalyse von 12.214 Patienten an fünf Strahlentherapie-Kliniken zu Faktoren auf Patient-, Provider- und Klinikebene, die Non-Response zu PROMIS Global-10 vorhersagen.</w:t>
      </w:r>
    </w:p>
    <w:p>
      <w:r>
        <w:rPr>
          <w:b/>
        </w:rPr>
        <w:t xml:space="preserve">Ergebnis: </w:t>
      </w:r>
      <w:r>
        <w:t>Patient- und Termin-Response-Raten: 35,4 % bzw. 31,7 %; Response variierte zwischen Kliniken 12,8–66,2 %. Nach Adjustierung: jüngste Operation (aOR 1,97) und längere Diagnosedauer (aOR 0,46 für &gt;12 Monate) persistierten. Klinik-Implementierungsfaktoren (späte Programmstartzeit aOR 0,29) waren stärker als Patientenmerkmale.</w:t>
      </w:r>
    </w:p>
    <w:p>
      <w:r>
        <w:rPr>
          <w:b/>
          <w:sz w:val="19"/>
        </w:rPr>
        <w:t xml:space="preserve">Übertragbarkeit: </w:t>
      </w:r>
      <w:r>
        <w:rPr>
          <w:sz w:val="19"/>
        </w:rPr>
        <w:t>USA - Methodologie zu PROM-Implementierung systemunabhängig relevant für deutsches QM</w:t>
      </w:r>
    </w:p>
    <w:p>
      <w:r>
        <w:rPr>
          <w:color w:val="5A7D3A"/>
          <w:sz w:val="18"/>
        </w:rPr>
        <w:t>https://pubmed.ncbi.nlm.nih.gov/42753022/</w:t>
      </w:r>
    </w:p>
    <w:p>
      <w:pPr>
        <w:pStyle w:val="Heading2"/>
      </w:pPr>
      <w:r>
        <w:t>Finanzielle Auswirkungen von Schwangerschaft und Geburt bei Louisiana Medicaid</w:t>
      </w:r>
    </w:p>
    <w:p>
      <w:r>
        <w:rPr>
          <w:i/>
          <w:color w:val="666666"/>
          <w:sz w:val="18"/>
        </w:rPr>
        <w:t>Walker B et al.  ·  Health Serv Res  ·  Okt. 2026  ·  PMID 42751818</w:t>
      </w:r>
    </w:p>
    <w:p>
      <w:r>
        <w:t>US-Studie zu Auswirkungen von Schwangerschaft auf Verschuldung und Kreditscores bei Medicaid-Versicherten, stratifiziert nach Ethnie.</w:t>
      </w:r>
    </w:p>
    <w:p>
      <w:r>
        <w:rPr>
          <w:b/>
        </w:rPr>
        <w:t xml:space="preserve">Ergebnis: </w:t>
      </w:r>
      <w:r>
        <w:t>Nicht-hispanische schwarze Frauen zeigten negative finanzielle Folgen: Kreditscores sanken um 4 Punkte (95%-KI: -5,65 bis -1,81), medizinische Schulden stiegen um 41 USD (KI: 6–75), andere Schulden um 44 USD (KI: 15–74). Nicht-hispanische weiße Frauen zeigten keine nachteiligen Auswirkungen.</w:t>
      </w:r>
    </w:p>
    <w:p>
      <w:r>
        <w:rPr>
          <w:b/>
          <w:sz w:val="19"/>
        </w:rPr>
        <w:t xml:space="preserve">Übertragbarkeit: </w:t>
      </w:r>
      <w:r>
        <w:rPr>
          <w:sz w:val="19"/>
        </w:rPr>
        <w:t>USA/Medicaid - Fragestellung aber zu Equity und Versorgungsgerechtigkeit systemunabhängig relevant</w:t>
      </w:r>
    </w:p>
    <w:p>
      <w:r>
        <w:rPr>
          <w:color w:val="5A7D3A"/>
          <w:sz w:val="18"/>
        </w:rPr>
        <w:t>https://pubmed.ncbi.nlm.nih.gov/42751818/</w:t>
      </w:r>
    </w:p>
    <w:p>
      <w:pPr>
        <w:pStyle w:val="Heading2"/>
      </w:pPr>
      <w:r>
        <w:t>Lernen zur Unterstützung von Klientenautonomie in Pflegepraktika</w:t>
      </w:r>
    </w:p>
    <w:p>
      <w:r>
        <w:rPr>
          <w:i/>
          <w:color w:val="666666"/>
          <w:sz w:val="18"/>
        </w:rPr>
        <w:t>Knibbeler MMCJ et al.  ·  Int J Nurs Stud Adv  ·  05.09.2026  ·  PMID 42751206</w:t>
      </w:r>
    </w:p>
    <w:p>
      <w:r>
        <w:t>Qualitative Studie aus Niederlanden zur Frage, wie Pflegestudierende während des klinischen Praktikums lernen, Klientenautonomie zu unterstützen.</w:t>
      </w:r>
    </w:p>
    <w:p>
      <w:r>
        <w:rPr>
          <w:b/>
        </w:rPr>
        <w:t xml:space="preserve">Ergebnis: </w:t>
      </w:r>
      <w:r>
        <w:t>Autonomieförderung war in der Praxis präsent aber inkonsistent; Betreuer interpretierten Autonomie oft als Selbstständigkeit statt Partizipation in Entscheidungen. Implizites Lernen durch Beobachtung dominierte; strukturierte Reflexion war selten. Supervision und Feedback durch Betreuer waren nicht systematisch.</w:t>
      </w:r>
    </w:p>
    <w:p>
      <w:r>
        <w:rPr>
          <w:b/>
          <w:sz w:val="19"/>
        </w:rPr>
        <w:t xml:space="preserve">Übertragbarkeit: </w:t>
      </w:r>
      <w:r>
        <w:rPr>
          <w:sz w:val="19"/>
        </w:rPr>
        <w:t>Niederlande, vergleichbares Pflegeausbildungssystem und Versorgungskontext</w:t>
      </w:r>
    </w:p>
    <w:p>
      <w:r>
        <w:rPr>
          <w:color w:val="5A7D3A"/>
          <w:sz w:val="18"/>
        </w:rPr>
        <w:t>https://pubmed.ncbi.nlm.nih.gov/42751206/</w:t>
      </w:r>
    </w:p>
    <w:p>
      <w:pPr>
        <w:pStyle w:val="Heading2"/>
      </w:pPr>
      <w:r>
        <w:t>Mundgesundheitspflege in Langzeiteinrichtungen: Barrieren und Enabler</w:t>
      </w:r>
    </w:p>
    <w:p>
      <w:r>
        <w:rPr>
          <w:i/>
          <w:color w:val="666666"/>
          <w:sz w:val="18"/>
        </w:rPr>
        <w:t>Spilsbury K et al.  ·  Int J Nurs Stud Adv  ·  13.08.2026  ·  PMID 42750939</w:t>
      </w:r>
    </w:p>
    <w:p>
      <w:r>
        <w:t>Britische Scoping Review zu Faktoren auf Mikro-, Meso- und Makroebene, die Mundgesundheitspflege durch Personal in Altenheimen beeinflussen.</w:t>
      </w:r>
    </w:p>
    <w:p>
      <w:r>
        <w:rPr>
          <w:b/>
        </w:rPr>
        <w:t xml:space="preserve">Ergebnis: </w:t>
      </w:r>
      <w:r>
        <w:t>63 Studien eingeschlossen. Häufigste Einflussfaktoren im COM-B-Modell waren Opportunity-Faktoren (Umgebung, Ressourcen, soziale Einflüsse). Wichtigste Enabler: Schulung, Mundgesundheitskampagnen, unterstützende Führung, Assessmentsysteme. Schlüsselbarrieren: Personalknappheit, Zeitdruck, begrenzte Schulung, niedrige organisationale Priorität, eingeschränkter Zugang zu Zahnservices.</w:t>
      </w:r>
    </w:p>
    <w:p>
      <w:r>
        <w:rPr>
          <w:b/>
          <w:sz w:val="19"/>
        </w:rPr>
        <w:t xml:space="preserve">Übertragbarkeit: </w:t>
      </w:r>
      <w:r>
        <w:rPr>
          <w:sz w:val="19"/>
        </w:rPr>
        <w:t>Großbritannien, Empfehlungen für Langzeitpflege in Deutschland direkt anwendbar</w:t>
      </w:r>
    </w:p>
    <w:p>
      <w:r>
        <w:rPr>
          <w:color w:val="5A7D3A"/>
          <w:sz w:val="18"/>
        </w:rPr>
        <w:t>https://pubmed.ncbi.nlm.nih.gov/42750939/</w:t>
      </w:r>
    </w:p>
    <w:p>
      <w:pPr>
        <w:pStyle w:val="Heading2"/>
      </w:pPr>
      <w:r>
        <w:t>Algorithmen zur Identifikation von HCBS in Medicaid-Claims</w:t>
      </w:r>
    </w:p>
    <w:p>
      <w:r>
        <w:rPr>
          <w:i/>
          <w:color w:val="666666"/>
          <w:sz w:val="18"/>
        </w:rPr>
        <w:t>Dihwa V et al.  ·  Health Serv Res  ·  Okt. 2026  ·  PMID 42750346</w:t>
      </w:r>
    </w:p>
    <w:p>
      <w:r>
        <w:t>US-Evaluationsstudie von drei Algorithmen zur Identifikation von Home- and Community-Based Services in Medicaid-Daten 2021–2023.</w:t>
      </w:r>
    </w:p>
    <w:p>
      <w:r>
        <w:rPr>
          <w:b/>
        </w:rPr>
        <w:t xml:space="preserve">Ergebnis: </w:t>
      </w:r>
      <w:r>
        <w:t>Zwei bestehende Algorithmen zeigten hohe Übereinstimmung (Po = 93 %, Kappa = 0,77). Ein neuer vereinheitlichter Algorithmus adressierte Diskrepanzen durch Novel-Nutzung von Waiver-IDs. Jedoch zeigten einige Bundesstaaten implausible Zählungen oder große Schwankungen über die Jahre (&gt;50 %), was auf Datenqualitätsprobleme hindeutet.</w:t>
      </w:r>
    </w:p>
    <w:p>
      <w:r>
        <w:rPr>
          <w:b/>
          <w:sz w:val="19"/>
        </w:rPr>
        <w:t xml:space="preserve">Übertragbarkeit: </w:t>
      </w:r>
      <w:r>
        <w:rPr>
          <w:sz w:val="19"/>
        </w:rPr>
        <w:t>USA - Datenqualitätsthematik systemunabhängig, aber nur bedingt auf Deutschland übertragbar</w:t>
      </w:r>
    </w:p>
    <w:p>
      <w:r>
        <w:rPr>
          <w:color w:val="5A7D3A"/>
          <w:sz w:val="18"/>
        </w:rPr>
        <w:t>https://pubmed.ncbi.nlm.nih.gov/42750346/</w:t>
      </w:r>
    </w:p>
    <w:p>
      <w:pPr>
        <w:pStyle w:val="Heading1"/>
      </w:pPr>
      <w:r>
        <w:t>Aufgenommen am 17.09.2026</w:t>
      </w:r>
    </w:p>
    <w:p>
      <w:pPr>
        <w:pStyle w:val="Heading2"/>
      </w:pPr>
      <w:r>
        <w:t>Chirurgische Behandlung von NSCLC in England: Trends, Variation und kurzfristige Ergebnisse 2015–2023</w:t>
      </w:r>
    </w:p>
    <w:p>
      <w:r>
        <w:rPr>
          <w:i/>
          <w:color w:val="666666"/>
          <w:sz w:val="18"/>
        </w:rPr>
        <w:t>Dixon LK et al.  ·  BMJ Open  ·  16.09.2026  ·  PMID 42749376</w:t>
      </w:r>
    </w:p>
    <w:p>
      <w:r>
        <w:t>Bevölkerungsgestützte Kohortenstudie zu Trends in der chirurgischen Praxis, regionalen Unterschieden und postoperativen Outcomes bei Lungenkrebs-Resektion in England über 9 Jahre.</w:t>
      </w:r>
    </w:p>
    <w:p>
      <w:r>
        <w:rPr>
          <w:b/>
        </w:rPr>
        <w:t xml:space="preserve">Ergebnis: </w:t>
      </w:r>
      <w:r>
        <w:t>Resektionsrate stieg von 15,4 % (2015) auf 20,9 % (2023); Segmentektomie von 11,2 % auf 20,6 %, minimal-invasive Chirurgie von 47,1 % auf 79,7 %; 90-Tage-Mortalität sank von 4,03 % auf 2,26 %; Verweildauer verkürzt sich, Wiederaufnahmen stabil bei ~10–12 % – jedoch erhebliche Zentren-Heterogenität in Segmentektomie (10,7–80,3 %) und roboterassistierter Chirurgie (0–67 %).</w:t>
      </w:r>
    </w:p>
    <w:p>
      <w:r>
        <w:rPr>
          <w:b/>
          <w:sz w:val="19"/>
        </w:rPr>
        <w:t xml:space="preserve">Übertragbarkeit: </w:t>
      </w:r>
      <w:r>
        <w:rPr>
          <w:sz w:val="19"/>
        </w:rPr>
        <w:t>England, spezialisierte Thoraxchirurgie-Zentren – systemischer Kontext nur bedingt übertragbar</w:t>
      </w:r>
    </w:p>
    <w:p>
      <w:r>
        <w:rPr>
          <w:color w:val="5A7D3A"/>
          <w:sz w:val="18"/>
        </w:rPr>
        <w:t>https://pubmed.ncbi.nlm.nih.gov/42749376/</w:t>
      </w:r>
    </w:p>
    <w:p>
      <w:pPr>
        <w:pStyle w:val="Heading2"/>
      </w:pPr>
      <w:r>
        <w:t>Hybrid-Telemedizin-Hausbesuch-Modell für Pneumonieversorung: Pilot-Fallserie aus Texas</w:t>
      </w:r>
    </w:p>
    <w:p>
      <w:r>
        <w:rPr>
          <w:i/>
          <w:color w:val="666666"/>
          <w:sz w:val="18"/>
        </w:rPr>
        <w:t>Bourmand R et al.  ·  JMIR Form Res  ·  16.09.2026  ·  PMID 42748457</w:t>
      </w:r>
    </w:p>
    <w:p>
      <w:r>
        <w:t>Retrospektive deskriptive Fallserie (n=28 Patienten mit Pneumoniediagnose) zur Implementierbarkeit und Nutzungsmuster eines Hybrid-Modells aus virtueller ärztlicher Bewertung und trainierter Fachperson im Hausbesuch mit digitalen Diagnostik-Tools.</w:t>
      </w:r>
    </w:p>
    <w:p>
      <w:r>
        <w:rPr>
          <w:b/>
        </w:rPr>
        <w:t xml:space="preserve">Ergebnis: </w:t>
      </w:r>
      <w:r>
        <w:t>28 Patienten mit 56 klinischen Kontakten (Median 2, IQR 1–3 pro Patient); CRB-65-Scores 0–2 (46,4 % Score 0, 46,4 % Score 1, 7,1 % Score 2); 8/28 (28,6 %) zur ED überwiesen; Patienten zur ED überwiesen hatten signifikant höhere CRB-65-Scores (Median 1, IQR 1–1,5 vs. Median 0, IQR 0–1; p=0,01); Modell machbar, aber größere prospektive Vergleichsstudien für Outcomes/Sicherheit erforderlich.</w:t>
      </w:r>
    </w:p>
    <w:p>
      <w:r>
        <w:rPr>
          <w:b/>
          <w:sz w:val="19"/>
        </w:rPr>
        <w:t xml:space="preserve">Übertragbarkeit: </w:t>
      </w:r>
      <w:r>
        <w:rPr>
          <w:sz w:val="19"/>
        </w:rPr>
        <w:t>USA – Fragestellung zur Versorgungsmodellintegration systemunabhängig, aber Kontext Urgent Care begrenzt übertragbar</w:t>
      </w:r>
    </w:p>
    <w:p>
      <w:r>
        <w:rPr>
          <w:color w:val="5A7D3A"/>
          <w:sz w:val="18"/>
        </w:rPr>
        <w:t>https://pubmed.ncbi.nlm.nih.gov/42748457/</w:t>
      </w:r>
    </w:p>
    <w:p>
      <w:pPr>
        <w:pStyle w:val="Heading2"/>
      </w:pPr>
      <w:r>
        <w:t>Elektronische Arzneihinweise verbessern Überweisungen zu Diabetes-Selbstmanagement-Schulung</w:t>
      </w:r>
    </w:p>
    <w:p>
      <w:r>
        <w:rPr>
          <w:i/>
          <w:color w:val="666666"/>
          <w:sz w:val="18"/>
        </w:rPr>
        <w:t>Donahue KE et al.  ·  Diabetes Care  ·  16.09.2026  ·  PMID 42747941</w:t>
      </w:r>
    </w:p>
    <w:p>
      <w:r>
        <w:t>Clusterrandomisierte Studie zur Wirkung von Best-Practice-Advisories im EHR auf Überweisungsquoten zu Diabetes-Selbstmanagement-Schulung (DSMES) über 18 Monate in US-Primärversorgung.</w:t>
      </w:r>
    </w:p>
    <w:p>
      <w:r>
        <w:rPr>
          <w:b/>
        </w:rPr>
        <w:t xml:space="preserve">Ergebnis: </w:t>
      </w:r>
      <w:r>
        <w:t>Nach 12 Monaten: 12,9 % Überweisungsrate in Interventionskliniken vs. 1,2 % in Kontrollen (p&lt;0,001); nach 18 Monaten 13,7 % vs. 1,6 % (p&lt;0,001); adjustierte Odds Ratio 10,55 (95%-KI 4,65–23,94) nach 12 Monaten und 9,44 (95%-KI 4,91–18,17) nach 18 Monaten. Standing Orders erhielten diese Gewinne.</w:t>
      </w:r>
    </w:p>
    <w:p>
      <w:r>
        <w:rPr>
          <w:b/>
          <w:sz w:val="19"/>
        </w:rPr>
        <w:t xml:space="preserve">Übertragbarkeit: </w:t>
      </w:r>
      <w:r>
        <w:rPr>
          <w:sz w:val="19"/>
        </w:rPr>
        <w:t>USA, Primärversorgung – Prozessoptimierung systemunabhängig, aber Anreizsystem unterschiedlich</w:t>
      </w:r>
    </w:p>
    <w:p>
      <w:r>
        <w:rPr>
          <w:color w:val="5A7D3A"/>
          <w:sz w:val="18"/>
        </w:rPr>
        <w:t>https://pubmed.ncbi.nlm.nih.gov/42747941/</w:t>
      </w:r>
    </w:p>
    <w:p>
      <w:pPr>
        <w:pStyle w:val="Heading2"/>
      </w:pPr>
      <w:r>
        <w:t>Mehrebenen-Mehrfach-Fallstudie: Methodik zur Analyse komplexer Versorgungstrajektorien älterer Menschen</w:t>
      </w:r>
    </w:p>
    <w:p>
      <w:r>
        <w:rPr>
          <w:i/>
          <w:color w:val="666666"/>
          <w:sz w:val="18"/>
        </w:rPr>
        <w:t>Dieterich A et al.  ·  Z Gerontol Geriatr  ·  16.09.2026  ·  PMID 42747513</w:t>
      </w:r>
    </w:p>
    <w:p>
      <w:r>
        <w:t>Methodisches Diskussionspapier zur Anwendung von Mehrebenen-Mehrfach-Fallstudien als Forschungsdesign zur empirischen Rekonstruktion komplexer Hilfeverläufe in sektorenübergreifender Versorgung für ältere Menschen.</w:t>
      </w:r>
    </w:p>
    <w:p>
      <w:r>
        <w:rPr>
          <w:b/>
        </w:rPr>
        <w:t xml:space="preserve">Ergebnis: </w:t>
      </w:r>
      <w:r>
        <w:t>Fallkonstellationen auf Mikro- (Interaktion Betroffener, professionelle und informelle Helfer), Meso- (Organisationen, Netzwerke) und Makroebene (Rahmenbedingungen) systematisch verknüpft; Methodenkombination (Interviews, Dokumenten-, Sozialraum-, Netzwerkanalysen, reflexive thematische Analyse) ermöglicht kontextabhängige Bedingungen von Versorgung zu identifizieren; Design eröffnet neue Möglichkeiten für Versorgungsforschung, stellt aber hohe Anforderungen an Feldzugang, Datenintegration und Forschungsethik.</w:t>
      </w:r>
    </w:p>
    <w:p>
      <w:r>
        <w:rPr>
          <w:b/>
          <w:sz w:val="19"/>
        </w:rPr>
        <w:t xml:space="preserve">Übertragbarkeit: </w:t>
      </w:r>
      <w:r>
        <w:rPr>
          <w:sz w:val="19"/>
        </w:rPr>
        <w:t>Deutschland, Versorgungsforschung – direkt anwendbare Methodik für sektorenübergreifende Versorgungsanalyse</w:t>
      </w:r>
    </w:p>
    <w:p>
      <w:r>
        <w:rPr>
          <w:color w:val="5A7D3A"/>
          <w:sz w:val="18"/>
        </w:rPr>
        <w:t>https://pubmed.ncbi.nlm.nih.gov/42747513/</w:t>
      </w:r>
    </w:p>
    <w:p>
      <w:pPr>
        <w:pStyle w:val="Heading2"/>
      </w:pPr>
      <w:r>
        <w:t>Zusammenarbeit und Partizipation in integrierter Versorgung: Sicht von Managern mit komplexen Bedarf</w:t>
      </w:r>
    </w:p>
    <w:p>
      <w:r>
        <w:rPr>
          <w:i/>
          <w:color w:val="666666"/>
          <w:sz w:val="18"/>
        </w:rPr>
        <w:t>Hjelm M et al.  ·  BMC Health Serv Res  ·  12.09.2026  ·  PMID 42745286</w:t>
      </w:r>
    </w:p>
    <w:p>
      <w:r>
        <w:t>Qualitative Fokusgruppenstudie (n=13 Manager) zu Barrieren und Facilitatoren interprofessioneller Zusammenarbeit und Patientenbeteiligung in integrierter Gesundheits- und Sozialversorgung für Erwachsene mit komplexen Bedarfen in Schweden.</w:t>
      </w:r>
    </w:p>
    <w:p>
      <w:r>
        <w:rPr>
          <w:b/>
        </w:rPr>
        <w:t xml:space="preserve">Ergebnis: </w:t>
      </w:r>
      <w:r>
        <w:t>Drei zentrale Kategorien identifiziert: (1) organisatorische Voraussetzungen für nachhaltige Verbesserung integrierter Versorgung, (2) interprofessionelle Zusammenarbeit zur Bedarfserfassung, (3) relationale und bedarfsgerechte Ansätze; Kluft zwischen Intention und Implementierung von personenzentrierter, integrierter Versorgung erkannt; Vertrauen, klare Governance und organisatorische Kontinuität als Schlüsselfaktoren.</w:t>
      </w:r>
    </w:p>
    <w:p>
      <w:r>
        <w:rPr>
          <w:b/>
          <w:sz w:val="19"/>
        </w:rPr>
        <w:t xml:space="preserve">Übertragbarkeit: </w:t>
      </w:r>
      <w:r>
        <w:rPr>
          <w:sz w:val="19"/>
        </w:rPr>
        <w:t>Schweden – Primärversorgung und Koordinationsprozesse gut übertragbar auf Deutschland</w:t>
      </w:r>
    </w:p>
    <w:p>
      <w:r>
        <w:rPr>
          <w:color w:val="5A7D3A"/>
          <w:sz w:val="18"/>
        </w:rPr>
        <w:t>https://pubmed.ncbi.nlm.nih.gov/42745286/</w:t>
      </w:r>
    </w:p>
    <w:p>
      <w:pPr>
        <w:pStyle w:val="Heading2"/>
      </w:pPr>
      <w:r>
        <w:t>Lungenkrebs-Screening in Flandern: Barrieren und Facilitatoren aus Stakeholder-Perspektive</w:t>
      </w:r>
    </w:p>
    <w:p>
      <w:r>
        <w:rPr>
          <w:i/>
          <w:color w:val="666666"/>
          <w:sz w:val="18"/>
        </w:rPr>
        <w:t>Michiels L et al.  ·  BMC Health Serv Res  ·  31.08.2026  ·  PMID 42745254</w:t>
      </w:r>
    </w:p>
    <w:p>
      <w:r>
        <w:t>Qualitative exploratorische Studie (22 Gesundheitsfachpersonen, 13 Screening-Berechtigte) zu Implementierungs- und Partizipationsbarrieren sowie Facilitatoren für bevölkerungsgestütztes Lungenkrebs-Screening mit Niedrig-Dosis-CT in Belgien.</w:t>
      </w:r>
    </w:p>
    <w:p>
      <w:r>
        <w:rPr>
          <w:b/>
        </w:rPr>
        <w:t xml:space="preserve">Ergebnis: </w:t>
      </w:r>
      <w:r>
        <w:t>Überwiegend positive Einstellung zum Screening, aber Barrieren: Stigma bezüglich Rauchen, begrenzte Gesundheitskompetenz, indirekte finanzielle/logistische Hindernisse, Angst vor Screening und Warten auf Ergebnisse, Workload-Bedenken, Schulungsbedarf bei Fachpersonen; Facilitatoren: klare Richtlinien, staatliche Koordination/Finanzierung, Integration in Workflows, Zugänglichkeit, public awareness, vertrauensbasierte Kommunikation ohne Wertung.</w:t>
      </w:r>
    </w:p>
    <w:p>
      <w:r>
        <w:rPr>
          <w:b/>
          <w:sz w:val="19"/>
        </w:rPr>
        <w:t xml:space="preserve">Übertragbarkeit: </w:t>
      </w:r>
      <w:r>
        <w:rPr>
          <w:sz w:val="19"/>
        </w:rPr>
        <w:t>Belgien, vergleichbares Sozialversicherungssystem mit ähnlichen Implementierungshürden</w:t>
      </w:r>
    </w:p>
    <w:p>
      <w:r>
        <w:rPr>
          <w:color w:val="5A7D3A"/>
          <w:sz w:val="18"/>
        </w:rPr>
        <w:t>https://pubmed.ncbi.nlm.nih.gov/42745254/</w:t>
      </w:r>
    </w:p>
    <w:p>
      <w:pPr>
        <w:pStyle w:val="Heading2"/>
      </w:pPr>
      <w:r>
        <w:t>Digitale Versorgungstechnologien für ältere Menschen: Anforderungen für Erfahrung als gute Versorgung</w:t>
      </w:r>
    </w:p>
    <w:p>
      <w:r>
        <w:rPr>
          <w:i/>
          <w:color w:val="666666"/>
          <w:sz w:val="18"/>
        </w:rPr>
        <w:t>Kruithof K et al.  ·  BMC Health Serv Res  ·  05.08.2026  ·  PMID 42745252</w:t>
      </w:r>
    </w:p>
    <w:p>
      <w:r>
        <w:t>Qualitative Studie (n=27 wohnhaft lebende ältere Menschen) zu Bedingungen, unter denen digitale Pflege- und Unterstützungstechnologien von älteren Menschen als gute Versorgung wahrgenommen werden.</w:t>
      </w:r>
    </w:p>
    <w:p>
      <w:r>
        <w:rPr>
          <w:b/>
        </w:rPr>
        <w:t xml:space="preserve">Ergebnis: </w:t>
      </w:r>
      <w:r>
        <w:t>Technologien als gute Versorgung erlebt, wenn sie (1) Bedarf und Gewohnheiten entsprechen, (2) Fähigkeiten unterstützen, (3) Werte respektieren; aktive Rolle bei Technologiewahl assoziiert mit Altern-in-place und verbesserter Zugänglichkeit/Sicherheit/Autonomie; von Betreuerseite eingeführte Technologien oft als unnötig wahrgenommen und nicht genutzt; Technologien können reduziertem menschlichem Kontakt und Zugänglichkeitsmängeln schaden.</w:t>
      </w:r>
    </w:p>
    <w:p>
      <w:r>
        <w:rPr>
          <w:b/>
          <w:sz w:val="19"/>
        </w:rPr>
        <w:t xml:space="preserve">Übertragbarkeit: </w:t>
      </w:r>
      <w:r>
        <w:rPr>
          <w:sz w:val="19"/>
        </w:rPr>
        <w:t>Niederlande, ähnliches Gesundheitssystem – Implementierung digitaler Lösungen systemunabhängig</w:t>
      </w:r>
    </w:p>
    <w:p>
      <w:r>
        <w:rPr>
          <w:color w:val="5A7D3A"/>
          <w:sz w:val="18"/>
        </w:rPr>
        <w:t>https://pubmed.ncbi.nlm.nih.gov/42745252/</w:t>
      </w:r>
    </w:p>
    <w:p>
      <w:pPr>
        <w:pStyle w:val="Heading1"/>
      </w:pPr>
      <w:r>
        <w:t>Aufgenommen am 16.09.2026</w:t>
      </w:r>
    </w:p>
    <w:p>
      <w:pPr>
        <w:pStyle w:val="Heading2"/>
      </w:pPr>
      <w:r>
        <w:t>Pragmatisches Vorhersagemodell für Asthma-Klinikreadmissionen</w:t>
      </w:r>
    </w:p>
    <w:p>
      <w:r>
        <w:rPr>
          <w:i/>
          <w:color w:val="666666"/>
          <w:sz w:val="18"/>
        </w:rPr>
        <w:t>Tay TR et al.  ·  Respir Med  ·  15.09.2026  ·  PMID 42744205</w:t>
      </w:r>
    </w:p>
    <w:p>
      <w:r>
        <w:t>Entwicklung und externe Validierung eines neunfaktoriellen Vorhersagemodells für Krankenhauswiederaufnahmen nach Asthmaexazerbation innerhalb von 12 Monaten.</w:t>
      </w:r>
    </w:p>
    <w:p>
      <w:r>
        <w:rPr>
          <w:b/>
        </w:rPr>
        <w:t xml:space="preserve">Ergebnis: </w:t>
      </w:r>
      <w:r>
        <w:t>READMIT-Modell zeigte gute Diskriminierung im Entwicklungs-(AUC 0,748; 95% KI 0,711–0,785) und externen Kohort (AUC 0,737; 95% KI 0,712–0,762), mit zufriedenstellender Kalibrierung.</w:t>
      </w:r>
    </w:p>
    <w:p>
      <w:r>
        <w:rPr>
          <w:b/>
          <w:sz w:val="19"/>
        </w:rPr>
        <w:t xml:space="preserve">Übertragbarkeit: </w:t>
      </w:r>
      <w:r>
        <w:rPr>
          <w:sz w:val="19"/>
        </w:rPr>
        <w:t>Singapur-Daten, aber Fragestellung zu klinischen Prozessen systemunabhängig</w:t>
      </w:r>
    </w:p>
    <w:p>
      <w:r>
        <w:rPr>
          <w:color w:val="5A7D3A"/>
          <w:sz w:val="18"/>
        </w:rPr>
        <w:t>https://pubmed.ncbi.nlm.nih.gov/42744205/</w:t>
      </w:r>
    </w:p>
    <w:p>
      <w:pPr>
        <w:pStyle w:val="Heading2"/>
      </w:pPr>
      <w:r>
        <w:t>Buprenorphin-Verordnungen nach Einführung eines niedrigschwelligen virtuellen Netzwerks</w:t>
      </w:r>
    </w:p>
    <w:p>
      <w:r>
        <w:rPr>
          <w:i/>
          <w:color w:val="666666"/>
          <w:sz w:val="18"/>
        </w:rPr>
        <w:t>Lindenfeld Z et al.  ·  J Subst Use Addict Treat  ·  15.09.2026  ·  PMID 42744115</w:t>
      </w:r>
    </w:p>
    <w:p>
      <w:r>
        <w:t>Analyse der Auswirkungen eines kommunalen Rapid-Access-Modells (RealFix) mit virtuellen Anbietern auf die Buprenorphin-Verschreibungen in Paterson, New Jersey, mittels Differenzen-in-Differenzen-Analyse (2021–2025).</w:t>
      </w:r>
    </w:p>
    <w:p>
      <w:r>
        <w:rPr>
          <w:b/>
        </w:rPr>
        <w:t xml:space="preserve">Ergebnis: </w:t>
      </w:r>
      <w:r>
        <w:t>RealFix war mit Zunahmen von 66,5–76,8 Buprenorphin-Rezepten pro 10.000 Einwohner monatlich verbunden (14,6–17,0% Anstieg über Kontrollgruppen hinaus); Retentionseffekte waren gemischt.</w:t>
      </w:r>
    </w:p>
    <w:p>
      <w:r>
        <w:rPr>
          <w:b/>
          <w:sz w:val="19"/>
        </w:rPr>
        <w:t xml:space="preserve">Übertragbarkeit: </w:t>
      </w:r>
      <w:r>
        <w:rPr>
          <w:sz w:val="19"/>
        </w:rPr>
        <w:t>USA (Medicaid)-Daten, aber Fragestellung zu niedrigschwelliger Zugangssteuerung auf andere Systeme übertragbar</w:t>
      </w:r>
    </w:p>
    <w:p>
      <w:r>
        <w:rPr>
          <w:color w:val="5A7D3A"/>
          <w:sz w:val="18"/>
        </w:rPr>
        <w:t>https://pubmed.ncbi.nlm.nih.gov/42744115/</w:t>
      </w:r>
    </w:p>
    <w:p>
      <w:pPr>
        <w:pStyle w:val="Heading2"/>
      </w:pPr>
      <w:r>
        <w:t>Routinedaten in der onkologischen Versorgungsforschung: Chancen und Herausforderungen</w:t>
      </w:r>
    </w:p>
    <w:p>
      <w:r>
        <w:rPr>
          <w:i/>
          <w:color w:val="666666"/>
          <w:sz w:val="18"/>
        </w:rPr>
        <w:t>Kästner A et al.  ·  Gesundheitswesen  ·  15.09.2026  ·  PMID 42743977</w:t>
      </w:r>
    </w:p>
    <w:p>
      <w:r>
        <w:t>Qualitative Analyse praktischer Erfahrungen mit Krebsregisterdaten und Abrechnungsdaten von Krankenkassen für Versorgungsforschung am Beispiel eines Innovationsfonds-Projekts.</w:t>
      </w:r>
    </w:p>
    <w:p>
      <w:r>
        <w:rPr>
          <w:b/>
        </w:rPr>
        <w:t xml:space="preserve">Ergebnis: </w:t>
      </w:r>
      <w:r>
        <w:t>Verlinkung von Krebsregistern und Abrechnungsdaten ermöglicht umfassende Analysen von Langzeitoutcomes und Versorgungsstrukturen, erfordert jedoch zeitintensive Abstimmungs- und Genehmigungsprozesse sowie spezialisierte methodische Expertise.</w:t>
      </w:r>
    </w:p>
    <w:p>
      <w:r>
        <w:rPr>
          <w:b/>
          <w:sz w:val="19"/>
        </w:rPr>
        <w:t xml:space="preserve">Übertragbarkeit: </w:t>
      </w:r>
      <w:r>
        <w:rPr>
          <w:sz w:val="19"/>
        </w:rPr>
        <w:t>Deutsches Gesundheitssystem, Krebsregister nach §65c SGB V und gesetzliche Krankenkassen</w:t>
      </w:r>
    </w:p>
    <w:p>
      <w:r>
        <w:rPr>
          <w:color w:val="5A7D3A"/>
          <w:sz w:val="18"/>
        </w:rPr>
        <w:t>https://pubmed.ncbi.nlm.nih.gov/42743977/</w:t>
      </w:r>
    </w:p>
    <w:p>
      <w:pPr>
        <w:pStyle w:val="Heading2"/>
      </w:pPr>
      <w:r>
        <w:t>Präferenzen für dezentrale ophthalmologische Kliniken: Diskrete-Wahl-Experiment im UK</w:t>
      </w:r>
    </w:p>
    <w:p>
      <w:r>
        <w:rPr>
          <w:i/>
          <w:color w:val="666666"/>
          <w:sz w:val="18"/>
        </w:rPr>
        <w:t>Ndwandwe S et al.  ·  PLoS One  ·  15.09.2026  ·  PMID 42743352</w:t>
      </w:r>
    </w:p>
    <w:p>
      <w:r>
        <w:t>Diskrete-Wahl-Experiment mit 389 Befragten (Patienten, Fachkräfte, Öffentlichkeit) zu Präferenzen für Merkmale einer techniker-geleiteten asynchronen Augenklinik zur Überwachung chronischer Augenerkrankungen.</w:t>
      </w:r>
    </w:p>
    <w:p>
      <w:r>
        <w:rPr>
          <w:b/>
        </w:rPr>
        <w:t xml:space="preserve">Ergebnis: </w:t>
      </w:r>
      <w:r>
        <w:t>Wer einen Techniker statt Kliniker sah und Ergebnisse per Post erhielt, benötigte Reduktion der Terminverzögerung um 6,27 Monate (95% KI 4,52–8,03) oder Fahrtzeit um 153 Minuten (95% KI 88–219); techniker-geleitete Modelle könnten kliniker-geleitete Services ergänzen, wenn sie Verzögerungen verkürzen.</w:t>
      </w:r>
    </w:p>
    <w:p>
      <w:r>
        <w:rPr>
          <w:b/>
          <w:sz w:val="19"/>
        </w:rPr>
        <w:t xml:space="preserve">Übertragbarkeit: </w:t>
      </w:r>
      <w:r>
        <w:rPr>
          <w:sz w:val="19"/>
        </w:rPr>
        <w:t>UK NHS-System, teilweise übertragbar auf dezentrale Versorgungsmodelle in Deutschland</w:t>
      </w:r>
    </w:p>
    <w:p>
      <w:r>
        <w:rPr>
          <w:color w:val="5A7D3A"/>
          <w:sz w:val="18"/>
        </w:rPr>
        <w:t>https://pubmed.ncbi.nlm.nih.gov/42743352/</w:t>
      </w:r>
    </w:p>
    <w:p>
      <w:pPr>
        <w:pStyle w:val="Heading2"/>
      </w:pPr>
      <w:r>
        <w:t>Psychische Belastung von Gesundheitsfachkräften in der COVID-19-Pandemie</w:t>
      </w:r>
    </w:p>
    <w:p>
      <w:r>
        <w:rPr>
          <w:i/>
          <w:color w:val="666666"/>
          <w:sz w:val="18"/>
        </w:rPr>
        <w:t>Peters C et al.  ·  Front Public Health  ·  31.08.2026  ·  PMID 42741285</w:t>
      </w:r>
    </w:p>
    <w:p>
      <w:r>
        <w:t>Querschnittstudie zu Arbeitsbedingungen und psychischer Gesundheit von 576 Beschäftigten in deutschen Gesundheits- und Sozialeinrichtungen während COVID-19.</w:t>
      </w:r>
    </w:p>
    <w:p>
      <w:r>
        <w:rPr>
          <w:b/>
        </w:rPr>
        <w:t xml:space="preserve">Ergebnis: </w:t>
      </w:r>
      <w:r>
        <w:t>59% waren Gesundheitsfachkräfte; diese berichteten schlechtere Arbeitsfähigkeit (6,9 vs. 7,3), höhere emotionale Belastung und depressive Symptome; ca. ein Fünftel zeigte moderate bis schwere psychische Belastung.</w:t>
      </w:r>
    </w:p>
    <w:p>
      <w:r>
        <w:rPr>
          <w:b/>
          <w:sz w:val="19"/>
        </w:rPr>
        <w:t xml:space="preserve">Übertragbarkeit: </w:t>
      </w:r>
      <w:r>
        <w:rPr>
          <w:sz w:val="19"/>
        </w:rPr>
        <w:t>Deutsche Routinedaten, Studie in Deutschland durchgeführt</w:t>
      </w:r>
    </w:p>
    <w:p>
      <w:r>
        <w:rPr>
          <w:color w:val="5A7D3A"/>
          <w:sz w:val="18"/>
        </w:rPr>
        <w:t>https://pubmed.ncbi.nlm.nih.gov/42741285/</w:t>
      </w:r>
    </w:p>
    <w:p>
      <w:pPr>
        <w:pStyle w:val="Heading2"/>
      </w:pPr>
      <w:r>
        <w:t>Zugang zur elektronischen Patientenakte über Krankenversicherer-Apps in Deutschland</w:t>
      </w:r>
    </w:p>
    <w:p>
      <w:r>
        <w:rPr>
          <w:i/>
          <w:color w:val="666666"/>
          <w:sz w:val="18"/>
        </w:rPr>
        <w:t>May S et al.  ·  JMIR Mhealth Uhealth  ·  14.09.2026  ·  PMID 42735900</w:t>
      </w:r>
    </w:p>
    <w:p>
      <w:r>
        <w:t>Qualitative Interviewstudie mit 23 Personen zu Nutzererfahrungen beim Einrichten und Authentifizieren des Zugangs zur ePA durch Versicherer-Apps.</w:t>
      </w:r>
    </w:p>
    <w:p>
      <w:r>
        <w:rPr>
          <w:b/>
        </w:rPr>
        <w:t xml:space="preserve">Ergebnis: </w:t>
      </w:r>
      <w:r>
        <w:t>Zugang besteht nicht aus einem einzelnen Schritt, sondern aus fünf interdependenten Phasen (Orientierung, technischer Zugang, Verifizierung, Unterbrechungen, initiale Nutzung); Barrieren akkumulieren sich über Phasen hinweg und führen zu wiederholten Versuchen.</w:t>
      </w:r>
    </w:p>
    <w:p>
      <w:r>
        <w:rPr>
          <w:b/>
          <w:sz w:val="19"/>
        </w:rPr>
        <w:t xml:space="preserve">Übertragbarkeit: </w:t>
      </w:r>
      <w:r>
        <w:rPr>
          <w:sz w:val="19"/>
        </w:rPr>
        <w:t>Deutsche Routinedaten und ePA-Implementierung, direkt für deutsches System anwendbar</w:t>
      </w:r>
    </w:p>
    <w:p>
      <w:r>
        <w:rPr>
          <w:color w:val="5A7D3A"/>
          <w:sz w:val="18"/>
        </w:rPr>
        <w:t>https://pubmed.ncbi.nlm.nih.gov/42735900/</w:t>
      </w:r>
    </w:p>
    <w:p>
      <w:pPr>
        <w:pStyle w:val="Heading1"/>
      </w:pPr>
      <w:r>
        <w:t>Aufgenommen am 15.09.2026</w:t>
      </w:r>
    </w:p>
    <w:p>
      <w:pPr>
        <w:pStyle w:val="Heading2"/>
      </w:pPr>
      <w:r>
        <w:t>Design-Richtlinien für Online-Gesundheitsforen</w:t>
      </w:r>
    </w:p>
    <w:p>
      <w:r>
        <w:rPr>
          <w:i/>
          <w:color w:val="666666"/>
          <w:sz w:val="18"/>
        </w:rPr>
        <w:t>Marshall P et al.  ·  J Med Internet Res  ·  14.09.2026  ·  PMID 42735377</w:t>
      </w:r>
    </w:p>
    <w:p>
      <w:r>
        <w:t>Qualitative Studie mit 54 Interviews und Workshops zur Entwicklung evidenzgestützter Designrichtlinien für sichere Online-Gesundheitsforen basierend auf Selbstbestimmungstheorie.</w:t>
      </w:r>
    </w:p>
    <w:p>
      <w:r>
        <w:rPr>
          <w:b/>
        </w:rPr>
        <w:t xml:space="preserve">Ergebnis: </w:t>
      </w:r>
      <w:r>
        <w:t>Vier übergeordnete Designprinzipien identifiziert (Autonomie, Kompetenz, Zugehörigkeit, Sicherheit) mit pragmatischen Umsetzungsstrategien; Ergebnisse zeigen gemischte Nutzererfahrungen und Bedarf für nutzerzentrierte Weiterentwicklung.</w:t>
      </w:r>
    </w:p>
    <w:p>
      <w:r>
        <w:rPr>
          <w:b/>
          <w:sz w:val="19"/>
        </w:rPr>
        <w:t xml:space="preserve">Übertragbarkeit: </w:t>
      </w:r>
      <w:r>
        <w:rPr>
          <w:sz w:val="19"/>
        </w:rPr>
        <w:t>UK-Studie, aber Fragestellung zu Prozessqualität und Nutzerperspektive systemunabhängig übertragbar.</w:t>
      </w:r>
    </w:p>
    <w:p>
      <w:r>
        <w:rPr>
          <w:color w:val="5A7D3A"/>
          <w:sz w:val="18"/>
        </w:rPr>
        <w:t>https://pubmed.ncbi.nlm.nih.gov/42735377/</w:t>
      </w:r>
    </w:p>
    <w:p>
      <w:pPr>
        <w:pStyle w:val="Heading2"/>
      </w:pPr>
      <w:r>
        <w:t>Hepatitis-B-Disparitäten bei Migranten in Dänemark</w:t>
      </w:r>
    </w:p>
    <w:p>
      <w:r>
        <w:rPr>
          <w:i/>
          <w:color w:val="666666"/>
          <w:sz w:val="18"/>
        </w:rPr>
        <w:t>Deal A et al.  ·  Eur J Public Health  ·  04.08.2026  ·  PMID 42734651</w:t>
      </w:r>
    </w:p>
    <w:p>
      <w:r>
        <w:t>Matched-Cohort-Studie mit 179.110 Migranten und 1.049.345 Dänen über 23 Jahre zur Erfassung von HBV-Diagnoseraten und Verzögerungen.</w:t>
      </w:r>
    </w:p>
    <w:p>
      <w:r>
        <w:rPr>
          <w:b/>
        </w:rPr>
        <w:t xml:space="preserve">Ergebnis: </w:t>
      </w:r>
      <w:r>
        <w:t>Migranten zeigten 30,6-fach erhöhtes HBV-Diagnosrisiko (95%-KI: 26,7–35,2); durchschnittliche Verzögerung von Ankunft bis Diagnose 5,4 Jahre; Unterversorgung bei Personen außerhalb routinemäßiger Screening-Prozesse.</w:t>
      </w:r>
    </w:p>
    <w:p>
      <w:r>
        <w:rPr>
          <w:b/>
          <w:sz w:val="19"/>
        </w:rPr>
        <w:t xml:space="preserve">Übertragbarkeit: </w:t>
      </w:r>
      <w:r>
        <w:rPr>
          <w:sz w:val="19"/>
        </w:rPr>
        <w:t>Dänemark, Sozialversicherungssystem vergleichbar mit Deutschland, aussagekräftig für Migrantenpopulationen.</w:t>
      </w:r>
    </w:p>
    <w:p>
      <w:r>
        <w:rPr>
          <w:color w:val="5A7D3A"/>
          <w:sz w:val="18"/>
        </w:rPr>
        <w:t>https://pubmed.ncbi.nlm.nih.gov/42734651/</w:t>
      </w:r>
    </w:p>
    <w:p>
      <w:pPr>
        <w:pStyle w:val="Heading2"/>
      </w:pPr>
      <w:r>
        <w:t>Indirekte Effektivitätsvergleich Tafamidis vs. Acoramidis bei Transthyretin-Kardiomyopathie</w:t>
      </w:r>
    </w:p>
    <w:p>
      <w:r>
        <w:rPr>
          <w:i/>
          <w:color w:val="666666"/>
          <w:sz w:val="18"/>
        </w:rPr>
        <w:t>Debonnaire P et al.  ·  J Comp Eff Res  ·  14.09.2026  ·  PMID 42734113</w:t>
      </w:r>
    </w:p>
    <w:p>
      <w:r>
        <w:t>Trial-Emulation-Studie mit indirektem Vergleich zweier Transthyretin-Stabilisatoren basierend auf Registerdaten und klinischen Trials.</w:t>
      </w:r>
    </w:p>
    <w:p>
      <w:r>
        <w:rPr>
          <w:b/>
        </w:rPr>
        <w:t xml:space="preserve">Ergebnis: </w:t>
      </w:r>
      <w:r>
        <w:t>Nach Kalibrierung zeigte Acoramidis eine 42-Monats-Mortalitätsrate von 24,0% versus kalibrierte 31,2% für Tafamidis; relatives Mortalitätsrisiko 0,78 (95%-KI: 0,60–0,99), was auf 22% niedrigeres Sterblichkeitsrisiko deutet.</w:t>
      </w:r>
    </w:p>
    <w:p>
      <w:r>
        <w:rPr>
          <w:b/>
          <w:sz w:val="19"/>
        </w:rPr>
        <w:t xml:space="preserve">Übertragbarkeit: </w:t>
      </w:r>
      <w:r>
        <w:rPr>
          <w:sz w:val="19"/>
        </w:rPr>
        <w:t>Gering: US-Registerdaten; aber Fragestellung zur Vergleichbarkeit von Wirkstoffen systemunabhängig relevant.</w:t>
      </w:r>
    </w:p>
    <w:p>
      <w:r>
        <w:rPr>
          <w:color w:val="5A7D3A"/>
          <w:sz w:val="18"/>
        </w:rPr>
        <w:t>https://pubmed.ncbi.nlm.nih.gov/42734113/</w:t>
      </w:r>
    </w:p>
    <w:p>
      <w:pPr>
        <w:pStyle w:val="Heading2"/>
      </w:pPr>
      <w:r>
        <w:t>SESAME-Checkliste für Adverse-Event- und Fehlerberichterstattung</w:t>
      </w:r>
    </w:p>
    <w:p>
      <w:r>
        <w:rPr>
          <w:i/>
          <w:color w:val="666666"/>
          <w:sz w:val="18"/>
        </w:rPr>
        <w:t>Griffey RT et al.  ·  J Patient Saf  ·  11.09.2026  ·  PMID 42725452</w:t>
      </w:r>
    </w:p>
    <w:p>
      <w:r>
        <w:t>Methodisches Konsensuspapier zur Entwicklung einer 44-Item-Checkliste (SESAME) zur Standardisierung der Berichterstattung in Studien zu unerwünschten Ereignissen und medizinischen Fehlern.</w:t>
      </w:r>
    </w:p>
    <w:p>
      <w:r>
        <w:rPr>
          <w:b/>
        </w:rPr>
        <w:t xml:space="preserve">Ergebnis: </w:t>
      </w:r>
      <w:r>
        <w:t>SESAME-Checkliste mit 44 Items deckt alle kritischen Reporting-Domänen ab; Ziel ist Verbesserung der Vollständigkeit, Vergleichbarkeit und Reproduzierbarkeit; Entwicklung nach EQUATOR-Standards mit internationalem Expertenkonsens.</w:t>
      </w:r>
    </w:p>
    <w:p>
      <w:r>
        <w:rPr>
          <w:b/>
          <w:sz w:val="19"/>
        </w:rPr>
        <w:t xml:space="preserve">Übertragbarkeit: </w:t>
      </w:r>
      <w:r>
        <w:rPr>
          <w:sz w:val="19"/>
        </w:rPr>
        <w:t>Internationales Konsensdokument zur Studienqualität, systemunabhängig für Patientensicherheitsforschung relevant.</w:t>
      </w:r>
    </w:p>
    <w:p>
      <w:r>
        <w:rPr>
          <w:color w:val="5A7D3A"/>
          <w:sz w:val="18"/>
        </w:rPr>
        <w:t>https://pubmed.ncbi.nlm.nih.gov/42725452/</w:t>
      </w:r>
    </w:p>
    <w:p>
      <w:pPr>
        <w:pStyle w:val="Heading2"/>
      </w:pPr>
      <w:r>
        <w:t>Koordinierter Ansatz zur integrierten Sturz- und Frakturprävention</w:t>
      </w:r>
    </w:p>
    <w:p>
      <w:r>
        <w:rPr>
          <w:i/>
          <w:color w:val="666666"/>
          <w:sz w:val="18"/>
        </w:rPr>
        <w:t>van der Velde N et al.  ·  Eur Geriatr Med  ·  10.09.2026  ·  PMID 42720850</w:t>
      </w:r>
    </w:p>
    <w:p>
      <w:r>
        <w:t>Position Paper von sieben internationalen Fachgesellschaften zu evidenzgestützter integrierter Versorgung für Sturz- und Frakturprävention bei älteren Menschen.</w:t>
      </w:r>
    </w:p>
    <w:p>
      <w:r>
        <w:rPr>
          <w:b/>
        </w:rPr>
        <w:t xml:space="preserve">Ergebnis: </w:t>
      </w:r>
      <w:r>
        <w:t>Kernerkenntnis: Fragmentierte Versorgungsstrukturen erfordern integrierte Fall- und Frakturprävention als Public-Health-Priorität; Empfehlungen für interdisziplinäre Zusammenarbeit, Trainings und systemische Ressourcenallokation.</w:t>
      </w:r>
    </w:p>
    <w:p>
      <w:r>
        <w:rPr>
          <w:b/>
          <w:sz w:val="19"/>
        </w:rPr>
        <w:t xml:space="preserve">Übertragbarkeit: </w:t>
      </w:r>
      <w:r>
        <w:rPr>
          <w:sz w:val="19"/>
        </w:rPr>
        <w:t>Europäischer Konsens mit Fokus auf Versorgungsprozesse, Qualität und Implementierung in Regelversorgung.</w:t>
      </w:r>
    </w:p>
    <w:p>
      <w:r>
        <w:rPr>
          <w:color w:val="5A7D3A"/>
          <w:sz w:val="18"/>
        </w:rPr>
        <w:t>https://pubmed.ncbi.nlm.nih.gov/42720850/</w:t>
      </w:r>
    </w:p>
    <w:p>
      <w:pPr>
        <w:pStyle w:val="Heading2"/>
      </w:pPr>
      <w:r>
        <w:t>Tabakrauchexposition und Gesundheitsdienstleistungen bei jungen Erwachsenen</w:t>
      </w:r>
    </w:p>
    <w:p>
      <w:r>
        <w:rPr>
          <w:i/>
          <w:color w:val="666666"/>
          <w:sz w:val="18"/>
        </w:rPr>
        <w:t>Akhtar S et al.  ·  BMC Health Serv Res  ·  04.09.2026  ·  PMID 42717348</w:t>
      </w:r>
    </w:p>
    <w:p>
      <w:r>
        <w:t>Querschnittsstudie mit 1.323 Studierenden zur Erfassung von Tabakrauchexposition, Symptomen und Inanspruchnahme von Gesundheitsdienstleistungen.</w:t>
      </w:r>
    </w:p>
    <w:p>
      <w:r>
        <w:rPr>
          <w:b/>
        </w:rPr>
        <w:t xml:space="preserve">Ergebnis: </w:t>
      </w:r>
      <w:r>
        <w:t>Exposition gegenüber Tabakrauch 55,9% (740/1.323); Husten (aOR 2,10; 95%-KI 1,66–2,64), Dyspnoe (aOR 1,30; 95%-KI 1,01–1,67) und Asthma (aOR 1,95; 95%-KI 1,43–2,65) signifikant mit Inanspruchnahme assoziiert.</w:t>
      </w:r>
    </w:p>
    <w:p>
      <w:r>
        <w:rPr>
          <w:b/>
          <w:sz w:val="19"/>
        </w:rPr>
        <w:t xml:space="preserve">Übertragbarkeit: </w:t>
      </w:r>
      <w:r>
        <w:rPr>
          <w:sz w:val="19"/>
        </w:rPr>
        <w:t>Kuwait, aber Fragestellung zu Symptomen, Morbidität und Versorgungsnutzung epidemiologisch aussagekräftig.</w:t>
      </w:r>
    </w:p>
    <w:p>
      <w:r>
        <w:rPr>
          <w:color w:val="5A7D3A"/>
          <w:sz w:val="18"/>
        </w:rPr>
        <w:t>https://pubmed.ncbi.nlm.nih.gov/42717348/</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2"/>
      </w:pPr>
      <w:r>
        <w:t>Räumliche Erreichbarkeit stationärer Hospize in Deutschland</w:t>
      </w:r>
    </w:p>
    <w:p>
      <w:r>
        <w:rPr>
          <w:i/>
          <w:color w:val="666666"/>
          <w:sz w:val="18"/>
        </w:rPr>
        <w:t>Xie M et al.  ·  BMC Public Health  ·  08.08.2026  ·  PMID 42642737</w:t>
      </w:r>
    </w:p>
    <w:p>
      <w:r>
        <w:t>Räumliche Zugangsanalyse zu 295 stationären Hospizen mittels Erreichbarkeitsindizes (Angebots-Bevölkerungs-Verhältnisse, Reisezeit-Netzwerk, 2SFCA, E2SFCA).</w:t>
      </w:r>
    </w:p>
    <w:p>
      <w:r>
        <w:rPr>
          <w:b/>
        </w:rPr>
        <w:t xml:space="preserve">Ergebnis: </w:t>
      </w:r>
      <w:r>
        <w:t>36,4 Betten pro 1 Mio. Einwohner national; 90,3 % der Bevölkerung erreicht Hospiz innerhalb 30 Min. Autofahrt; ländliche Gebiete zeigen niedrigere Zugänglichkeit; Methodenwahl beeinflußt Ergebnisse erheblich (2SFCA vs. E2SFCA).</w:t>
      </w:r>
    </w:p>
    <w:p>
      <w:r>
        <w:rPr>
          <w:b/>
          <w:sz w:val="19"/>
        </w:rPr>
        <w:t xml:space="preserve">Übertragbarkeit: </w:t>
      </w:r>
      <w:r>
        <w:rPr>
          <w:sz w:val="19"/>
        </w:rPr>
        <w:t>Deutschland, Routinedaten – direkt übertragbar</w:t>
      </w:r>
    </w:p>
    <w:p>
      <w:r>
        <w:rPr>
          <w:color w:val="5A7D3A"/>
          <w:sz w:val="18"/>
        </w:rPr>
        <w:t>https://pubmed.ncbi.nlm.nih.gov/42642737/</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2026-09-27T06:00:00Z</dcterms:created>
  <dcterms:modified xsi:type="dcterms:W3CDTF">2026-09-27T06:00:00Z</dcterms:modified>
  <cp:category/>
</cp:coreProperties>
</file>