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05.10.2026  |  6 Studien  |  wissen.m-vf.de</w:t>
      </w:r>
    </w:p>
    <w:p>
      <w:pPr>
        <w:pStyle w:val="Heading1"/>
      </w:pPr>
      <w:r>
        <w:t>Aufgenommen am 05.10.2026</w:t>
      </w:r>
    </w:p>
    <w:p>
      <w:pPr>
        <w:pStyle w:val="Heading2"/>
      </w:pPr>
      <w:r>
        <w:t>TALK-Debriefing-Methode verbessert Interprofessionalität und Patientensicherheit</w:t>
      </w:r>
    </w:p>
    <w:p>
      <w:r>
        <w:rPr>
          <w:i/>
          <w:color w:val="666666"/>
          <w:sz w:val="18"/>
        </w:rPr>
        <w:t>Targino JSO et al.  ·  J Eval Clin Pract  ·  Okt. 2026  ·  PMID 42829905</w:t>
      </w:r>
    </w:p>
    <w:p>
      <w:r>
        <w:t>Qualitative Aktionsforschung mit 12 Gesundheitsfachpersonen untersuchte Auswirkungen der TALK-Debriefing-Methode auf interprofessionelle Kommunikation und Patientensicherheit in brasilianischer Sekundärversorgung.</w:t>
      </w:r>
    </w:p>
    <w:p>
      <w:r>
        <w:rPr>
          <w:b/>
        </w:rPr>
        <w:t xml:space="preserve">Ergebnis: </w:t>
      </w:r>
      <w:r>
        <w:t>TALK-Methode funktionierte als strukturierendes Instrument für reflektive Praxis und reorganisierte interprofessionelle Interaktionen. Teilnehmer berichteten Verbesserungen in Kommunikation, Teamintegration und Versorgungsplanung sowie psychologisch sichere, nicht-punitives Umfeld. Barrieren: Zeitknappheit, Arbeitsbelastung, variable Engagement, begrenzte institutionelle 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Qualitatives Design, systemunabhängige Fragestellung zu Kommunikation und Teamentwicklung</w:t>
      </w:r>
    </w:p>
    <w:p>
      <w:r>
        <w:rPr>
          <w:color w:val="5A7D3A"/>
          <w:sz w:val="18"/>
        </w:rPr>
        <w:t>https://pubmed.ncbi.nlm.nih.gov/42829905/</w:t>
      </w:r>
    </w:p>
    <w:p>
      <w:pPr>
        <w:pStyle w:val="Heading2"/>
      </w:pPr>
      <w:r>
        <w:t>Ernährungsberatung reduziert Alkoholkonsum bei mild kognitiver Beeinträchtigung</w:t>
      </w:r>
    </w:p>
    <w:p>
      <w:r>
        <w:rPr>
          <w:i/>
          <w:color w:val="666666"/>
          <w:sz w:val="18"/>
        </w:rPr>
        <w:t>Scheuermann JS et al.  ·  BMC Public Health  ·  03.10.2026  ·  PMID 42829430</w:t>
      </w:r>
    </w:p>
    <w:p>
      <w:r>
        <w:t>Sekundäranalyse eines RCT untersuchte, ob Ernährungsberatung (WFPB oder DGE-Richtlinien) den Alkoholkonsum bei 189 Personen mit milder kognitiver Beeinträchtigung über 12 Monate reduziert.</w:t>
      </w:r>
    </w:p>
    <w:p>
      <w:r>
        <w:rPr>
          <w:b/>
        </w:rPr>
        <w:t xml:space="preserve">Ergebnis: </w:t>
      </w:r>
      <w:r>
        <w:t>Beide Interventionen führten zu signifikanter Reduktion des Alkoholkonsums (Cohens d = 0,30 für WFPB; d = 0,39 für DGE). Frauen profitierten substanziell nur von DGE-Beratung (d = 0,33). Höherer Baseline-Alkoholkonsum, höheres Alter und bessere Adhärenz waren Prädiktoren für stärkere Reduktion.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RCT mit deutschen Interventionen (DGE-Richtlinien), Routine-Datenerfassung übertragbar</w:t>
      </w:r>
    </w:p>
    <w:p>
      <w:r>
        <w:rPr>
          <w:color w:val="5A7D3A"/>
          <w:sz w:val="18"/>
        </w:rPr>
        <w:t>https://pubmed.ncbi.nlm.nih.gov/42829430/</w:t>
      </w:r>
    </w:p>
    <w:p>
      <w:pPr>
        <w:pStyle w:val="Heading2"/>
      </w:pPr>
      <w:r>
        <w:t>Telehealth-Coaching für periphere arterielle Verschlusskrankheit kosteneffektiv unter günstigen Bedingungen</w:t>
      </w:r>
    </w:p>
    <w:p>
      <w:r>
        <w:rPr>
          <w:i/>
          <w:color w:val="666666"/>
          <w:sz w:val="18"/>
        </w:rPr>
        <w:t>Heider D et al.  ·  Am J Prev Cardiol  ·  14.07.2026  ·  PMID 42828241</w:t>
      </w:r>
    </w:p>
    <w:p>
      <w:r>
        <w:t>Kosteneffektivitätsanalyse eines 12-Monatigen Telehealth-Coaching- und Remote-Monitoring-Programms (TeGeCoach) für 394 PAD-Patienten basierend auf Krankenkassendaten und Fragebögen.</w:t>
      </w:r>
    </w:p>
    <w:p>
      <w:r>
        <w:rPr>
          <w:b/>
        </w:rPr>
        <w:t xml:space="preserve">Ergebnis: </w:t>
      </w:r>
      <w:r>
        <w:t>Bei WTP-Schwellenwert von 50.000 Euro: ITT 30% Wahrscheinlichkeit kosteneffektiv; mITT 79%; PP 95%. Interventionskosten 672 Euro. Unter PP-Analyse kosteneffektiv, aber ITT-Szenario nicht. Anpassung der Implementierung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Krankenversicherungsdaten, praktische Implementierungsfrage für deutsche Versorgung</w:t>
      </w:r>
    </w:p>
    <w:p>
      <w:r>
        <w:rPr>
          <w:color w:val="5A7D3A"/>
          <w:sz w:val="18"/>
        </w:rPr>
        <w:t>https://pubmed.ncbi.nlm.nih.gov/42828241/</w:t>
      </w:r>
    </w:p>
    <w:p>
      <w:pPr>
        <w:pStyle w:val="Heading2"/>
      </w:pPr>
      <w:r>
        <w:t>Wiederholte pulmonale Rehabilitation bei COPD bleibt wirksam trotz kleinerer Gewinne</w:t>
      </w:r>
    </w:p>
    <w:p>
      <w:r>
        <w:rPr>
          <w:i/>
          <w:color w:val="666666"/>
          <w:sz w:val="18"/>
        </w:rPr>
        <w:t>Mohammed J et al.  ·  Can J Respir Ther  ·  30.09.2026  ·  PMID 42828082</w:t>
      </w:r>
    </w:p>
    <w:p>
      <w:r>
        <w:t>Retrospektive Analyse von 429 COPD-Patienten, die zwei Rehabilitationsprogramme (PR1 und PR2) an Ciro (Niederlande) zwischen 2005 und 2022 absolvierten.</w:t>
      </w:r>
    </w:p>
    <w:p>
      <w:r>
        <w:rPr>
          <w:b/>
        </w:rPr>
        <w:t xml:space="preserve">Ergebnis: </w:t>
      </w:r>
      <w:r>
        <w:t>Nach PR1 und PR2 signifikante Verbesserungen: 6MWD (PR1: 37,0 m [29,2–44,8]; PR2: 27,0 m [19,2–34,8]), Quadrizeps-Kraft (PR1: 10,4 Nm; PR2: 8,6 Nm), CAT, SGRQ, HADS und COPM. Gewinne nach PR2 kleiner, aber klinisch bedeutsam. Alle Outcomes zwischen PR1 und PR2 signifikant rückläufig.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Niederländisches spezialisiertes Rehabilitationszentrum, vergleichbares System, Ergebnisse übertragbar</w:t>
      </w:r>
    </w:p>
    <w:p>
      <w:r>
        <w:rPr>
          <w:color w:val="5A7D3A"/>
          <w:sz w:val="18"/>
        </w:rPr>
        <w:t>https://pubmed.ncbi.nlm.nih.gov/42828082/</w:t>
      </w:r>
    </w:p>
    <w:p>
      <w:pPr>
        <w:pStyle w:val="Heading2"/>
      </w:pPr>
      <w:r>
        <w:t>Theory of Mind: kognitives Endophänotyp bei juveniler myoklonischer Epilepsie?</w:t>
      </w:r>
    </w:p>
    <w:p>
      <w:r>
        <w:rPr>
          <w:i/>
          <w:color w:val="666666"/>
          <w:sz w:val="18"/>
        </w:rPr>
        <w:t>Crespo-Pimentel B et al.  ·  Epilepsia  ·  01.10.2026  ·  PMID 42821310</w:t>
      </w:r>
    </w:p>
    <w:p>
      <w:r>
        <w:t>Prospektive Querschnittsstudie mit 52 Patienten mit juveniler myoklonischer Epilepsie (JME), 13 nicht-betroffenen Geschwistern und 64 gesunden Kontrollen untersuchte soziale Kognition als mögliches Endophänotyp.</w:t>
      </w:r>
    </w:p>
    <w:p>
      <w:r>
        <w:rPr>
          <w:b/>
        </w:rPr>
        <w:t xml:space="preserve">Ergebnis: </w:t>
      </w:r>
      <w:r>
        <w:t>JME-Patienten zeigten reduzierte Leistung bei Aufgaben zu Mentalisieren über Überzeugungen (Faux Pas Test, Reading Mind in the Eyes). Geschwister unterschieden sich nicht signifikant von JME-Patienten oder Kontrollen. Selektive Beeinträchtigung des Mentalisierens über Überzeugungen in JME, aber keine Evidenz für Endophänotyp-Rolle in dieser Stichprobe.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Österreich-basierte Studie, systemunabhängige neuropsychologische Fragestellung</w:t>
      </w:r>
    </w:p>
    <w:p>
      <w:r>
        <w:rPr>
          <w:color w:val="5A7D3A"/>
          <w:sz w:val="18"/>
        </w:rPr>
        <w:t>https://pubmed.ncbi.nlm.nih.gov/42821310/</w:t>
      </w:r>
    </w:p>
    <w:p>
      <w:pPr>
        <w:pStyle w:val="Heading2"/>
      </w:pPr>
      <w:r>
        <w:t>Schlechte Adhärenz zu evidenzbasierter kardiovaskulärer Prävention bei schweren psychischen Erkrankungen in Norwegen</w:t>
      </w:r>
    </w:p>
    <w:p>
      <w:r>
        <w:rPr>
          <w:i/>
          <w:color w:val="666666"/>
          <w:sz w:val="18"/>
        </w:rPr>
        <w:t>Larsen S et al.  ·  Nord J Psychiatry  ·  30.09.2026  ·  PMID 42813764</w:t>
      </w:r>
    </w:p>
    <w:p>
      <w:r>
        <w:t>Multizenter-Studie mit 230 Patienten (Schizophrenie/bipolare Störung oder Antipsychotika-Nutzer) untersuchte Adhärenz zu evidenzbasierter kardiovaskulärer Prävention mittels Fidelity Scale.</w:t>
      </w:r>
    </w:p>
    <w:p>
      <w:r>
        <w:rPr>
          <w:b/>
        </w:rPr>
        <w:t xml:space="preserve">Ergebnis: </w:t>
      </w:r>
      <w:r>
        <w:t>Seiten zeigten geringe Fidelity-Scores (höher bei Richtlinien als bei Praktiken). Alle Risikofaktoren hochprevalent: tägliches Rauchen/Schnuff 58,1%. Zwischen Fidelity und Patientenergebnissen keine signifikanten Assoziationen nach Adjustierung. Spezialistische Versorgungsanbieter zeigten niedrige Adhärenz zu evidenzbasierter kardiovaskulärer Risikomanagement-Praxis.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Norwegische spezialisierte psychische Gesundheitsversorgung, vergleichbar mit deutschem System</w:t>
      </w:r>
    </w:p>
    <w:p>
      <w:r>
        <w:rPr>
          <w:color w:val="5A7D3A"/>
          <w:sz w:val="18"/>
        </w:rPr>
        <w:t>https://pubmed.ncbi.nlm.nih.gov/42813764/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2026-10-05T06:00:00Z</dcterms:created>
  <dcterms:modified xsi:type="dcterms:W3CDTF">2026-10-05T06:00:00Z</dcterms:modified>
  <cp:category/>
</cp:coreProperties>
</file>