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20.08.2026  |  6 Studien  |  wissen.m-vf.de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Vorbereitung auf zukünftige Pandemien: Befähigung und Unterstützungsbedarf des Pflegepersonals im Querschnitt</w:t>
      </w:r>
    </w:p>
    <w:p>
      <w:r>
        <w:rPr>
          <w:i/>
          <w:color w:val="666666"/>
          <w:sz w:val="18"/>
        </w:rPr>
        <w:t>Noorland SA et al.  ·  Nurs Outlook  ·  19.08.2026  ·  PMID 42617414</w:t>
      </w:r>
    </w:p>
    <w:p>
      <w:r>
        <w:t>Eine niederländische Querschnittsstudie untersuchte die mentale Leistungsfähigkeit des Pflegepersonals für zukünftige Pandemien, deren psychische Gesundheit nach COVID-19 und deren Vorlieben für psychosoziale Unterstützung.</w:t>
      </w:r>
    </w:p>
    <w:p>
      <w:r>
        <w:rPr>
          <w:b/>
        </w:rPr>
        <w:t xml:space="preserve">Ergebnis: </w:t>
      </w:r>
      <w:r>
        <w:t>90,4 % fühlten sich mental fähig, während einer zukünftigen Pandemie zu arbeiten. Die mentale Gesundheit war generell gut (Median MHI-5: 84) und positiv assoziiert mit höherer wahrgenommener Fähigkeit. Das Personal bevorzugte Peer-basierte Unterstützung (Gruppengespräche, moralische Fallberatungen, Partnerschaft mit Kollegen) gegenüber Einzelgesprächen und Stressmanagement-Schulungen.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hohe Übertragbarkeit für Pflegepersonalentwicklung</w:t>
      </w:r>
    </w:p>
    <w:p>
      <w:r>
        <w:rPr>
          <w:color w:val="5A7D3A"/>
          <w:sz w:val="18"/>
        </w:rPr>
        <w:t>https://pubmed.ncbi.nlm.nih.gov/42617414/</w:t>
      </w:r>
    </w:p>
    <w:p>
      <w:pPr>
        <w:pStyle w:val="Heading2"/>
      </w:pPr>
      <w:r>
        <w:t>[Corrigendum - keine eigenständigen Ergebnisse für Abstract-Analyse]</w:t>
      </w:r>
    </w:p>
    <w:p>
      <w:r>
        <w:rPr>
          <w:i/>
          <w:color w:val="666666"/>
          <w:sz w:val="18"/>
        </w:rPr>
        <w:t>Kraft KB et al.  ·  Health Policy  ·  19.08.2026  ·  PMID 42617323</w:t>
      </w:r>
    </w:p>
    <w:p>
      <w:r>
        <w:t>[Berichtigung einer früheren Publikation zu Ärzte-Anreizen in Norwegen]</w:t>
      </w:r>
    </w:p>
    <w:p>
      <w:r>
        <w:rPr>
          <w:b/>
        </w:rPr>
        <w:t xml:space="preserve">Ergebnis: </w:t>
      </w:r>
      <w:r>
        <w:t>[Nicht verwertbar - Berichtigung ohne eigenständige neue Ergebnisse]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[Ausschluss: Corrigendum]</w:t>
      </w:r>
    </w:p>
    <w:p>
      <w:r>
        <w:rPr>
          <w:color w:val="5A7D3A"/>
          <w:sz w:val="18"/>
        </w:rPr>
        <w:t>https://pubmed.ncbi.nlm.nih.gov/42617323/</w:t>
      </w:r>
    </w:p>
    <w:p>
      <w:pPr>
        <w:pStyle w:val="Heading2"/>
      </w:pPr>
      <w:r>
        <w:t>Datensouveränität in der Langzeitpflege: Mixed-Methods-Studie zur Reifegradbeurteilung</w:t>
      </w:r>
    </w:p>
    <w:p>
      <w:r>
        <w:rPr>
          <w:i/>
          <w:color w:val="666666"/>
          <w:sz w:val="18"/>
        </w:rPr>
        <w:t>Bouchmal S et al.  ·  J Med Internet Res  ·  19.08.2026  ·  PMID 42617155</w:t>
      </w:r>
    </w:p>
    <w:p>
      <w:r>
        <w:t>Eine niederländische Mixed-Methods-Studie in drei Langzeitpflege-Organisationen untersuchte deren Fähigkeit zur Nutzung von Daten für Entscheidungen und Qualitätsverbesserungen.</w:t>
      </w:r>
    </w:p>
    <w:p>
      <w:r>
        <w:rPr>
          <w:b/>
        </w:rPr>
        <w:t xml:space="preserve">Ergebnis: </w:t>
      </w:r>
      <w:r>
        <w:t>Organisationen wiesen niedrige Datenreife auf. Bereiche Strategie, Governance und Datenqualität waren durchgehend niedrig. Vier Themen wurden identifiziert: fehlende klare Vision (Datenreife niedrig), Datenkultur als Voraussetzung, begrenzte Interdisziplinarität und Infrastruktur- sowie kulturelle Hürden hemmen nachhaltige 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Langzeitpflege-Setting, hohe Übertragbarkeit auf deutsche Altenheime</w:t>
      </w:r>
    </w:p>
    <w:p>
      <w:r>
        <w:rPr>
          <w:color w:val="5A7D3A"/>
          <w:sz w:val="18"/>
        </w:rPr>
        <w:t>https://pubmed.ncbi.nlm.nih.gov/42617155/</w:t>
      </w:r>
    </w:p>
    <w:p>
      <w:pPr>
        <w:pStyle w:val="Heading2"/>
      </w:pPr>
      <w:r>
        <w:t>Kosteneffektivität der Herpes-zoster-Impfung bei rheumatoider Arthritis</w:t>
      </w:r>
    </w:p>
    <w:p>
      <w:r>
        <w:rPr>
          <w:i/>
          <w:color w:val="666666"/>
          <w:sz w:val="18"/>
        </w:rPr>
        <w:t>Hagen G et al.  ·  Rheumatology (Oxford)  ·  19.08.2026  ·  PMID 42616666</w:t>
      </w:r>
    </w:p>
    <w:p>
      <w:r>
        <w:t>Eine norwegische Markov-Modellierungsstudie bewertete die Kosteneffektivität der adjuvantierten rekombinanten Zoster-Impfung (RZV) bei RA-Patienten.</w:t>
      </w:r>
    </w:p>
    <w:p>
      <w:r>
        <w:rPr>
          <w:b/>
        </w:rPr>
        <w:t xml:space="preserve">Ergebnis: </w:t>
      </w:r>
      <w:r>
        <w:t>RZV vermied 2.550 HZ-Fälle und 1.303 PHN-Fälle pro 10.000 RA-Patienten, ICER von 11.205 EUR/QALY (unter Schwellenwert von 23.650 EUR/QALY). Probabilistische Analyse zeigte 98 % Wahrscheinlichkeit der Kosteneffektivität. Sensitivitätsanalysen zeigten Robustheit der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Steuersystem, gut übertragbar für Vakzinations- und Preventiv-Fragen</w:t>
      </w:r>
    </w:p>
    <w:p>
      <w:r>
        <w:rPr>
          <w:color w:val="5A7D3A"/>
          <w:sz w:val="18"/>
        </w:rPr>
        <w:t>https://pubmed.ncbi.nlm.nih.gov/42616666/</w:t>
      </w:r>
    </w:p>
    <w:p>
      <w:pPr>
        <w:pStyle w:val="Heading2"/>
      </w:pPr>
      <w:r>
        <w:t>Resilienz der Impfversorgung in Äthiopien während COVID-19: Dezentralisierung schützt vor Ausfällen</w:t>
      </w:r>
    </w:p>
    <w:p>
      <w:r>
        <w:rPr>
          <w:i/>
          <w:color w:val="666666"/>
          <w:sz w:val="18"/>
        </w:rPr>
        <w:t>Gedefaw A et al.  ·  BMC Health Serv Res  ·  17.08.2026  ·  PMID 42613610</w:t>
      </w:r>
    </w:p>
    <w:p>
      <w:r>
        <w:t>Eine äthiopische Längsschnittstudie verglich die Impfversorgung über 18 Krankenhäuser, 132 Gesundheitszentren und 532 Gesundheitsposten während und vor der Pandemie.</w:t>
      </w:r>
    </w:p>
    <w:p>
      <w:r>
        <w:rPr>
          <w:b/>
        </w:rPr>
        <w:t xml:space="preserve">Ergebnis: </w:t>
      </w:r>
      <w:r>
        <w:t>Gesamtimpfquote stieg um 9,72 % (p=0,006) in den ersten 6 Monaten. Krankenhäuser fielen um 5,2 % ab (p=0,449), Gesundheitszentren stiegen um 7,96 % (p=0,015) und Posten um 11,5 % (p=0,002). Dezentralisierte Strukturen absorbierten Nachfrage nach Spitalauställen.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Low-Income-Setting - begrenzte Übertragbarkeit auf deutsche Strukturen mit anderen Ressourcen</w:t>
      </w:r>
    </w:p>
    <w:p>
      <w:r>
        <w:rPr>
          <w:color w:val="5A7D3A"/>
          <w:sz w:val="18"/>
        </w:rPr>
        <w:t>https://pubmed.ncbi.nlm.nih.gov/42613610/</w:t>
      </w:r>
    </w:p>
    <w:p>
      <w:pPr>
        <w:pStyle w:val="Heading2"/>
      </w:pPr>
      <w:r>
        <w:t>UN-Dekade für gesundes Altern: Perspektiven von älteren Menschen und Fachkräften in Norwegen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Eine norwegische qualitative Fallstudie mit 23 Interviews (Ältere, Fachkräfte, Entscheidungsträger) untersuchte die Umsetzung der UN-Decade of Healthy Ageing.</w:t>
      </w:r>
    </w:p>
    <w:p>
      <w:r>
        <w:rPr>
          <w:b/>
        </w:rPr>
        <w:t xml:space="preserve">Ergebnis: </w:t>
      </w:r>
      <w:r>
        <w:t>Kernthemen: Strategien zur Selbstbestimmung, ambivalente Alterswahrnehmung, Herausforderungen der Gesundheitsdienste. Digitalisierung als Barriere für inklusive Teilhabe identifiziert. Digitale Inklusion, intergenerationale Ansätze und Bekämpfung von Alterismus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steuerfinanziertes System, mittel übertragbar für Fragen zur Versorgungsstruktur und Partizipation</w:t>
      </w:r>
    </w:p>
    <w:p>
      <w:r>
        <w:rPr>
          <w:color w:val="5A7D3A"/>
          <w:sz w:val="18"/>
        </w:rPr>
        <w:t>https://pubmed.ncbi.nlm.nih.gov/42613606/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