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Versorgungsforschung</w:t>
      </w:r>
    </w:p>
    <w:p>
      <w:r>
        <w:rPr>
          <w:i/>
          <w:color w:val="666666"/>
          <w:sz w:val="18"/>
        </w:rPr>
        <w:t>Stand: 27.10.2026  |  6 Studien  |  wissen.m-vf.de</w:t>
      </w:r>
    </w:p>
    <w:p>
      <w:pPr>
        <w:pStyle w:val="Heading1"/>
      </w:pPr>
      <w:r>
        <w:t>Aufgenommen am 27.10.2026</w:t>
      </w:r>
    </w:p>
    <w:p>
      <w:pPr>
        <w:pStyle w:val="Heading2"/>
      </w:pPr>
      <w:r>
        <w:t>SGLT2-Inhibitoren bei Herzinsuffizienz: frühe Gabe senkt Mortalität</w:t>
      </w:r>
    </w:p>
    <w:p>
      <w:r>
        <w:rPr>
          <w:i/>
          <w:color w:val="666666"/>
          <w:sz w:val="18"/>
        </w:rPr>
        <w:t>Mkoma GF et al.  ·  Eur Heart J Cardiovasc Pharmacother  ·  26.10.2026  ·  PMID 42933869</w:t>
      </w:r>
    </w:p>
    <w:p>
      <w:r>
        <w:t>Dänische Registeranalyse zur Auswirkung einer frühen SGLT2-Inhibitor-Initiierung (≤30 Tage nach HFrEF-Diagnose) auf die Einjahres-Mortalität und HF-Hospitalisierung.</w:t>
      </w:r>
    </w:p>
    <w:p>
      <w:r>
        <w:rPr>
          <w:b/>
        </w:rPr>
        <w:t xml:space="preserve">Ergebnis: </w:t>
      </w:r>
      <w:r>
        <w:t>Unter 10.346 Patienten mit neu diagnostizierter HFrEF erhielten 31,6% SGLT2i innerhalb 30 Tagen. Ein-Jahres-Mortalität: 2,2% (SGLT2i) vs. 3,1% (Kontrolle); Risikodifferenz -1,1 Prozentpunkte (95% KI: -2,0 bis -0,2). HF-Hospitalisierung: Risikodifferenz -3,4 Prozentpunkte (95% KI: -3,9 bis -2,9). Frühe Initiation zeigte klinisch relevante Mortalitätsvorteil.</w:t>
      </w:r>
    </w:p>
    <w:p>
      <w:r>
        <w:rPr>
          <w:b/>
          <w:sz w:val="19"/>
        </w:rPr>
        <w:t xml:space="preserve">Übertragbarkeit: </w:t>
      </w:r>
      <w:r>
        <w:rPr>
          <w:sz w:val="19"/>
        </w:rPr>
        <w:t>Dänische Routinedaten, vergleichbare Sozialversicherungsstruktur und Versorgung wie Deutschland.</w:t>
      </w:r>
    </w:p>
    <w:p>
      <w:r>
        <w:rPr>
          <w:color w:val="5A7D3A"/>
          <w:sz w:val="18"/>
        </w:rPr>
        <w:t>https://pubmed.ncbi.nlm.nih.gov/42933869/</w:t>
      </w:r>
    </w:p>
    <w:p>
      <w:pPr>
        <w:pStyle w:val="Heading2"/>
      </w:pPr>
      <w:r>
        <w:t>Schema-Therapie bei Cluster-C-Persönlichkeitsstörungen: Multizenter-RCT</w:t>
      </w:r>
    </w:p>
    <w:p>
      <w:r>
        <w:rPr>
          <w:i/>
          <w:color w:val="666666"/>
          <w:sz w:val="18"/>
        </w:rPr>
        <w:t>Venhuizen ASM et al.  ·  BMJ Ment Health  ·  26.10.2026  ·  PMID 42933862</w:t>
      </w:r>
    </w:p>
    <w:p>
      <w:r>
        <w:t>Niederländische Multizenter-RCT verglich verschiedene Schema-Therapie-Formate bei Cluster-C-Persönlichkeitsstörungen bezüglich Effektivität und Kosteneffektivität.</w:t>
      </w:r>
    </w:p>
    <w:p>
      <w:r>
        <w:rPr>
          <w:b/>
        </w:rPr>
        <w:t xml:space="preserve">Ergebnis: </w:t>
      </w:r>
      <w:r>
        <w:t>Eingeschlossene Patienten mit Cluster-C-Persönlichkeitsstörungen. Schema-Therapie zeigte Wirksamkeit mit konsistenten Effekten über verschiedene Formate hinweg. Die Studie dokumentiert, dass strukturierte Therapieformate in speziellen Behandlungszentren implementierbar sind und vergleichbare Outcomes erreichen.</w:t>
      </w:r>
    </w:p>
    <w:p>
      <w:r>
        <w:rPr>
          <w:b/>
          <w:sz w:val="19"/>
        </w:rPr>
        <w:t xml:space="preserve">Übertragbarkeit: </w:t>
      </w:r>
      <w:r>
        <w:rPr>
          <w:sz w:val="19"/>
        </w:rPr>
        <w:t>Niederlande, vergleichbares Sozialversicherungssystem und spezialisiertes psychologisches Versorgungssetting.</w:t>
      </w:r>
    </w:p>
    <w:p>
      <w:r>
        <w:rPr>
          <w:color w:val="5A7D3A"/>
          <w:sz w:val="18"/>
        </w:rPr>
        <w:t>https://pubmed.ncbi.nlm.nih.gov/42933862/</w:t>
      </w:r>
    </w:p>
    <w:p>
      <w:pPr>
        <w:pStyle w:val="Heading2"/>
      </w:pPr>
      <w:r>
        <w:t>Bettenauslastung und Abstände zwischen Patienten: Einflussfaktoren und Praktiken</w:t>
      </w:r>
    </w:p>
    <w:p>
      <w:r>
        <w:rPr>
          <w:i/>
          <w:color w:val="666666"/>
          <w:sz w:val="18"/>
        </w:rPr>
        <w:t>Linder W et al.  ·  BMJ Open  ·  26.10.2026  ·  PMID 42933831</w:t>
      </w:r>
    </w:p>
    <w:p>
      <w:r>
        <w:t>Schwedische Multizenter-Kohortenstudie untersuchte, wie Bettenauslastung und Patientenmerkmale die Abstandshaltung zwischen Patienten in Krankenhäusern beeinflussen.</w:t>
      </w:r>
    </w:p>
    <w:p>
      <w:r>
        <w:rPr>
          <w:b/>
        </w:rPr>
        <w:t xml:space="preserve">Ergebnis: </w:t>
      </w:r>
      <w:r>
        <w:t>Die Studie analysiert systematisch beschreibend Bettenabstandspraktiken in Abhängigkeit von Auslastung und Patientenmerkamlen. Erhöhte Auslastung korrelierte mit reduzierten Abständen; Infektionspräventionsvorgaben wurden nicht konsistent eingehalten. Die Ergebnisse demonstrieren Lücken zwischen formalen Standards und Routinepraxis.</w:t>
      </w:r>
    </w:p>
    <w:p>
      <w:r>
        <w:rPr>
          <w:b/>
          <w:sz w:val="19"/>
        </w:rPr>
        <w:t xml:space="preserve">Übertragbarkeit: </w:t>
      </w:r>
      <w:r>
        <w:rPr>
          <w:sz w:val="19"/>
        </w:rPr>
        <w:t>Skandinavien, steuerfinanziertes System; Prozessqualität und Patientensicherheit aber übertragbar.</w:t>
      </w:r>
    </w:p>
    <w:p>
      <w:r>
        <w:rPr>
          <w:color w:val="5A7D3A"/>
          <w:sz w:val="18"/>
        </w:rPr>
        <w:t>https://pubmed.ncbi.nlm.nih.gov/42933831/</w:t>
      </w:r>
    </w:p>
    <w:p>
      <w:pPr>
        <w:pStyle w:val="Heading2"/>
      </w:pPr>
      <w:r>
        <w:t>Kreatives Interview mit Kindern: Performance-basiertes Engagement in Gesundheitsforschung</w:t>
      </w:r>
    </w:p>
    <w:p>
      <w:r>
        <w:rPr>
          <w:i/>
          <w:color w:val="666666"/>
          <w:sz w:val="18"/>
        </w:rPr>
        <w:t>Treadgold C et al.  ·  Health Expect  ·  Okt. 2026  ·  PMID 42929487</w:t>
      </w:r>
    </w:p>
    <w:p>
      <w:r>
        <w:t>Australische qualitative Methodenstudie evaluierte einen innovativen, spielerischen Interviewansatz mit professionellen Performern, um Kinder in Gesundheitsforschung zu Patient-Reported Experience Measures einzubeziehen.</w:t>
      </w:r>
    </w:p>
    <w:p>
      <w:r>
        <w:rPr>
          <w:b/>
        </w:rPr>
        <w:t xml:space="preserve">Ergebnis: </w:t>
      </w:r>
      <w:r>
        <w:t>Der Ansatz mit geschulten Performern (‚Captain Starlight') ermöglichte kindzentrierte, flexible Interaktionen, die Engagement und Offenheit förderten. Kinder konnten ihre Perspektiven auf Krankenhauserfahrungen authentischer artikulieren als in traditionellen Interviews. Herausforderungen waren Balancieren zwischen Charakterimmersion und Datenerfassung sowie Consent-Navigieren. Die Methode erwies sich als transferierbar für unterschiedliche Forschungskontexte mit Kindern.</w:t>
      </w:r>
    </w:p>
    <w:p>
      <w:r>
        <w:rPr>
          <w:b/>
          <w:sz w:val="19"/>
        </w:rPr>
        <w:t xml:space="preserve">Übertragbarkeit: </w:t>
      </w:r>
      <w:r>
        <w:rPr>
          <w:sz w:val="19"/>
        </w:rPr>
        <w:t>Australien; Methodische Innovationen für kindzentrierte Forschung sind systemunabhängig wertvoll.</w:t>
      </w:r>
    </w:p>
    <w:p>
      <w:r>
        <w:rPr>
          <w:color w:val="5A7D3A"/>
          <w:sz w:val="18"/>
        </w:rPr>
        <w:t>https://pubmed.ncbi.nlm.nih.gov/42929487/</w:t>
      </w:r>
    </w:p>
    <w:p>
      <w:pPr>
        <w:pStyle w:val="Heading2"/>
      </w:pPr>
      <w:r>
        <w:t>Multidisziplinarität in Tumorkonferenzen: deutsche Krebszentren</w:t>
      </w:r>
    </w:p>
    <w:p>
      <w:r>
        <w:rPr>
          <w:i/>
          <w:color w:val="666666"/>
          <w:sz w:val="18"/>
        </w:rPr>
        <w:t>Rother J et al.  ·  J Multidiscip Healthc  ·  21.10.2026  ·  PMID 42928752</w:t>
      </w:r>
    </w:p>
    <w:p>
      <w:r>
        <w:t>Deutsche Observationsstudie analysierte die tatsächliche Multidisziplinarität von Tumorkonferenzen an 6 deutschen Krebszentren in Bezug auf Anwesenheit und aktive Beteiligung verschiedener Fachgruppen.</w:t>
      </w:r>
    </w:p>
    <w:p>
      <w:r>
        <w:rPr>
          <w:b/>
        </w:rPr>
        <w:t xml:space="preserve">Ergebnis: </w:t>
      </w:r>
      <w:r>
        <w:t>Kerntean (Senologie, Radiologie, Pathologie, Onkologie) war in 54% der Fälle unvollständig. Psychoonkologie und Pflege fehlten häufig oder beteiligten sich minimal. In 28% der Fallbesprechungen sprach nur eine Person. Erhebliche Varianz zwischen den 6 Zentren. Formale Multidisziplinaritätsanforderungen werden in der Routinepraxis nicht konsistent umgesetzt.</w:t>
      </w:r>
    </w:p>
    <w:p>
      <w:r>
        <w:rPr>
          <w:b/>
          <w:sz w:val="19"/>
        </w:rPr>
        <w:t xml:space="preserve">Übertragbarkeit: </w:t>
      </w:r>
      <w:r>
        <w:rPr>
          <w:sz w:val="19"/>
        </w:rPr>
        <w:t>Deutsche Daten, direkt auf deutsches Versorgungssystem anwendbar, zertifizierte Krebszentren.</w:t>
      </w:r>
    </w:p>
    <w:p>
      <w:r>
        <w:rPr>
          <w:color w:val="5A7D3A"/>
          <w:sz w:val="18"/>
        </w:rPr>
        <w:t>https://pubmed.ncbi.nlm.nih.gov/42928752/</w:t>
      </w:r>
    </w:p>
    <w:p>
      <w:pPr>
        <w:pStyle w:val="Heading2"/>
      </w:pPr>
      <w:r>
        <w:t>Nationale Implementierung web-basiertes Diabetes-Selbstmanagement in Großbritannien</w:t>
      </w:r>
    </w:p>
    <w:p>
      <w:r>
        <w:rPr>
          <w:i/>
          <w:color w:val="666666"/>
          <w:sz w:val="18"/>
        </w:rPr>
        <w:t>Cotterill S et al.  ·  Diabet Med  ·  25.10.2026  ·  PMID 42928587</w:t>
      </w:r>
    </w:p>
    <w:p>
      <w:r>
        <w:t>UK-Synthese der Evaluationsergebnisse zur nationalen Implementierung von ‚Healthy Living', einem webgestützten Selbstmanagement- und Schulungsprogramm für Typ-2-Diabetes in England.</w:t>
      </w:r>
    </w:p>
    <w:p>
      <w:r>
        <w:rPr>
          <w:b/>
        </w:rPr>
        <w:t xml:space="preserve">Ergebnis: </w:t>
      </w:r>
      <w:r>
        <w:t>Healthy Living zeigte bescheidene Effektivität: HbA1c-Senkung um 1 mmol/mol (95% KI: -2 bis -1) bzw. -0,1% (95% KI: -0,2% bis -0,1%) nach 1 Jahr vs. Routine. Variabilität in Inanspruchnahme und Retention; Kosten-Effektivität bestätigt. Programm war für Minderheiten und benachteiligte Bevölkerungsgruppen unterrepräsentiert.</w:t>
      </w:r>
    </w:p>
    <w:p>
      <w:r>
        <w:rPr>
          <w:b/>
          <w:sz w:val="19"/>
        </w:rPr>
        <w:t xml:space="preserve">Übertragbarkeit: </w:t>
      </w:r>
      <w:r>
        <w:rPr>
          <w:sz w:val="19"/>
        </w:rPr>
        <w:t>Großbritannien, steuerfinanziertes System; Prozesse und Patientenperspektive aber übertragbar.</w:t>
      </w:r>
    </w:p>
    <w:p>
      <w:r>
        <w:rPr>
          <w:color w:val="5A7D3A"/>
          <w:sz w:val="18"/>
        </w:rPr>
        <w:t>https://pubmed.ncbi.nlm.nih.gov/42928587/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Versorgungsforschung</dc:title>
  <dc:subject/>
  <dc:creator>Monitor Versorgungsforschung</dc:creator>
  <cp:keywords/>
  <dc:description>generated by python-docx</dc:description>
  <cp:lastModifiedBy/>
  <cp:revision>1</cp:revision>
  <dcterms:created xsi:type="dcterms:W3CDTF">2026-10-27T06:00:00Z</dcterms:created>
  <dcterms:modified xsi:type="dcterms:W3CDTF">2026-10-27T06:00:00Z</dcterms:modified>
  <cp:category/>
</cp:coreProperties>
</file>