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Versorgungsforschung</w:t>
      </w:r>
    </w:p>
    <w:p>
      <w:r>
        <w:rPr>
          <w:i/>
          <w:color w:val="666666"/>
          <w:sz w:val="18"/>
        </w:rPr>
        <w:t>Stand: 25.10.2026  |  6 Studien  |  wissen.m-vf.de</w:t>
      </w:r>
    </w:p>
    <w:p>
      <w:pPr>
        <w:pStyle w:val="Heading1"/>
      </w:pPr>
      <w:r>
        <w:t>Aufgenommen am 25.10.2026</w:t>
      </w:r>
    </w:p>
    <w:p>
      <w:pPr>
        <w:pStyle w:val="Heading2"/>
      </w:pPr>
      <w:r>
        <w:t>Soziale Unterstützung und Zufriedenheit mit Anreizen in Primärversorgung</w:t>
      </w:r>
    </w:p>
    <w:p>
      <w:r>
        <w:rPr>
          <w:i/>
          <w:color w:val="666666"/>
          <w:sz w:val="18"/>
        </w:rPr>
        <w:t>Wang J et al.  ·  BMC Health Serv Res  ·  13.10.2026  ·  PMID 42920143</w:t>
      </w:r>
    </w:p>
    <w:p>
      <w:r>
        <w:t>Querschnittsstudie mit 1154 Beschäftigten in Primärversorgungseinrichtungen (Anhui, China) zur Assoziation zwischen sozialer Unterstützung und Zufriedenheit mit Organisationsanreizen sowie der mediierenden Rolle der psychologischen Ressourcen.</w:t>
      </w:r>
    </w:p>
    <w:p>
      <w:r>
        <w:rPr>
          <w:b/>
        </w:rPr>
        <w:t xml:space="preserve">Ergebnis: </w:t>
      </w:r>
      <w:r>
        <w:t>Positive Korrelation zwischen sozialer Unterstützung und Zufriedenheit (β = 0,257, p &lt; 0,001 in Modell 5; β = 0,178, p &lt; 0,001 in Modell 6). Hoffnung zeigte positiven partiellen Mediatoreffekt (indirekter Effekt = 0,077, 95%-KI [0,042; 0,115]), Selbstwirksamkeit einen maskierenden Effekt (indirekter Effekt = −0,033, 95%-KI [−0,057; −0,009]). Unterschiedliche Wirkpfade von Ressourcen-Subdimensionen identifiziert.</w:t>
      </w:r>
    </w:p>
    <w:p>
      <w:r>
        <w:rPr>
          <w:b/>
          <w:sz w:val="19"/>
        </w:rPr>
        <w:t xml:space="preserve">Übertragbarkeit: </w:t>
      </w:r>
      <w:r>
        <w:rPr>
          <w:sz w:val="19"/>
        </w:rPr>
        <w:t>China-Daten; begrenzt übertragbar auf deutsches Sozialversicherungssystem wegen anderer Systemstruktur</w:t>
      </w:r>
    </w:p>
    <w:p>
      <w:r>
        <w:rPr>
          <w:color w:val="5A7D3A"/>
          <w:sz w:val="18"/>
        </w:rPr>
        <w:t>https://pubmed.ncbi.nlm.nih.gov/42920143/</w:t>
      </w:r>
    </w:p>
    <w:p>
      <w:pPr>
        <w:pStyle w:val="Heading2"/>
      </w:pPr>
      <w:r>
        <w:t>Register als Basis für Value-Based Health Care in Orthopädie</w:t>
      </w:r>
    </w:p>
    <w:p>
      <w:r>
        <w:rPr>
          <w:i/>
          <w:color w:val="666666"/>
          <w:sz w:val="18"/>
        </w:rPr>
        <w:t>Cnudde P et al.  ·  BMC Health Serv Res  ·  15.09.2026  ·  PMID 42920135</w:t>
      </w:r>
    </w:p>
    <w:p>
      <w:r>
        <w:t>Qualitative Studie mit 15 internationalen Experten zu Rolle klinischer Register bei Entwicklung und Umsetzung von Value-Based Health Care anhand orthopädischer Register.</w:t>
      </w:r>
    </w:p>
    <w:p>
      <w:r>
        <w:rPr>
          <w:b/>
        </w:rPr>
        <w:t xml:space="preserve">Ergebnis: </w:t>
      </w:r>
      <w:r>
        <w:t>Register tragen zur Evidence-Based Medicine und Verbesserung von Patientenergebnissen bei durch Unterstützung von Implant-Entscheidungen und Behandlungsregimen für vier Stakeholder (Patient, klinisches Team, Gesundheitssystem, Gesellschaft). Rolle bei Pathways-Entwicklung war variabel. Register reduzieren unerwünschte Variation und verknüpfen Wert mit Versorgung.</w:t>
      </w:r>
    </w:p>
    <w:p>
      <w:r>
        <w:rPr>
          <w:b/>
          <w:sz w:val="19"/>
        </w:rPr>
        <w:t xml:space="preserve">Übertragbarkeit: </w:t>
      </w:r>
      <w:r>
        <w:rPr>
          <w:sz w:val="19"/>
        </w:rPr>
        <w:t>Skandinavische und UK-Register; Konzept übertragbar auf deutsches System mit Sozialversicherungsfinanzierung</w:t>
      </w:r>
    </w:p>
    <w:p>
      <w:r>
        <w:rPr>
          <w:color w:val="5A7D3A"/>
          <w:sz w:val="18"/>
        </w:rPr>
        <w:t>https://pubmed.ncbi.nlm.nih.gov/42920135/</w:t>
      </w:r>
    </w:p>
    <w:p>
      <w:pPr>
        <w:pStyle w:val="Heading2"/>
      </w:pPr>
      <w:r>
        <w:t>Second Victimhood bei Ärztinnen und Ärzten sowie Pflegenden</w:t>
      </w:r>
    </w:p>
    <w:p>
      <w:r>
        <w:rPr>
          <w:i/>
          <w:color w:val="666666"/>
          <w:sz w:val="18"/>
        </w:rPr>
        <w:t>Açıkgöz B et al.  ·  BMC Health Serv Res  ·  30.09.2026  ·  PMID 42920132</w:t>
      </w:r>
    </w:p>
    <w:p>
      <w:r>
        <w:t>Querschnittsstudie mit 366 Beschäftigten eines türkischen Universitätskrankenhauses zur Häufigkeit und Folgen von Second Victimhood nach unerwünschten Ereignissen sowie zu Unterstützungsbedarfen.</w:t>
      </w:r>
    </w:p>
    <w:p>
      <w:r>
        <w:rPr>
          <w:b/>
        </w:rPr>
        <w:t xml:space="preserve">Ergebnis: </w:t>
      </w:r>
      <w:r>
        <w:t>15,0% der Teilnehmenden berichteten Second Victimhood, 75,9% davon berichteten negative Konsequenzen. Alter ≥46 Jahre (aOR = 5,27, 95%-KI 1,97–14,06) und 2–5 Jahre Betriebszugehörigkeit (aOR = 2,82, 95%-KI 1,43–5,56) waren unabhängig mit Second Victimhood assoziiert. Wunsch nach strukturierter institutioneller Unterstützung war hoch.</w:t>
      </w:r>
    </w:p>
    <w:p>
      <w:r>
        <w:rPr>
          <w:b/>
          <w:sz w:val="19"/>
        </w:rPr>
        <w:t xml:space="preserve">Übertragbarkeit: </w:t>
      </w:r>
      <w:r>
        <w:rPr>
          <w:sz w:val="19"/>
        </w:rPr>
        <w:t>Türkische Daten; qualitative Befunde zu psychosozialen Folgen systemunabhängig relevant</w:t>
      </w:r>
    </w:p>
    <w:p>
      <w:r>
        <w:rPr>
          <w:color w:val="5A7D3A"/>
          <w:sz w:val="18"/>
        </w:rPr>
        <w:t>https://pubmed.ncbi.nlm.nih.gov/42920132/</w:t>
      </w:r>
    </w:p>
    <w:p>
      <w:pPr>
        <w:pStyle w:val="Heading2"/>
      </w:pPr>
      <w:r>
        <w:t>Digitale Psychotherapie für Gesundheitsfachpersonen mit Depression und Angst</w:t>
      </w:r>
    </w:p>
    <w:p>
      <w:r>
        <w:rPr>
          <w:i/>
          <w:color w:val="666666"/>
          <w:sz w:val="18"/>
        </w:rPr>
        <w:t>Morgenstern J et al.  ·  BMC Health Serv Res  ·  12.08.2026  ·  PMID 42908008</w:t>
      </w:r>
    </w:p>
    <w:p>
      <w:r>
        <w:t>Prospektive Kohortenstudie mit 496 Beschäftigten eines US-Gesundheitssystems zur Effektivität und Adhärenz bei digital bereitgestellter, arbeitgeberorientierter Evidence-Based Psychotherapy.</w:t>
      </w:r>
    </w:p>
    <w:p>
      <w:r>
        <w:rPr>
          <w:b/>
        </w:rPr>
        <w:t xml:space="preserve">Ergebnis: </w:t>
      </w:r>
      <w:r>
        <w:t>Von 496 Teilnehmenden absolvierten 348 (70,2%) mindestens eine Follow-up-Untersuchung. Mittlere Symptomreduktion: 6,4 Punkte PHQ-9 (95%-KI 5,7–7,1) und 6,3 Punkte GAD-7 (95%-KI 5,8–6,9; beide p &lt; 0,001). Remissionsraten: 36,5% Depression, 48,8% Angststörung. Durchschnittlich 15 Sitzungen besucht, 81,9% Therapie abgeschlossen.</w:t>
      </w:r>
    </w:p>
    <w:p>
      <w:r>
        <w:rPr>
          <w:b/>
          <w:sz w:val="19"/>
        </w:rPr>
        <w:t xml:space="preserve">Übertragbarkeit: </w:t>
      </w:r>
      <w:r>
        <w:rPr>
          <w:sz w:val="19"/>
        </w:rPr>
        <w:t>US-Studie; Implementierungsmodell systemunabhängig für Betriebliche Gesundheitsförderung relevant</w:t>
      </w:r>
    </w:p>
    <w:p>
      <w:r>
        <w:rPr>
          <w:color w:val="5A7D3A"/>
          <w:sz w:val="18"/>
        </w:rPr>
        <w:t>https://pubmed.ncbi.nlm.nih.gov/42908008/</w:t>
      </w:r>
    </w:p>
    <w:p>
      <w:pPr>
        <w:pStyle w:val="Heading2"/>
      </w:pPr>
      <w:r>
        <w:t>Effektivität der RSV-Impfung in der klinischen Praxis</w:t>
      </w:r>
    </w:p>
    <w:p>
      <w:r>
        <w:rPr>
          <w:i/>
          <w:color w:val="666666"/>
          <w:sz w:val="18"/>
        </w:rPr>
        <w:t>Groenendijk RW et al.  ·  Lancet Infect Dis  ·  20.10.2026  ·  PMID 42901195</w:t>
      </w:r>
    </w:p>
    <w:p>
      <w:r>
        <w:t>Narrativer Review zur Real-World-Effektivität und Implementierung von RSV-Impfstoffen für Säuglinge und ältere Erwachsene sowie Zugangsbarrieren insbesondere in Ländern mit niedrigerem Einkommen.</w:t>
      </w:r>
    </w:p>
    <w:p>
      <w:r>
        <w:rPr>
          <w:b/>
        </w:rPr>
        <w:t xml:space="preserve">Ergebnis: </w:t>
      </w:r>
      <w:r>
        <w:t>RSV-Impfstoffe zeigen hohe Real-World-Effektivität mit zusätzlichen Vorteilen (reduzierte kardiovaskuläre Ereignisse bei älteren Erwachsenen). Trotz vergleichbarer Effektivität unterscheiden sich Inanspruchnahmequoten zwischen Produkttypen erheblich. Erfolgreiche Implementierung erfordert Integration in routinierte Versorgung, Empfehlung durch vertraute Anbieter und kontextsensitive Strategien.</w:t>
      </w:r>
    </w:p>
    <w:p>
      <w:r>
        <w:rPr>
          <w:b/>
          <w:sz w:val="19"/>
        </w:rPr>
        <w:t xml:space="preserve">Übertragbarkeit: </w:t>
      </w:r>
      <w:r>
        <w:rPr>
          <w:sz w:val="19"/>
        </w:rPr>
        <w:t>Internationale Evidenz; Zugangs- und Implementierungsaspekte für deutsches Sozialversicherungssystem relevant</w:t>
      </w:r>
    </w:p>
    <w:p>
      <w:r>
        <w:rPr>
          <w:color w:val="5A7D3A"/>
          <w:sz w:val="18"/>
        </w:rPr>
        <w:t>https://pubmed.ncbi.nlm.nih.gov/42901195/</w:t>
      </w:r>
    </w:p>
    <w:p>
      <w:pPr>
        <w:pStyle w:val="Heading2"/>
      </w:pPr>
      <w:r>
        <w:t>Genetische Faktoren und Manifestation von Essstörungssymptomen</w:t>
      </w:r>
    </w:p>
    <w:p>
      <w:r>
        <w:rPr>
          <w:i/>
          <w:color w:val="666666"/>
          <w:sz w:val="18"/>
        </w:rPr>
        <w:t>Davies HL et al.  ·  Br J Psychiatry  ·  07.10.2026  ·  PMID 42841245</w:t>
      </w:r>
    </w:p>
    <w:p>
      <w:r>
        <w:t>Genomische Assoziationsstudie mit 24.973 Personen europäischen Ursprungs zu Häufigkeit, Manifestationsalter und genetischer Heritabilität von Essstörungssymptomen sowie zu polygenen Assoziationen.</w:t>
      </w:r>
    </w:p>
    <w:p>
      <w:r>
        <w:rPr>
          <w:b/>
        </w:rPr>
        <w:t xml:space="preserve">Ergebnis: </w:t>
      </w:r>
      <w:r>
        <w:t>Symptommedian-Onset 16–20 Jahre: Erbrechen (16 Jahre), Fasten/exzessives Training (17 Jahre), Binge Eating (18 Jahre), Abführmittel (19 Jahre), Diuretika (20 Jahre), Untergewicht (20 Jahre). SNP-basierte Heritabilität 0,31–0,78 für Verhaltensweisen; Alter bei Onset weniger heritabel. Frühere Binge-Eating-Exposition bei höherem Adipositas-PGS (~7 Monate).</w:t>
      </w:r>
    </w:p>
    <w:p>
      <w:r>
        <w:rPr>
          <w:b/>
          <w:sz w:val="19"/>
        </w:rPr>
        <w:t xml:space="preserve">Übertragbarkeit: </w:t>
      </w:r>
      <w:r>
        <w:rPr>
          <w:sz w:val="19"/>
        </w:rPr>
        <w:t>UK-Biobankdaten; Symptom-Onset-Profile und Geschlechtsunterschiede für Prävention und Versorgung relevant</w:t>
      </w:r>
    </w:p>
    <w:p>
      <w:r>
        <w:rPr>
          <w:color w:val="5A7D3A"/>
          <w:sz w:val="18"/>
        </w:rPr>
        <w:t>https://pubmed.ncbi.nlm.nih.gov/42841245/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Versorgungsforschung</dc:title>
  <dc:subject/>
  <dc:creator>Monitor Versorgungsforschung</dc:creator>
  <cp:keywords/>
  <dc:description>generated by python-docx</dc:description>
  <cp:lastModifiedBy/>
  <cp:revision>1</cp:revision>
  <dcterms:created xsi:type="dcterms:W3CDTF">2026-10-25T06:00:00Z</dcterms:created>
  <dcterms:modified xsi:type="dcterms:W3CDTF">2026-10-25T06:00:00Z</dcterms:modified>
  <cp:category/>
</cp:coreProperties>
</file>