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25.10.2026  |  430 Studien  |  wissen.m-vf.de</w:t>
      </w:r>
    </w:p>
    <w:p>
      <w:pPr>
        <w:pStyle w:val="Heading1"/>
      </w:pPr>
      <w:r>
        <w:t>Aufgenommen am 25.10.2026</w:t>
      </w:r>
    </w:p>
    <w:p>
      <w:pPr>
        <w:pStyle w:val="Heading2"/>
      </w:pPr>
      <w:r>
        <w:t>Soziale Unterstützung und Zufriedenheit mit Anreizen in Primärversorgung</w:t>
      </w:r>
    </w:p>
    <w:p>
      <w:r>
        <w:rPr>
          <w:i/>
          <w:color w:val="666666"/>
          <w:sz w:val="18"/>
        </w:rPr>
        <w:t>Wang J et al.  ·  BMC Health Serv Res  ·  13.10.2026  ·  PMID 42920143</w:t>
      </w:r>
    </w:p>
    <w:p>
      <w:r>
        <w:t>Querschnittsstudie mit 1154 Beschäftigten in Primärversorgungseinrichtungen (Anhui, China) zur Assoziation zwischen sozialer Unterstützung und Zufriedenheit mit Organisationsanreizen sowie der mediierenden Rolle der psychologischen Ressourcen.</w:t>
      </w:r>
    </w:p>
    <w:p>
      <w:r>
        <w:rPr>
          <w:b/>
        </w:rPr>
        <w:t xml:space="preserve">Ergebnis: </w:t>
      </w:r>
      <w:r>
        <w:t>Positive Korrelation zwischen sozialer Unterstützung und Zufriedenheit (β = 0,257, p &lt; 0,001 in Modell 5; β = 0,178, p &lt; 0,001 in Modell 6). Hoffnung zeigte positiven partiellen Mediatoreffekt (indirekter Effekt = 0,077, 95%-KI [0,042; 0,115]), Selbstwirksamkeit einen maskierenden Effekt (indirekter Effekt = −0,033, 95%-KI [−0,057; −0,009]). Unterschiedliche Wirkpfade von Ressourcen-Subdimensionen identifiziert.</w:t>
      </w:r>
    </w:p>
    <w:p>
      <w:r>
        <w:rPr>
          <w:b/>
          <w:sz w:val="19"/>
        </w:rPr>
        <w:t xml:space="preserve">Übertragbarkeit: </w:t>
      </w:r>
      <w:r>
        <w:rPr>
          <w:sz w:val="19"/>
        </w:rPr>
        <w:t>China-Daten; begrenzt übertragbar auf deutsches Sozialversicherungssystem wegen anderer Systemstruktur</w:t>
      </w:r>
    </w:p>
    <w:p>
      <w:r>
        <w:rPr>
          <w:color w:val="5A7D3A"/>
          <w:sz w:val="18"/>
        </w:rPr>
        <w:t>https://pubmed.ncbi.nlm.nih.gov/42920143/</w:t>
      </w:r>
    </w:p>
    <w:p>
      <w:pPr>
        <w:pStyle w:val="Heading2"/>
      </w:pPr>
      <w:r>
        <w:t>Register als Basis für Value-Based Health Care in Orthopädie</w:t>
      </w:r>
    </w:p>
    <w:p>
      <w:r>
        <w:rPr>
          <w:i/>
          <w:color w:val="666666"/>
          <w:sz w:val="18"/>
        </w:rPr>
        <w:t>Cnudde P et al.  ·  BMC Health Serv Res  ·  15.09.2026  ·  PMID 42920135</w:t>
      </w:r>
    </w:p>
    <w:p>
      <w:r>
        <w:t>Qualitative Studie mit 15 internationalen Experten zu Rolle klinischer Register bei Entwicklung und Umsetzung von Value-Based Health Care anhand orthopädischer Register.</w:t>
      </w:r>
    </w:p>
    <w:p>
      <w:r>
        <w:rPr>
          <w:b/>
        </w:rPr>
        <w:t xml:space="preserve">Ergebnis: </w:t>
      </w:r>
      <w:r>
        <w:t>Register tragen zur Evidence-Based Medicine und Verbesserung von Patientenergebnissen bei durch Unterstützung von Implant-Entscheidungen und Behandlungsregimen für vier Stakeholder (Patient, klinisches Team, Gesundheitssystem, Gesellschaft). Rolle bei Pathways-Entwicklung war variabel. Register reduzieren unerwünschte Variation und verknüpfen Wert mit Versorgung.</w:t>
      </w:r>
    </w:p>
    <w:p>
      <w:r>
        <w:rPr>
          <w:b/>
          <w:sz w:val="19"/>
        </w:rPr>
        <w:t xml:space="preserve">Übertragbarkeit: </w:t>
      </w:r>
      <w:r>
        <w:rPr>
          <w:sz w:val="19"/>
        </w:rPr>
        <w:t>Skandinavische und UK-Register; Konzept übertragbar auf deutsches System mit Sozialversicherungsfinanzierung</w:t>
      </w:r>
    </w:p>
    <w:p>
      <w:r>
        <w:rPr>
          <w:color w:val="5A7D3A"/>
          <w:sz w:val="18"/>
        </w:rPr>
        <w:t>https://pubmed.ncbi.nlm.nih.gov/42920135/</w:t>
      </w:r>
    </w:p>
    <w:p>
      <w:pPr>
        <w:pStyle w:val="Heading2"/>
      </w:pPr>
      <w:r>
        <w:t>Second Victimhood bei Ärztinnen und Ärzten sowie Pflegenden</w:t>
      </w:r>
    </w:p>
    <w:p>
      <w:r>
        <w:rPr>
          <w:i/>
          <w:color w:val="666666"/>
          <w:sz w:val="18"/>
        </w:rPr>
        <w:t>Açıkgöz B et al.  ·  BMC Health Serv Res  ·  30.09.2026  ·  PMID 42920132</w:t>
      </w:r>
    </w:p>
    <w:p>
      <w:r>
        <w:t>Querschnittsstudie mit 366 Beschäftigten eines türkischen Universitätskrankenhauses zur Häufigkeit und Folgen von Second Victimhood nach unerwünschten Ereignissen sowie zu Unterstützungsbedarfen.</w:t>
      </w:r>
    </w:p>
    <w:p>
      <w:r>
        <w:rPr>
          <w:b/>
        </w:rPr>
        <w:t xml:space="preserve">Ergebnis: </w:t>
      </w:r>
      <w:r>
        <w:t>15,0% der Teilnehmenden berichteten Second Victimhood, 75,9% davon berichteten negative Konsequenzen. Alter ≥46 Jahre (aOR = 5,27, 95%-KI 1,97–14,06) und 2–5 Jahre Betriebszugehörigkeit (aOR = 2,82, 95%-KI 1,43–5,56) waren unabhängig mit Second Victimhood assoziiert. Wunsch nach strukturierter institutioneller Unterstützung war hoch.</w:t>
      </w:r>
    </w:p>
    <w:p>
      <w:r>
        <w:rPr>
          <w:b/>
          <w:sz w:val="19"/>
        </w:rPr>
        <w:t xml:space="preserve">Übertragbarkeit: </w:t>
      </w:r>
      <w:r>
        <w:rPr>
          <w:sz w:val="19"/>
        </w:rPr>
        <w:t>Türkische Daten; qualitative Befunde zu psychosozialen Folgen systemunabhängig relevant</w:t>
      </w:r>
    </w:p>
    <w:p>
      <w:r>
        <w:rPr>
          <w:color w:val="5A7D3A"/>
          <w:sz w:val="18"/>
        </w:rPr>
        <w:t>https://pubmed.ncbi.nlm.nih.gov/42920132/</w:t>
      </w:r>
    </w:p>
    <w:p>
      <w:pPr>
        <w:pStyle w:val="Heading2"/>
      </w:pPr>
      <w:r>
        <w:t>Digitale Psychotherapie für Gesundheitsfachpersonen mit Depression und Angst</w:t>
      </w:r>
    </w:p>
    <w:p>
      <w:r>
        <w:rPr>
          <w:i/>
          <w:color w:val="666666"/>
          <w:sz w:val="18"/>
        </w:rPr>
        <w:t>Morgenstern J et al.  ·  BMC Health Serv Res  ·  12.08.2026  ·  PMID 42908008</w:t>
      </w:r>
    </w:p>
    <w:p>
      <w:r>
        <w:t>Prospektive Kohortenstudie mit 496 Beschäftigten eines US-Gesundheitssystems zur Effektivität und Adhärenz bei digital bereitgestellter, arbeitgeberorientierter Evidence-Based Psychotherapy.</w:t>
      </w:r>
    </w:p>
    <w:p>
      <w:r>
        <w:rPr>
          <w:b/>
        </w:rPr>
        <w:t xml:space="preserve">Ergebnis: </w:t>
      </w:r>
      <w:r>
        <w:t>Von 496 Teilnehmenden absolvierten 348 (70,2%) mindestens eine Follow-up-Untersuchung. Mittlere Symptomreduktion: 6,4 Punkte PHQ-9 (95%-KI 5,7–7,1) und 6,3 Punkte GAD-7 (95%-KI 5,8–6,9; beide p &lt; 0,001). Remissionsraten: 36,5% Depression, 48,8% Angststörung. Durchschnittlich 15 Sitzungen besucht, 81,9% Therapie abgeschlossen.</w:t>
      </w:r>
    </w:p>
    <w:p>
      <w:r>
        <w:rPr>
          <w:b/>
          <w:sz w:val="19"/>
        </w:rPr>
        <w:t xml:space="preserve">Übertragbarkeit: </w:t>
      </w:r>
      <w:r>
        <w:rPr>
          <w:sz w:val="19"/>
        </w:rPr>
        <w:t>US-Studie; Implementierungsmodell systemunabhängig für Betriebliche Gesundheitsförderung relevant</w:t>
      </w:r>
    </w:p>
    <w:p>
      <w:r>
        <w:rPr>
          <w:color w:val="5A7D3A"/>
          <w:sz w:val="18"/>
        </w:rPr>
        <w:t>https://pubmed.ncbi.nlm.nih.gov/42908008/</w:t>
      </w:r>
    </w:p>
    <w:p>
      <w:pPr>
        <w:pStyle w:val="Heading2"/>
      </w:pPr>
      <w:r>
        <w:t>Effektivität der RSV-Impfung in der klinischen Praxis</w:t>
      </w:r>
    </w:p>
    <w:p>
      <w:r>
        <w:rPr>
          <w:i/>
          <w:color w:val="666666"/>
          <w:sz w:val="18"/>
        </w:rPr>
        <w:t>Groenendijk RW et al.  ·  Lancet Infect Dis  ·  20.10.2026  ·  PMID 42901195</w:t>
      </w:r>
    </w:p>
    <w:p>
      <w:r>
        <w:t>Narrativer Review zur Real-World-Effektivität und Implementierung von RSV-Impfstoffen für Säuglinge und ältere Erwachsene sowie Zugangsbarrieren insbesondere in Ländern mit niedrigerem Einkommen.</w:t>
      </w:r>
    </w:p>
    <w:p>
      <w:r>
        <w:rPr>
          <w:b/>
        </w:rPr>
        <w:t xml:space="preserve">Ergebnis: </w:t>
      </w:r>
      <w:r>
        <w:t>RSV-Impfstoffe zeigen hohe Real-World-Effektivität mit zusätzlichen Vorteilen (reduzierte kardiovaskuläre Ereignisse bei älteren Erwachsenen). Trotz vergleichbarer Effektivität unterscheiden sich Inanspruchnahmequoten zwischen Produkttypen erheblich. Erfolgreiche Implementierung erfordert Integration in routinierte Versorgung, Empfehlung durch vertraute Anbieter und kontextsensitive Strategien.</w:t>
      </w:r>
    </w:p>
    <w:p>
      <w:r>
        <w:rPr>
          <w:b/>
          <w:sz w:val="19"/>
        </w:rPr>
        <w:t xml:space="preserve">Übertragbarkeit: </w:t>
      </w:r>
      <w:r>
        <w:rPr>
          <w:sz w:val="19"/>
        </w:rPr>
        <w:t>Internationale Evidenz; Zugangs- und Implementierungsaspekte für deutsches Sozialversicherungssystem relevant</w:t>
      </w:r>
    </w:p>
    <w:p>
      <w:r>
        <w:rPr>
          <w:color w:val="5A7D3A"/>
          <w:sz w:val="18"/>
        </w:rPr>
        <w:t>https://pubmed.ncbi.nlm.nih.gov/42901195/</w:t>
      </w:r>
    </w:p>
    <w:p>
      <w:pPr>
        <w:pStyle w:val="Heading2"/>
      </w:pPr>
      <w:r>
        <w:t>Genetische Faktoren und Manifestation von Essstörungssymptomen</w:t>
      </w:r>
    </w:p>
    <w:p>
      <w:r>
        <w:rPr>
          <w:i/>
          <w:color w:val="666666"/>
          <w:sz w:val="18"/>
        </w:rPr>
        <w:t>Davies HL et al.  ·  Br J Psychiatry  ·  07.10.2026  ·  PMID 42841245</w:t>
      </w:r>
    </w:p>
    <w:p>
      <w:r>
        <w:t>Genomische Assoziationsstudie mit 24.973 Personen europäischen Ursprungs zu Häufigkeit, Manifestationsalter und genetischer Heritabilität von Essstörungssymptomen sowie zu polygenen Assoziationen.</w:t>
      </w:r>
    </w:p>
    <w:p>
      <w:r>
        <w:rPr>
          <w:b/>
        </w:rPr>
        <w:t xml:space="preserve">Ergebnis: </w:t>
      </w:r>
      <w:r>
        <w:t>Symptommedian-Onset 16–20 Jahre: Erbrechen (16 Jahre), Fasten/exzessives Training (17 Jahre), Binge Eating (18 Jahre), Abführmittel (19 Jahre), Diuretika (20 Jahre), Untergewicht (20 Jahre). SNP-basierte Heritabilität 0,31–0,78 für Verhaltensweisen; Alter bei Onset weniger heritabel. Frühere Binge-Eating-Exposition bei höherem Adipositas-PGS (~7 Monate).</w:t>
      </w:r>
    </w:p>
    <w:p>
      <w:r>
        <w:rPr>
          <w:b/>
          <w:sz w:val="19"/>
        </w:rPr>
        <w:t xml:space="preserve">Übertragbarkeit: </w:t>
      </w:r>
      <w:r>
        <w:rPr>
          <w:sz w:val="19"/>
        </w:rPr>
        <w:t>UK-Biobankdaten; Symptom-Onset-Profile und Geschlechtsunterschiede für Prävention und Versorgung relevant</w:t>
      </w:r>
    </w:p>
    <w:p>
      <w:r>
        <w:rPr>
          <w:color w:val="5A7D3A"/>
          <w:sz w:val="18"/>
        </w:rPr>
        <w:t>https://pubmed.ncbi.nlm.nih.gov/42841245/</w:t>
      </w:r>
    </w:p>
    <w:p>
      <w:pPr>
        <w:pStyle w:val="Heading1"/>
      </w:pPr>
      <w:r>
        <w:t>Aufgenommen am 24.10.2026</w:t>
      </w:r>
    </w:p>
    <w:p>
      <w:pPr>
        <w:pStyle w:val="Heading2"/>
      </w:pPr>
      <w:r>
        <w:t>Resilienzfaktoren bei Altenpflegekräften: Mixed-Methods-Studie</w:t>
      </w:r>
    </w:p>
    <w:p>
      <w:r>
        <w:rPr>
          <w:i/>
          <w:color w:val="666666"/>
          <w:sz w:val="18"/>
        </w:rPr>
        <w:t>Cantarelli P et al.  ·  BMC Health Serv Res  ·  27.07.2026  ·  PMID 42919231</w:t>
      </w:r>
    </w:p>
    <w:p>
      <w:r>
        <w:t>Die Studie untersuchte persönliche und organisationale Prädiktoren von Resilienz bei Fachkräften in stationären Altenpflegeeinrichtungen in Italien durch eine Querschnittsbefragung (n=231) und vier Fokusgruppen.</w:t>
      </w:r>
    </w:p>
    <w:p>
      <w:r>
        <w:rPr>
          <w:b/>
        </w:rPr>
        <w:t xml:space="preserve">Ergebnis: </w:t>
      </w:r>
      <w:r>
        <w:t>Psychisches Wohlbefinden war der stärkste Prädiktor für individuelle Resilienz (multivariate Analyse), gefolgt von organisationaler Resilienzkapazität. Burnout, Kündigungsabsicht und Selbstbeurteilung der Gesundheit zeigten keine signifikanten Assoziationen mit Resilienz. Qualitative Befunde: Beziehungssinn in der Pflege als Schlüsselquelle für psychologische Belohnung, Teamwork und organisationale Unterstützung als zentral für Resilienz.</w:t>
      </w:r>
    </w:p>
    <w:p>
      <w:r>
        <w:rPr>
          <w:b/>
          <w:sz w:val="19"/>
        </w:rPr>
        <w:t xml:space="preserve">Übertragbarkeit: </w:t>
      </w:r>
      <w:r>
        <w:rPr>
          <w:sz w:val="19"/>
        </w:rPr>
        <w:t>Italien, aber ähnliche Struktur stationärer Altenpflege wie Deutschland</w:t>
      </w:r>
    </w:p>
    <w:p>
      <w:r>
        <w:rPr>
          <w:color w:val="5A7D3A"/>
          <w:sz w:val="18"/>
        </w:rPr>
        <w:t>https://pubmed.ncbi.nlm.nih.gov/42919231/</w:t>
      </w:r>
    </w:p>
    <w:p>
      <w:pPr>
        <w:pStyle w:val="Heading2"/>
      </w:pPr>
      <w:r>
        <w:t>Chatbot zur Telemedizin-Unterstützung bei Diabetes: Mixed-Methods-Studie</w:t>
      </w:r>
    </w:p>
    <w:p>
      <w:r>
        <w:rPr>
          <w:i/>
          <w:color w:val="666666"/>
          <w:sz w:val="18"/>
        </w:rPr>
        <w:t>Ong RHS et al.  ·  J Med Internet Res  ·  23.10.2026  ·  PMID 42913398</w:t>
      </w:r>
    </w:p>
    <w:p>
      <w:r>
        <w:t>Embedded Mixed-Methods-Evaluierung eines klinisch-protokollgestützten Chatbots (Siu Dai) zur Unterstützung von Telecare-Fachkräften und Diabetespatienten (n=14: 7 Patienten, 7 Fachkräfte).</w:t>
      </w:r>
    </w:p>
    <w:p>
      <w:r>
        <w:rPr>
          <w:b/>
        </w:rPr>
        <w:t xml:space="preserve">Ergebnis: </w:t>
      </w:r>
      <w:r>
        <w:t>Patienten: hohe Engagement (79% abgeschlossener Sessions, Median 2:58 Min), hohe Zufriedenheit (86% würden empfehlen). Fachkräfte zurückhaltender (43% befürworten universelle Ausrollung). System Usability Scale 60,3±9,6 (akzeptabel). Qualitativ fünf Themen: Usability, Prozessintegration, Akzeptanzfaktoren, wahrgenommene Effizienz, Verbesserungsvorschläge. Barrieren: fehlende EMR-Integration, Inhaltredundanz.</w:t>
      </w:r>
    </w:p>
    <w:p>
      <w:r>
        <w:rPr>
          <w:b/>
          <w:sz w:val="19"/>
        </w:rPr>
        <w:t xml:space="preserve">Übertragbarkeit: </w:t>
      </w:r>
      <w:r>
        <w:rPr>
          <w:sz w:val="19"/>
        </w:rPr>
        <w:t>Singapur-Daten; telemedizinische Prozesse aber systemunabhängig relevant</w:t>
      </w:r>
    </w:p>
    <w:p>
      <w:r>
        <w:rPr>
          <w:color w:val="5A7D3A"/>
          <w:sz w:val="18"/>
        </w:rPr>
        <w:t>https://pubmed.ncbi.nlm.nih.gov/42913398/</w:t>
      </w:r>
    </w:p>
    <w:p>
      <w:pPr>
        <w:pStyle w:val="Heading2"/>
      </w:pPr>
      <w:r>
        <w:t>PrEP-Adoption bei Sexarbeiterinnen in Äthiopien: Einflussfaktoren</w:t>
      </w:r>
    </w:p>
    <w:p>
      <w:r>
        <w:rPr>
          <w:i/>
          <w:color w:val="666666"/>
          <w:sz w:val="18"/>
        </w:rPr>
        <w:t>Lema M et al.  ·  BMC Health Serv Res  ·  25.07.2026  ·  PMID 42908021</w:t>
      </w:r>
    </w:p>
    <w:p>
      <w:r>
        <w:t>Querschnittsstudie mit 422 HIV-negativen Sexarbeiterinnen zur Untersuchung von Faktoren, die PrEP-Adoption beeinflussen.</w:t>
      </w:r>
    </w:p>
    <w:p>
      <w:r>
        <w:rPr>
          <w:b/>
        </w:rPr>
        <w:t xml:space="preserve">Ergebnis: </w:t>
      </w:r>
      <w:r>
        <w:t>PrEP-Uptake 43,3% (95%-KI 38,6–48,1%). Signifikant assoziiert mit PrEP-Nutzung: Alter &gt;24 Jahre (AOR 2,03), PrEP-Bewusstsein (AOR 2,53), HIV-Risikoperzeption (AOR 1,89), flexible Arbeitszeiten (AOR 2,89). Keine signifikanten Assoziationen mit Substanzabhängigkeit, Kondomnutzung oder religiösen Überzeugungen.</w:t>
      </w:r>
    </w:p>
    <w:p>
      <w:r>
        <w:rPr>
          <w:b/>
          <w:sz w:val="19"/>
        </w:rPr>
        <w:t xml:space="preserve">Übertragbarkeit: </w:t>
      </w:r>
      <w:r>
        <w:rPr>
          <w:sz w:val="19"/>
        </w:rPr>
        <w:t>Begrenzt: Subsahara-Afrika, anderes Gesundheitssystem, Frage aber systemunabhängig</w:t>
      </w:r>
    </w:p>
    <w:p>
      <w:r>
        <w:rPr>
          <w:color w:val="5A7D3A"/>
          <w:sz w:val="18"/>
        </w:rPr>
        <w:t>https://pubmed.ncbi.nlm.nih.gov/42908021/</w:t>
      </w:r>
    </w:p>
    <w:p>
      <w:pPr>
        <w:pStyle w:val="Heading2"/>
      </w:pPr>
      <w:r>
        <w:t>Apothekengestützte Kontinenzversorgung (PRIME): Co-Production-Studie</w:t>
      </w:r>
    </w:p>
    <w:p>
      <w:r>
        <w:rPr>
          <w:i/>
          <w:color w:val="666666"/>
          <w:sz w:val="18"/>
        </w:rPr>
        <w:t>Cotterill N et al.  ·  BMC Health Serv Res  ·  24.07.2026  ·  PMID 42907888</w:t>
      </w:r>
    </w:p>
    <w:p>
      <w:r>
        <w:t>UK-Online-Umfrage mit 29 Apothekern und zwei Workshops mit 16 Stakeholdern (Apotheker, Fachkräfte, Patienten, Kommissare) zur Entwicklung einer Servicespezifikation für Blasen- und Darmgesundheit.</w:t>
      </w:r>
    </w:p>
    <w:p>
      <w:r>
        <w:rPr>
          <w:b/>
        </w:rPr>
        <w:t xml:space="preserve">Ergebnis: </w:t>
      </w:r>
      <w:r>
        <w:t>Umfrage: Apotheken bieten einige Lebensstiländerungsberatung an, substanzielles Ausbaupotenzial erkannt. Workshops entwickelten dreistufige PBBS-Servicespezifikation: Tier 1 (Aufklärung, Signposting), Tier 2 (Bewertung, Selbsthilferatschläge), Tier 3 (spezialisierte Behandlung). Kritische Anforderungen: Informationsaustausch, Schulung, Vergütung.</w:t>
      </w:r>
    </w:p>
    <w:p>
      <w:r>
        <w:rPr>
          <w:b/>
          <w:sz w:val="19"/>
        </w:rPr>
        <w:t xml:space="preserve">Übertragbarkeit: </w:t>
      </w:r>
      <w:r>
        <w:rPr>
          <w:sz w:val="19"/>
        </w:rPr>
        <w:t>UK-Studie, aber Apotheken-Versorgungsforschung auf Primärversorgung übertragbar</w:t>
      </w:r>
    </w:p>
    <w:p>
      <w:r>
        <w:rPr>
          <w:color w:val="5A7D3A"/>
          <w:sz w:val="18"/>
        </w:rPr>
        <w:t>https://pubmed.ncbi.nlm.nih.gov/42907888/</w:t>
      </w:r>
    </w:p>
    <w:p>
      <w:pPr>
        <w:pStyle w:val="Heading2"/>
      </w:pPr>
      <w:r>
        <w:t>Rolle von Gemeindegesundheitshelfern in Delhi: qualitative Erfahrungen</w:t>
      </w:r>
    </w:p>
    <w:p>
      <w:r>
        <w:rPr>
          <w:i/>
          <w:color w:val="666666"/>
          <w:sz w:val="18"/>
        </w:rPr>
        <w:t>Steenbeek A et al.  ·  BMC Health Serv Res  ·  27.07.2026  ·  PMID 42907877</w:t>
      </w:r>
    </w:p>
    <w:p>
      <w:r>
        <w:t>Qualitative Deskriptivanalyse mit 12 Gemeindegesundheitshelfern, 5 Gemeindemitgliedern und 4 Gemeindeleitern in Delhi während und nach COVID-19 (März–Mai 2025).</w:t>
      </w:r>
    </w:p>
    <w:p>
      <w:r>
        <w:rPr>
          <w:b/>
        </w:rPr>
        <w:t xml:space="preserve">Ergebnis: </w:t>
      </w:r>
      <w:r>
        <w:t>Drei Kategorien aus Angebots-Sicht: Vertrauen und Respekt, professionelle Werte, Normen/Kultur/Familie. Eine Kategorie aus Nachfrage-Sicht: Gemeinschaftsbedarf. COVID-19-Auswirkungen und Bedenken zur Versorgungsqualität über alle Domänen evident. Wichtigste Befunde: Notwendigkeit von Forschung zu soziokulturellen Einflüssen, Anreiz-Nachhaltigkeit und digitalen Technologien.</w:t>
      </w:r>
    </w:p>
    <w:p>
      <w:r>
        <w:rPr>
          <w:b/>
          <w:sz w:val="19"/>
        </w:rPr>
        <w:t xml:space="preserve">Übertragbarkeit: </w:t>
      </w:r>
      <w:r>
        <w:rPr>
          <w:sz w:val="19"/>
        </w:rPr>
        <w:t>Indien; qualitative Einsichten zu CHW-Rollen aber teilweise übertragbar</w:t>
      </w:r>
    </w:p>
    <w:p>
      <w:r>
        <w:rPr>
          <w:color w:val="5A7D3A"/>
          <w:sz w:val="18"/>
        </w:rPr>
        <w:t>https://pubmed.ncbi.nlm.nih.gov/42907877/</w:t>
      </w:r>
    </w:p>
    <w:p>
      <w:pPr>
        <w:pStyle w:val="Heading2"/>
      </w:pPr>
      <w:r>
        <w:t>Patientenreisen bei Kindern mit Chronischerkrankungen in Deutschland</w:t>
      </w:r>
    </w:p>
    <w:p>
      <w:r>
        <w:rPr>
          <w:i/>
          <w:color w:val="666666"/>
          <w:sz w:val="18"/>
        </w:rPr>
        <w:t>Herr CJ et al.  ·  Eur J Pediatr  ·  22.10.2026  ·  PMID 42907562</w:t>
      </w:r>
    </w:p>
    <w:p>
      <w:r>
        <w:t>Qualitative Studie mit 22 Fachkräften (7 Ärzte, 8 Therapeuten, 7 Sozialarbeiter) zur Erkundung von Perspektiven auf Versorgungspfade von Kindern mit chronischen Erkrankungen.</w:t>
      </w:r>
    </w:p>
    <w:p>
      <w:r>
        <w:rPr>
          <w:b/>
        </w:rPr>
        <w:t xml:space="preserve">Ergebnis: </w:t>
      </w:r>
      <w:r>
        <w:t>Fünf Themen identifiziert: Versorgung wird als fragmentiert, schwer navigierbar und schlecht koordiniert wahrgenommen. Hauptbarrieren: lange Wartezeiten, unkare Versorgungspfade, begrenzte interprofessionelle Kommunikation. Besondere Schwierigkeiten bei sozioökonomischen Benachteiligungen und Sprachbarrieren. Empfehlung: bessere Systemkoordination und Erreichbarkeit.</w:t>
      </w:r>
    </w:p>
    <w:p>
      <w:r>
        <w:rPr>
          <w:b/>
          <w:sz w:val="19"/>
        </w:rPr>
        <w:t xml:space="preserve">Übertragbarkeit: </w:t>
      </w:r>
      <w:r>
        <w:rPr>
          <w:sz w:val="19"/>
        </w:rPr>
        <w:t>Deutsche Studie mit deutschen Daten und System</w:t>
      </w:r>
    </w:p>
    <w:p>
      <w:r>
        <w:rPr>
          <w:color w:val="5A7D3A"/>
          <w:sz w:val="18"/>
        </w:rPr>
        <w:t>https://pubmed.ncbi.nlm.nih.gov/42907562/</w:t>
      </w:r>
    </w:p>
    <w:p>
      <w:pPr>
        <w:pStyle w:val="Heading1"/>
      </w:pPr>
      <w:r>
        <w:t>Aufgenommen am 23.10.2026</w:t>
      </w:r>
    </w:p>
    <w:p>
      <w:pPr>
        <w:pStyle w:val="Heading2"/>
      </w:pPr>
      <w:r>
        <w:t>Arbeitszeit, Karriere und Zufriedenheit: Ärzte in Deutschland</w:t>
      </w:r>
    </w:p>
    <w:p>
      <w:r>
        <w:rPr>
          <w:i/>
          <w:color w:val="666666"/>
          <w:sz w:val="18"/>
        </w:rPr>
        <w:t>Carolina V et al.  ·  BMC Health Serv Res  ·  21.10.2026  ·  PMID 42908019</w:t>
      </w:r>
    </w:p>
    <w:p>
      <w:r>
        <w:t>Befragung von 898 deutschen Ärzten zu Arbeitszeitmodellen, Karrierechancen und Work-Life-Balance.</w:t>
      </w:r>
    </w:p>
    <w:p>
      <w:r>
        <w:rPr>
          <w:b/>
        </w:rPr>
        <w:t xml:space="preserve">Ergebnis: </w:t>
      </w:r>
      <w:r>
        <w:t>56,8% arbeiteten Vollzeit, 52,8% der Teilzeitbeschäftigten waren zufriedener als 45,3% der Vollzeitbeschäftigten (p = 0,020). Klinikärzte hatten geringere Chancen auf Arbeitszeitzufriedenheit (aOR 0,33), Arbeitgeberunterstützung (aOR 0,24) und gleiche Karrierechancen (aOR 0,31); 58,2% fürchteten negative Karrierefolgen bei Stundenreduktion.</w:t>
      </w:r>
    </w:p>
    <w:p>
      <w:r>
        <w:rPr>
          <w:b/>
          <w:sz w:val="19"/>
        </w:rPr>
        <w:t xml:space="preserve">Übertragbarkeit: </w:t>
      </w:r>
      <w:r>
        <w:rPr>
          <w:sz w:val="19"/>
        </w:rPr>
        <w:t>Deutsche Routinedaten, Ärzte aus allen Fachgruppen und Karrierestufen</w:t>
      </w:r>
    </w:p>
    <w:p>
      <w:r>
        <w:rPr>
          <w:color w:val="5A7D3A"/>
          <w:sz w:val="18"/>
        </w:rPr>
        <w:t>https://pubmed.ncbi.nlm.nih.gov/42908019/</w:t>
      </w:r>
    </w:p>
    <w:p>
      <w:pPr>
        <w:pStyle w:val="Heading2"/>
      </w:pPr>
      <w:r>
        <w:t>Patientenfeedback zur Geburtshilfe: partizipativ entwickeltes Instrument</w:t>
      </w:r>
    </w:p>
    <w:p>
      <w:r>
        <w:rPr>
          <w:i/>
          <w:color w:val="666666"/>
          <w:sz w:val="18"/>
        </w:rPr>
        <w:t>Gondwe MJ et al.  ·  BMC Health Serv Res  ·  24.07.2026  ·  PMID 42908016</w:t>
      </w:r>
    </w:p>
    <w:p>
      <w:r>
        <w:t>Partizipative Co-Design-Studie zur Entwicklung eines Feedback-Tools für Geburtshilfeleistungen mit Stakeholdern in Malawi.</w:t>
      </w:r>
    </w:p>
    <w:p>
      <w:r>
        <w:rPr>
          <w:b/>
        </w:rPr>
        <w:t xml:space="preserve">Ergebnis: </w:t>
      </w:r>
      <w:r>
        <w:t>87 Stakeholder in zwei Workshops erarbeiteten 7 Prioritätsbereiche und 27-32 Indikatoren für ante-, intra- und postpartale Versorgung. Durch iterative Konsensfindung aus ~300 Empfehlungen entstanden: respektvolle Versorgung, Kommunikation/Gesundheitserziehung, emotionale Unterstützung, Zugang und Kontinuität der Versorgung.</w:t>
      </w:r>
    </w:p>
    <w:p>
      <w:r>
        <w:rPr>
          <w:b/>
          <w:sz w:val="19"/>
        </w:rPr>
        <w:t xml:space="preserve">Übertragbarkeit: </w:t>
      </w:r>
      <w:r>
        <w:rPr>
          <w:sz w:val="19"/>
        </w:rPr>
        <w:t>Qualitative Partizipationsstudie, systemunabhängig zur Qualitätssicherung</w:t>
      </w:r>
    </w:p>
    <w:p>
      <w:r>
        <w:rPr>
          <w:color w:val="5A7D3A"/>
          <w:sz w:val="18"/>
        </w:rPr>
        <w:t>https://pubmed.ncbi.nlm.nih.gov/42908016/</w:t>
      </w:r>
    </w:p>
    <w:p>
      <w:pPr>
        <w:pStyle w:val="Heading2"/>
      </w:pPr>
      <w:r>
        <w:t>Shared Decision Making in der Behandlung von Morbus Crohn und Colitis</w:t>
      </w:r>
    </w:p>
    <w:p>
      <w:r>
        <w:rPr>
          <w:i/>
          <w:color w:val="666666"/>
          <w:sz w:val="18"/>
        </w:rPr>
        <w:t>Schoefs E et al.  ·  BMC Health Serv Res  ·  05.10.2026  ·  PMID 42907825</w:t>
      </w:r>
    </w:p>
    <w:p>
      <w:r>
        <w:t>Qualitative Befragung von 15 IBD-Patienten, 11 Gastroenterologen und 12 IBD-Krankenschwestern in Belgien zu Implementierung von Shared Decision Making.</w:t>
      </w:r>
    </w:p>
    <w:p>
      <w:r>
        <w:rPr>
          <w:b/>
        </w:rPr>
        <w:t xml:space="preserve">Ergebnis: </w:t>
      </w:r>
      <w:r>
        <w:t>Gastroenterologen berichten routinemäßige SDM-Integration, Patienten beschreiben Inkonsistenzen, besonders bei emotionaler Unterstützung und Präferenzenfeststellung. IBD-Krankenschwestern als wesentliche Partner identifiziert. Hauptbarrieren: niedrige Gesundheitskompetenz, schlechte Kommunikation, Zeitmangel. Schlüsselfaktoren: SDM-Schulung und Organisationsveränderungen.</w:t>
      </w:r>
    </w:p>
    <w:p>
      <w:r>
        <w:rPr>
          <w:b/>
          <w:sz w:val="19"/>
        </w:rPr>
        <w:t xml:space="preserve">Übertragbarkeit: </w:t>
      </w:r>
      <w:r>
        <w:rPr>
          <w:sz w:val="19"/>
        </w:rPr>
        <w:t>Belgien, vergleichbares Sozialversicherungssystem (Niederlande, Schweiz)</w:t>
      </w:r>
    </w:p>
    <w:p>
      <w:r>
        <w:rPr>
          <w:color w:val="5A7D3A"/>
          <w:sz w:val="18"/>
        </w:rPr>
        <w:t>https://pubmed.ncbi.nlm.nih.gov/42907825/</w:t>
      </w:r>
    </w:p>
    <w:p>
      <w:pPr>
        <w:pStyle w:val="Heading2"/>
      </w:pPr>
      <w:r>
        <w:t>Personalfluktuation in Gesundheitsbehörden: Einflussfaktoren</w:t>
      </w:r>
    </w:p>
    <w:p>
      <w:r>
        <w:rPr>
          <w:i/>
          <w:color w:val="666666"/>
          <w:sz w:val="18"/>
        </w:rPr>
        <w:t>Mohammed FZ et al.  ·  BMC Health Serv Res  ·  25.07.2026  ·  PMID 42907823</w:t>
      </w:r>
    </w:p>
    <w:p>
      <w:r>
        <w:t>Cross-sectional-Studie zu Kündigungsabsichten bei 418 Mitarbeitern regionaler und städtischer Gesundheitsbehörden in Äthiopien.</w:t>
      </w:r>
    </w:p>
    <w:p>
      <w:r>
        <w:rPr>
          <w:b/>
        </w:rPr>
        <w:t xml:space="preserve">Ergebnis: </w:t>
      </w:r>
      <w:r>
        <w:t>55,5% hatten Kündigungsabsicht. Assoziiert: &lt;2 Familienmitglieder (AOR 6,077), Arbeit außerhalb Familienresidenz (AOR 3,241), Trennung von Ehepartner/Kindern (AOR 2,040), Unzufriedenheit mit Gehalt (AOR 7,021) oder Organisation (AOR 2,705). Protektiver Faktor: unzureichende Schulinfrastruktur (AOR 0,411).</w:t>
      </w:r>
    </w:p>
    <w:p>
      <w:r>
        <w:rPr>
          <w:b/>
          <w:sz w:val="19"/>
        </w:rPr>
        <w:t xml:space="preserve">Übertragbarkeit: </w:t>
      </w:r>
      <w:r>
        <w:rPr>
          <w:sz w:val="19"/>
        </w:rPr>
        <w:t>Äthiopien, aber Fragestellung zu Personalmanagement systemunabhängig relevant</w:t>
      </w:r>
    </w:p>
    <w:p>
      <w:r>
        <w:rPr>
          <w:color w:val="5A7D3A"/>
          <w:sz w:val="18"/>
        </w:rPr>
        <w:t>https://pubmed.ncbi.nlm.nih.gov/42907823/</w:t>
      </w:r>
    </w:p>
    <w:p>
      <w:pPr>
        <w:pStyle w:val="Heading2"/>
      </w:pPr>
      <w:r>
        <w:t>Schmerzbehandlung und Angstabbau bei Kindern in der Notaufnahme</w:t>
      </w:r>
    </w:p>
    <w:p>
      <w:r>
        <w:rPr>
          <w:i/>
          <w:color w:val="666666"/>
          <w:sz w:val="18"/>
        </w:rPr>
        <w:t>Kappel RKK et al.  ·  Dan Med J  ·  24.09.2026  ·  PMID 42902749</w:t>
      </w:r>
    </w:p>
    <w:p>
      <w:r>
        <w:t>Prospektive Studie zur Schmerzlinderung bei 184 verletzten Kindern in dänischer Notaufnahme.</w:t>
      </w:r>
    </w:p>
    <w:p>
      <w:r>
        <w:rPr>
          <w:b/>
        </w:rPr>
        <w:t xml:space="preserve">Ergebnis: </w:t>
      </w:r>
      <w:r>
        <w:t>50% (92/184; 95% KI 43-57%) erhielten adequate Schmerzlinderung. Nicht-pharmakologische Maßnahmen selten eingesetzt (57% ≤5 Jahre, 97% &gt;5 Jahre). Pädiatrischer Anästhesist-Konsultation in nur 1,7% (n=3) genutzt. Unerwünschte Arzneimittelwirkungen bei 16,2% (6/37 medikamentös behandelt).</w:t>
      </w:r>
    </w:p>
    <w:p>
      <w:r>
        <w:rPr>
          <w:b/>
          <w:sz w:val="19"/>
        </w:rPr>
        <w:t xml:space="preserve">Übertragbarkeit: </w:t>
      </w:r>
      <w:r>
        <w:rPr>
          <w:sz w:val="19"/>
        </w:rPr>
        <w:t>Dänemark, Nordeuropa, steuerfinanziert, aber Fragestellung zu Patientensicherheit systemunabhängig</w:t>
      </w:r>
    </w:p>
    <w:p>
      <w:r>
        <w:rPr>
          <w:color w:val="5A7D3A"/>
          <w:sz w:val="18"/>
        </w:rPr>
        <w:t>https://pubmed.ncbi.nlm.nih.gov/42902749/</w:t>
      </w:r>
    </w:p>
    <w:p>
      <w:pPr>
        <w:pStyle w:val="Heading2"/>
      </w:pPr>
      <w:r>
        <w:t>Krebsversorgung in Deutschland: Inzidenz und Inanspruchnahme 2003-2016</w:t>
      </w:r>
    </w:p>
    <w:p>
      <w:r>
        <w:rPr>
          <w:i/>
          <w:color w:val="666666"/>
          <w:sz w:val="18"/>
        </w:rPr>
        <w:t>Nowossadeck E et al.  ·  BMC Health Serv Res  ·  14.10.2026  ·  PMID 42902261</w:t>
      </w:r>
    </w:p>
    <w:p>
      <w:r>
        <w:t>Analyse von deutschen Krebsregisterdaten und Versorgungsstatistiken zu Hospitalisierung und Rehabilitation (2003-2016).</w:t>
      </w:r>
    </w:p>
    <w:p>
      <w:r>
        <w:rPr>
          <w:b/>
        </w:rPr>
        <w:t xml:space="preserve">Ergebnis: </w:t>
      </w:r>
      <w:r>
        <w:t>Krebsinzidenz 2003-2016: +9,6% Frauen, +7,0% Männer. Stationäre Fälle: -0,4% Frauen, +4,5% Männer. 2016: 2,46 stationäre Fälle pro Krebsneufall (Frauen), 2,72 (Männer). Rehabilitation pro 100 1-Jahr-Überlebende: Frauen 2003-2016 von 59,2 auf 57,2 gesunken, Männer von 50,8 auf 46,9.</w:t>
      </w:r>
    </w:p>
    <w:p>
      <w:r>
        <w:rPr>
          <w:b/>
          <w:sz w:val="19"/>
        </w:rPr>
        <w:t xml:space="preserve">Übertragbarkeit: </w:t>
      </w:r>
      <w:r>
        <w:rPr>
          <w:sz w:val="19"/>
        </w:rPr>
        <w:t>Deutsche Routinedaten, Krebsregister und statistische Bundesämter</w:t>
      </w:r>
    </w:p>
    <w:p>
      <w:r>
        <w:rPr>
          <w:color w:val="5A7D3A"/>
          <w:sz w:val="18"/>
        </w:rPr>
        <w:t>https://pubmed.ncbi.nlm.nih.gov/42902261/</w:t>
      </w:r>
    </w:p>
    <w:p>
      <w:pPr>
        <w:pStyle w:val="Heading1"/>
      </w:pPr>
      <w:r>
        <w:t>Aufgenommen am 22.10.2026</w:t>
      </w:r>
    </w:p>
    <w:p>
      <w:pPr>
        <w:pStyle w:val="Heading2"/>
      </w:pPr>
      <w:r>
        <w:t>Sicherheit und Umsetzung eines regionalen Hospital-at-Home-Modells in Dänemark</w:t>
      </w:r>
    </w:p>
    <w:p>
      <w:r>
        <w:rPr>
          <w:i/>
          <w:color w:val="666666"/>
          <w:sz w:val="18"/>
        </w:rPr>
        <w:t>Hägi-Pedersen MB et al.  ·  BMC Health Serv Res  ·  24.07.2026  ·  PMID 42902350</w:t>
      </w:r>
    </w:p>
    <w:p>
      <w:r>
        <w:t>Retrospektive Beobachtungsstudie zur Implementierung und Sicherheit eines regionalen Hospital-at-Home-Dienstes mit 2.511 Patienten in Dänemark 2022–2024.</w:t>
      </w:r>
    </w:p>
    <w:p>
      <w:r>
        <w:rPr>
          <w:b/>
        </w:rPr>
        <w:t xml:space="preserve">Ergebnis: </w:t>
      </w:r>
      <w:r>
        <w:t>Medianer stationärer Aufenthalt stieg von 5,1 auf 7,3 Tage; ungeplante Krankenhausaufenthalte blieben stabil (27,0–31,1%), 30-Tage-Wiederaufnahmequoten sanken von 11,0% auf 7,0%, 30-Tage-Überlebensrate konsistent hoch (91,6–92,4%). Infektionskrankheiten häufigste Diagnose (43–47%).</w:t>
      </w:r>
    </w:p>
    <w:p>
      <w:r>
        <w:rPr>
          <w:b/>
          <w:sz w:val="19"/>
        </w:rPr>
        <w:t xml:space="preserve">Übertragbarkeit: </w:t>
      </w:r>
      <w:r>
        <w:rPr>
          <w:sz w:val="19"/>
        </w:rPr>
        <w:t>Dänemark, vergleichbares steuerfinanziertes Gesundheitssystem mit ähnlicher Primärversorgungsstruktur</w:t>
      </w:r>
    </w:p>
    <w:p>
      <w:r>
        <w:rPr>
          <w:color w:val="5A7D3A"/>
          <w:sz w:val="18"/>
        </w:rPr>
        <w:t>https://pubmed.ncbi.nlm.nih.gov/42902350/</w:t>
      </w:r>
    </w:p>
    <w:p>
      <w:pPr>
        <w:pStyle w:val="Heading2"/>
      </w:pPr>
      <w:r>
        <w:t>Fluktuation im Gesundheitspersonal: Rolle von Konflikten und Burnout in China</w:t>
      </w:r>
    </w:p>
    <w:p>
      <w:r>
        <w:rPr>
          <w:i/>
          <w:color w:val="666666"/>
          <w:sz w:val="18"/>
        </w:rPr>
        <w:t>Qi Z et al.  ·  BMC Health Serv Res  ·  25.09.2026  ·  PMID 42902343</w:t>
      </w:r>
    </w:p>
    <w:p>
      <w:r>
        <w:t>Querschnittsstudie mit 1.570 Ärztinnen und medizinischen Fachkräften zur Assoziation von Konflikten und Burnout mit Kündigungsabsicht.</w:t>
      </w:r>
    </w:p>
    <w:p>
      <w:r>
        <w:rPr>
          <w:b/>
        </w:rPr>
        <w:t xml:space="preserve">Ergebnis: </w:t>
      </w:r>
      <w:r>
        <w:t>24,8% der Teilnehmenden berichten Kündigungsabsicht. Nach Anpassung: Konflikte (OR 1,68; 95% KI 1,17–2,43) und höheres Burnout (OR 1,10; 1,07–1,13) assoziiert mit höherer Kündigungsabsicht; bessere Servicequalität (OR 0,97; 0,95–0,99) mit niedrigerer Kündigungsabsicht.</w:t>
      </w:r>
    </w:p>
    <w:p>
      <w:r>
        <w:rPr>
          <w:b/>
          <w:sz w:val="19"/>
        </w:rPr>
        <w:t xml:space="preserve">Übertragbarkeit: </w:t>
      </w:r>
      <w:r>
        <w:rPr>
          <w:sz w:val="19"/>
        </w:rPr>
        <w:t>China, Systemunabhängige Fragestellung zu Arbeitszufriedenheit und Personalverlust relevant</w:t>
      </w:r>
    </w:p>
    <w:p>
      <w:r>
        <w:rPr>
          <w:color w:val="5A7D3A"/>
          <w:sz w:val="18"/>
        </w:rPr>
        <w:t>https://pubmed.ncbi.nlm.nih.gov/42902343/</w:t>
      </w:r>
    </w:p>
    <w:p>
      <w:pPr>
        <w:pStyle w:val="Heading2"/>
      </w:pPr>
      <w:r>
        <w:t>Inanspruchnahme und Barrieren traditioneller chinesischer Medizin bei älteren Erwachsenen</w:t>
      </w:r>
    </w:p>
    <w:p>
      <w:r>
        <w:rPr>
          <w:i/>
          <w:color w:val="666666"/>
          <w:sz w:val="18"/>
        </w:rPr>
        <w:t>Yue Y et al.  ·  BMC Health Serv Res  ·  26.09.2026  ·  PMID 42902286</w:t>
      </w:r>
    </w:p>
    <w:p>
      <w:r>
        <w:t>Mixed-Methods-Studie mit 1.195 älteren Erwachsenen (Querschnitt) und 11 Interviews mit Fachkräften zur TCM-Nutzung und Umsetzungsbarrieren.</w:t>
      </w:r>
    </w:p>
    <w:p>
      <w:r>
        <w:rPr>
          <w:b/>
        </w:rPr>
        <w:t xml:space="preserve">Ergebnis: </w:t>
      </w:r>
      <w:r>
        <w:t>61,0% der Älteren (n=729) nutzten TCM-Dienste; Nutzung assoziiert mit höherer Bildung, höherem Einkommen, mehr chronischen Erkrankungen; ohne Krankenversicherung: aOR 0,30 (0,11–0,77). Provider berichten Barrieren: Politikdefizite, Personalknappheit, Ressourcenlimits, geringe Akzeptanz in der Gemeinschaft.</w:t>
      </w:r>
    </w:p>
    <w:p>
      <w:r>
        <w:rPr>
          <w:b/>
          <w:sz w:val="19"/>
        </w:rPr>
        <w:t xml:space="preserve">Übertragbarkeit: </w:t>
      </w:r>
      <w:r>
        <w:rPr>
          <w:sz w:val="19"/>
        </w:rPr>
        <w:t>China, Primärversorgung; systemspezifisch aber Fragestellung zu Versorgungszugang bei älteren Menschen relevant</w:t>
      </w:r>
    </w:p>
    <w:p>
      <w:r>
        <w:rPr>
          <w:color w:val="5A7D3A"/>
          <w:sz w:val="18"/>
        </w:rPr>
        <w:t>https://pubmed.ncbi.nlm.nih.gov/42902286/</w:t>
      </w:r>
    </w:p>
    <w:p>
      <w:pPr>
        <w:pStyle w:val="Heading2"/>
      </w:pPr>
      <w:r>
        <w:t>Systemische Determinanten der Effektivität von Diabetesversorgung im iranischen Primärsektor</w:t>
      </w:r>
    </w:p>
    <w:p>
      <w:r>
        <w:rPr>
          <w:i/>
          <w:color w:val="666666"/>
          <w:sz w:val="18"/>
        </w:rPr>
        <w:t>Ehteshami F et al.  ·  BMC Health Serv Res  ·  24.07.2026  ·  PMID 42902281</w:t>
      </w:r>
    </w:p>
    <w:p>
      <w:r>
        <w:t>Qualitative Analyse mit 29 Teilnehmern (14 Fachkräfte, 15 Patienten) in Isfahan zur Identifikation von Barrieren und Enabler in der ambulanten Diabetesversorgung.</w:t>
      </w:r>
    </w:p>
    <w:p>
      <w:r>
        <w:rPr>
          <w:b/>
        </w:rPr>
        <w:t xml:space="preserve">Ergebnis: </w:t>
      </w:r>
      <w:r>
        <w:t>Kernbefunde: Vier Versorgungskapazitäten (integriert, zugänglich, teambasiert, kontinuierlich) mit jeweiligen Facilitatoren und Barrieren. Wichtigste Enabler: Leitlinien (IraPEN), IT-Systeme (SIB), Versorgungsabdeckung; Hauptbarrieren: fragmentierte Versorgung, schlechte Koordination zwischen Leistungserbringern, Personalknappheit, Zeitdruck.</w:t>
      </w:r>
    </w:p>
    <w:p>
      <w:r>
        <w:rPr>
          <w:b/>
          <w:sz w:val="19"/>
        </w:rPr>
        <w:t xml:space="preserve">Übertragbarkeit: </w:t>
      </w:r>
      <w:r>
        <w:rPr>
          <w:sz w:val="19"/>
        </w:rPr>
        <w:t>Iran, Sozialversicherungssystem ähnlich deutschem, Primärversorgungskontext vergleichbar</w:t>
      </w:r>
    </w:p>
    <w:p>
      <w:r>
        <w:rPr>
          <w:color w:val="5A7D3A"/>
          <w:sz w:val="18"/>
        </w:rPr>
        <w:t>https://pubmed.ncbi.nlm.nih.gov/42902281/</w:t>
      </w:r>
    </w:p>
    <w:p>
      <w:pPr>
        <w:pStyle w:val="Heading2"/>
      </w:pPr>
      <w:r>
        <w:t>Forschungsbeteiligung von Selbsthilfegruppen seltener Erkrankungen in Polen</w:t>
      </w:r>
    </w:p>
    <w:p>
      <w:r>
        <w:rPr>
          <w:i/>
          <w:color w:val="666666"/>
          <w:sz w:val="18"/>
        </w:rPr>
        <w:t>Domaradzki J et al.  ·  BMC Health Serv Res  ·  22.07.2026  ·  PMID 42897645</w:t>
      </w:r>
    </w:p>
    <w:p>
      <w:r>
        <w:t>Querschnittsstudie mit 64 polnischen Patientenverbänden zu deren Engagement in Forschung und Intersektoralen Kollaborationen.</w:t>
      </w:r>
    </w:p>
    <w:p>
      <w:r>
        <w:rPr>
          <w:b/>
        </w:rPr>
        <w:t xml:space="preserve">Ergebnis: </w:t>
      </w:r>
      <w:r>
        <w:t>Die meisten Verbände berichten gelegentliche Forschungsbeteiligung, aber heterogen und begrenzt. Schwerpunkt: nichtklische Forschung (sozial, Register, Dissemination). Klinische und translationale Forschung seltener, meist unterstützend. Hauptbarrieren: Finanzierungslücken (erwähnt), begrenzte Ressourcen, eingeschränkter Einfluss auf Forschungsprozesse. Modell: eingeschränkte Co-Produktion.</w:t>
      </w:r>
    </w:p>
    <w:p>
      <w:r>
        <w:rPr>
          <w:b/>
          <w:sz w:val="19"/>
        </w:rPr>
        <w:t xml:space="preserve">Übertragbarkeit: </w:t>
      </w:r>
      <w:r>
        <w:rPr>
          <w:sz w:val="19"/>
        </w:rPr>
        <w:t>Polen, Zentraleuropa; Gesundheitssystemkontext und Forschungsbeteiligung teilweise übertragbar</w:t>
      </w:r>
    </w:p>
    <w:p>
      <w:r>
        <w:rPr>
          <w:color w:val="5A7D3A"/>
          <w:sz w:val="18"/>
        </w:rPr>
        <w:t>https://pubmed.ncbi.nlm.nih.gov/42897645/</w:t>
      </w:r>
    </w:p>
    <w:p>
      <w:pPr>
        <w:pStyle w:val="Heading2"/>
      </w:pPr>
      <w:r>
        <w:t>Wahrnehmungen von Patienten und Angehörigen zu Sauerstofftherapie in Uganda</w:t>
      </w:r>
    </w:p>
    <w:p>
      <w:r>
        <w:rPr>
          <w:i/>
          <w:color w:val="666666"/>
          <w:sz w:val="18"/>
        </w:rPr>
        <w:t>Mutesi JS et al.  ·  BMC Health Serv Res  ·  22.07.2026  ·  PMID 42897540</w:t>
      </w:r>
    </w:p>
    <w:p>
      <w:r>
        <w:t>Qualitative Studie mit 46 Interviews (16 Patienten, 30 Angehörige) zu Wahrnehmungen und psychosozialen Barrieren gegenüber Sauerstofftherapie.</w:t>
      </w:r>
    </w:p>
    <w:p>
      <w:r>
        <w:rPr>
          <w:b/>
        </w:rPr>
        <w:t xml:space="preserve">Ergebnis: </w:t>
      </w:r>
      <w:r>
        <w:t>Kernbefunde: Sauerstoff wahrgenommen als lebensrettend, aber angstauslösend; oft als Symbol des bevorstehenden Todes interpretiert; spirituelle und emotionale Deutungen häufig (Angst, Besorgnis); Patienten und Angehörige berichten ähnliche Wahrnehmungen. Informationen stammen aus Schulen, Gemeinschaft, Krankenhaus, Internet.</w:t>
      </w:r>
    </w:p>
    <w:p>
      <w:r>
        <w:rPr>
          <w:b/>
          <w:sz w:val="19"/>
        </w:rPr>
        <w:t xml:space="preserve">Übertragbarkeit: </w:t>
      </w:r>
      <w:r>
        <w:rPr>
          <w:sz w:val="19"/>
        </w:rPr>
        <w:t>Uganda, Ressourcenlimitiertes Setting; Patientenperspektive und Barrieren bei Therapie-Adhärenz systemunabhängig relevant</w:t>
      </w:r>
    </w:p>
    <w:p>
      <w:r>
        <w:rPr>
          <w:color w:val="5A7D3A"/>
          <w:sz w:val="18"/>
        </w:rPr>
        <w:t>https://pubmed.ncbi.nlm.nih.gov/42897540/</w:t>
      </w:r>
    </w:p>
    <w:p>
      <w:pPr>
        <w:pStyle w:val="Heading1"/>
      </w:pPr>
      <w:r>
        <w:t>Aufgenommen am 21.10.2026</w:t>
      </w:r>
    </w:p>
    <w:p>
      <w:pPr>
        <w:pStyle w:val="Heading2"/>
      </w:pPr>
      <w:r>
        <w:t>Pestizidexposition und Gesundheitsfolgen: Kohortenstudie mit niederländischen Primärversorgungsdaten</w:t>
      </w:r>
    </w:p>
    <w:p>
      <w:r>
        <w:rPr>
          <w:i/>
          <w:color w:val="666666"/>
          <w:sz w:val="18"/>
        </w:rPr>
        <w:t>Steenhof T et al.  ·  BMJ Open  ·  20.10.2026  ·  PMID 42901572</w:t>
      </w:r>
    </w:p>
    <w:p>
      <w:r>
        <w:t>Niederländische Kohortenstudie untersucht Zusammenhang zwischen Wohnungsexposition gegenüber Pflanzenschutzmitteln und akuten sowie chronischen Gesundheitsergebnissen.</w:t>
      </w:r>
    </w:p>
    <w:p>
      <w:r>
        <w:rPr>
          <w:b/>
        </w:rPr>
        <w:t xml:space="preserve">Ergebnis: </w:t>
      </w:r>
      <w:r>
        <w:t>Studienprotokoll beschreibt geplante Nutzung von 3,7 Millionen Primärversorgungsdatensätzen aus NIVEL-Datenbank; keine Ergebnisse, aber systematische Methodik für Versorgungsforschung etabliert.</w:t>
      </w:r>
    </w:p>
    <w:p>
      <w:r>
        <w:rPr>
          <w:b/>
          <w:sz w:val="19"/>
        </w:rPr>
        <w:t xml:space="preserve">Übertragbarkeit: </w:t>
      </w:r>
      <w:r>
        <w:rPr>
          <w:sz w:val="19"/>
        </w:rPr>
        <w:t>Niederlande, Primärversorgungsdaten, hohes Übertragungspotenzial auf deutsches System</w:t>
      </w:r>
    </w:p>
    <w:p>
      <w:r>
        <w:rPr>
          <w:color w:val="5A7D3A"/>
          <w:sz w:val="18"/>
        </w:rPr>
        <w:t>https://pubmed.ncbi.nlm.nih.gov/42901572/</w:t>
      </w:r>
    </w:p>
    <w:p>
      <w:pPr>
        <w:pStyle w:val="Heading2"/>
      </w:pPr>
      <w:r>
        <w:t>Patientenbeteiligung an klinischer Dokumentation durch Kommentarfunktion in EHR</w:t>
      </w:r>
    </w:p>
    <w:p>
      <w:r>
        <w:rPr>
          <w:i/>
          <w:color w:val="666666"/>
          <w:sz w:val="18"/>
        </w:rPr>
        <w:t>Hagström J et al.  ·  J Med Internet Res  ·  20.10.2026  ·  PMID 42901489</w:t>
      </w:r>
    </w:p>
    <w:p>
      <w:r>
        <w:t>Schwedische Studie analysierte 1.655 Patientenkommentare in elektronischen Gesundheitsakten auf Nutzung, Inhalt und Sentiment.</w:t>
      </w:r>
    </w:p>
    <w:p>
      <w:r>
        <w:rPr>
          <w:b/>
        </w:rPr>
        <w:t xml:space="preserve">Ergebnis: </w:t>
      </w:r>
      <w:r>
        <w:t>57,3% der Kommentare bezogen sich nicht auf Noten selbst; 55,6% waren neutral, 42,4% negativ. Patienten mit psychischen Erkrankungen hinterließen mehr Kommentare (Median 7 vs. 2) mit höherem Negativanteil (63,2% vs. 33,5%, p&lt;0,001).</w:t>
      </w:r>
    </w:p>
    <w:p>
      <w:r>
        <w:rPr>
          <w:b/>
          <w:sz w:val="19"/>
        </w:rPr>
        <w:t xml:space="preserve">Übertragbarkeit: </w:t>
      </w:r>
      <w:r>
        <w:rPr>
          <w:sz w:val="19"/>
        </w:rPr>
        <w:t>Schweden, Sozialversicherungssystem; Fragestellung zu Patientenengagement systemunabhängig</w:t>
      </w:r>
    </w:p>
    <w:p>
      <w:r>
        <w:rPr>
          <w:color w:val="5A7D3A"/>
          <w:sz w:val="18"/>
        </w:rPr>
        <w:t>https://pubmed.ncbi.nlm.nih.gov/42901489/</w:t>
      </w:r>
    </w:p>
    <w:p>
      <w:pPr>
        <w:pStyle w:val="Heading2"/>
      </w:pPr>
      <w:r>
        <w:t>Kosten und Outcomes von Status epilepticus in Deutschland</w:t>
      </w:r>
    </w:p>
    <w:p>
      <w:r>
        <w:rPr>
          <w:i/>
          <w:color w:val="666666"/>
          <w:sz w:val="18"/>
        </w:rPr>
        <w:t>Jünemann C et al.  ·  Eur J Neurol  ·  Okt. 2026  ·  PMID 42899468</w:t>
      </w:r>
    </w:p>
    <w:p>
      <w:r>
        <w:t>Deutsche prospektive Populationsstudie analysierte 181 Patienten mit neu definiertem Status epilepticus bezüglich Verweildauer, Kosten und Einflussfaktoren.</w:t>
      </w:r>
    </w:p>
    <w:p>
      <w:r>
        <w:rPr>
          <w:b/>
        </w:rPr>
        <w:t xml:space="preserve">Ergebnis: </w:t>
      </w:r>
      <w:r>
        <w:t>Mittlere stationäre Kosten €10.543 (Median €6.376), Verweildauer 11 Tage (Median 9). Super-refraktärer Status: signifikant höhere Kosten und längere Verweildauer (p&lt;0,001). Mechanische Beatmung stärkster unabhängiger Kostenprädiktor (Exp(B)=2,918, p&lt;0,001).</w:t>
      </w:r>
    </w:p>
    <w:p>
      <w:r>
        <w:rPr>
          <w:b/>
          <w:sz w:val="19"/>
        </w:rPr>
        <w:t xml:space="preserve">Übertragbarkeit: </w:t>
      </w:r>
      <w:r>
        <w:rPr>
          <w:sz w:val="19"/>
        </w:rPr>
        <w:t>Deutsche Routinedaten, G-DRG-Kalkulation, direkt übertragbar auf hiesiges System</w:t>
      </w:r>
    </w:p>
    <w:p>
      <w:r>
        <w:rPr>
          <w:color w:val="5A7D3A"/>
          <w:sz w:val="18"/>
        </w:rPr>
        <w:t>https://pubmed.ncbi.nlm.nih.gov/42899468/</w:t>
      </w:r>
    </w:p>
    <w:p>
      <w:pPr>
        <w:pStyle w:val="Heading2"/>
      </w:pPr>
      <w:r>
        <w:t>Effekt von Langzeitpflegezugang auf Kurzeitpflege: Simulationsstudie</w:t>
      </w:r>
    </w:p>
    <w:p>
      <w:r>
        <w:rPr>
          <w:i/>
          <w:color w:val="666666"/>
          <w:sz w:val="18"/>
        </w:rPr>
        <w:t>Aydemir I et al.  ·  BMC Health Serv Res  ·  22.07.2026  ·  PMID 42897634</w:t>
      </w:r>
    </w:p>
    <w:p>
      <w:r>
        <w:t>Niederländische Diskrete-Ereignis-Simulationsstudie modelliert Effekte zentralisierter vs. dezentralisierter Aufnahmepolitik für Pflegebetten auf Wartezeiten und Inanspruchnahme.</w:t>
      </w:r>
    </w:p>
    <w:p>
      <w:r>
        <w:rPr>
          <w:b/>
        </w:rPr>
        <w:t xml:space="preserve">Ergebnis: </w:t>
      </w:r>
      <w:r>
        <w:t>Zentralisierte Aufnahmepolitik reduziert Wartezeiten von 336 auf 35 Tage und Kurzeitpflege-Aufnahmen von 45% auf 4,5%. Bei 90% regionaler Bettenauslastung maximal wirksam; Multiplier-Effekt bei erhöhtem Nicht-Langzeitpflege-Zustrom.</w:t>
      </w:r>
    </w:p>
    <w:p>
      <w:r>
        <w:rPr>
          <w:b/>
          <w:sz w:val="19"/>
        </w:rPr>
        <w:t xml:space="preserve">Übertragbarkeit: </w:t>
      </w:r>
      <w:r>
        <w:rPr>
          <w:sz w:val="19"/>
        </w:rPr>
        <w:t>Niederlande, Pflegesystem strukturell vergleichbar; Fragestellung zu Ressourcenallokation relevant</w:t>
      </w:r>
    </w:p>
    <w:p>
      <w:r>
        <w:rPr>
          <w:color w:val="5A7D3A"/>
          <w:sz w:val="18"/>
        </w:rPr>
        <w:t>https://pubmed.ncbi.nlm.nih.gov/42897634/</w:t>
      </w:r>
    </w:p>
    <w:p>
      <w:pPr>
        <w:pStyle w:val="Heading2"/>
      </w:pPr>
      <w:r>
        <w:t>Index für Integration von Palliativversorgung in Primärversorgung</w:t>
      </w:r>
    </w:p>
    <w:p>
      <w:r>
        <w:rPr>
          <w:i/>
          <w:color w:val="666666"/>
          <w:sz w:val="18"/>
        </w:rPr>
        <w:t>Muñoz Olivar C et al.  ·  BMC Health Serv Res  ·  23.07.2026  ·  PMID 42897626</w:t>
      </w:r>
    </w:p>
    <w:p>
      <w:r>
        <w:t>Kolumbianische Studie entwickelt und validiert Synthetic Index of Palliative Care Integration (SIPCI) zur Messung territorialer Integrationsmuster in 33 Departments.</w:t>
      </w:r>
    </w:p>
    <w:p>
      <w:r>
        <w:rPr>
          <w:b/>
        </w:rPr>
        <w:t xml:space="preserve">Ergebnis: </w:t>
      </w:r>
      <w:r>
        <w:t>SIPCI-Werte 0,04–0,71 (Mittelwert 0,38). 52% der Departments niedriges/mittleres, 48% mittleres-hohes/hohes Integrationsniveau. Starker geografischer Gradient; KMO=0,742, geringe Informationsverluste (NMSE=0,13).</w:t>
      </w:r>
    </w:p>
    <w:p>
      <w:r>
        <w:rPr>
          <w:b/>
          <w:sz w:val="19"/>
        </w:rPr>
        <w:t xml:space="preserve">Übertragbarkeit: </w:t>
      </w:r>
      <w:r>
        <w:rPr>
          <w:sz w:val="19"/>
        </w:rPr>
        <w:t>Kolumbien, aber SIPCI-Methodik auf europäische Systeme übertragbar; Fragestellung systemunabhängig</w:t>
      </w:r>
    </w:p>
    <w:p>
      <w:r>
        <w:rPr>
          <w:color w:val="5A7D3A"/>
          <w:sz w:val="18"/>
        </w:rPr>
        <w:t>https://pubmed.ncbi.nlm.nih.gov/42897626/</w:t>
      </w:r>
    </w:p>
    <w:p>
      <w:pPr>
        <w:pStyle w:val="Heading2"/>
      </w:pPr>
      <w:r>
        <w:t>Bedürfnisse von Patienten mit fortgeschrittener COPD und Angehörigen</w:t>
      </w:r>
    </w:p>
    <w:p>
      <w:r>
        <w:rPr>
          <w:i/>
          <w:color w:val="666666"/>
          <w:sz w:val="18"/>
        </w:rPr>
        <w:t>Schmidt-Stiedenroth K et al.  ·  BMC Pulm Med  ·  19.10.2026  ·  PMID 42897575</w:t>
      </w:r>
    </w:p>
    <w:p>
      <w:r>
        <w:t>Deutsche qualitative Multisicht-Studie mit 53 Interviews (Patienten, informelle und formale Pflegepersonen) zu Versorgungsbedürfnissen und Rolle von Palliativversorgung.</w:t>
      </w:r>
    </w:p>
    <w:p>
      <w:r>
        <w:rPr>
          <w:b/>
        </w:rPr>
        <w:t xml:space="preserve">Ergebnis: </w:t>
      </w:r>
      <w:r>
        <w:t>Sechs Bedarfsbereiche identifiziert: Dyspnoe-/Angstmanagement, Heimversorgung, Notfallplanung, psychosoziale Versorgung, organisatorische Unterstützung, Gesundheitsinformation. Patienten mit Palliativversorgung berichteten Linderung in den ersten fünf Bereichen.</w:t>
      </w:r>
    </w:p>
    <w:p>
      <w:r>
        <w:rPr>
          <w:b/>
          <w:sz w:val="19"/>
        </w:rPr>
        <w:t xml:space="preserve">Übertragbarkeit: </w:t>
      </w:r>
      <w:r>
        <w:rPr>
          <w:sz w:val="19"/>
        </w:rPr>
        <w:t>Deutschland, deutsche Primärdaten; direkt für hiesiges System relevant</w:t>
      </w:r>
    </w:p>
    <w:p>
      <w:r>
        <w:rPr>
          <w:color w:val="5A7D3A"/>
          <w:sz w:val="18"/>
        </w:rPr>
        <w:t>https://pubmed.ncbi.nlm.nih.gov/42897575/</w:t>
      </w:r>
    </w:p>
    <w:p>
      <w:pPr>
        <w:pStyle w:val="Heading1"/>
      </w:pPr>
      <w:r>
        <w:t>Aufgenommen am 20.10.2026</w:t>
      </w:r>
    </w:p>
    <w:p>
      <w:pPr>
        <w:pStyle w:val="Heading2"/>
      </w:pPr>
      <w:r>
        <w:t>Aussagekraft von Diabetes-Indikatoren: Verschreibungs- vs. Screeningdaten in Japan</w:t>
      </w:r>
    </w:p>
    <w:p>
      <w:r>
        <w:rPr>
          <w:i/>
          <w:color w:val="666666"/>
          <w:sz w:val="18"/>
        </w:rPr>
        <w:t>Saito H et al.  ·  Diabet Med  ·  19.10.2026  ·  PMID 42895806</w:t>
      </w:r>
    </w:p>
    <w:p>
      <w:r>
        <w:t>Querschnittsökologische Analyse japanischer Verwaltungsdaten zur Untersuchung, was zwei komplementäre Indikatorfamilien – Antidiabetika-Verordnungsmengen und HbA1c-Kontrollenindikatoren – über Diabeteslast tatsächlich abbilden.</w:t>
      </w:r>
    </w:p>
    <w:p>
      <w:r>
        <w:rPr>
          <w:b/>
        </w:rPr>
        <w:t xml:space="preserve">Ergebnis: </w:t>
      </w:r>
      <w:r>
        <w:t>Verordnungsmengen (Indikator A) korrelierte hauptsächlich mit Alter und Einkommen (finales Modell R² = 0,394); HbA1c-Hochwertraten (Indikator B) zeigten selektive ökologische Assoziation mit chronischer Dialysetherapie (β = 195,1 pro Prozentpunkt, p = 0,006, R² = 0,271). Beide Indikatorfamilien spiegeln nicht die tatsächliche Krankheitslast, sondern demografische Strukturen bzw. nachgelagerte Versorgungsnutzung wider.</w:t>
      </w:r>
    </w:p>
    <w:p>
      <w:r>
        <w:rPr>
          <w:b/>
          <w:sz w:val="19"/>
        </w:rPr>
        <w:t xml:space="preserve">Übertragbarkeit: </w:t>
      </w:r>
      <w:r>
        <w:rPr>
          <w:sz w:val="19"/>
        </w:rPr>
        <w:t>Japan, vergleichbar mit verweildauerintensiven Gesundheitssystemen; versorgungsrelevante Analyse von Verwaltungsindikatoren</w:t>
      </w:r>
    </w:p>
    <w:p>
      <w:r>
        <w:rPr>
          <w:color w:val="5A7D3A"/>
          <w:sz w:val="18"/>
        </w:rPr>
        <w:t>https://pubmed.ncbi.nlm.nih.gov/42895806/</w:t>
      </w:r>
    </w:p>
    <w:p>
      <w:pPr>
        <w:pStyle w:val="Heading2"/>
      </w:pPr>
      <w:r>
        <w:t>Gynäkologische Facharztausbildung: Urbanisierung und Folgen für ländliche Regionen</w:t>
      </w:r>
    </w:p>
    <w:p>
      <w:r>
        <w:rPr>
          <w:i/>
          <w:color w:val="666666"/>
          <w:sz w:val="18"/>
        </w:rPr>
        <w:t>Spencer R et al.  ·  J Rural Health  ·  Sept. 2026  ·  PMID 42895080</w:t>
      </w:r>
    </w:p>
    <w:p>
      <w:r>
        <w:t>Analyse der geografischen Verteilung von Gynäkologie-Weiterbildungsprogrammen in den USA und Vergleich von Merkmalen ländlicher Landkreise mit und ohne Weiterbildungsstandorte.</w:t>
      </w:r>
    </w:p>
    <w:p>
      <w:r>
        <w:rPr>
          <w:b/>
        </w:rPr>
        <w:t xml:space="preserve">Ergebnis: </w:t>
      </w:r>
      <w:r>
        <w:t>Nur 6,5 % der 294 Weiterbildungsprogramme boten ländliche Trainingsplätze an (2,4 % aller Standorte); ländliche Landkreise ohne Weiterbildungsstätte zeigten höhere Anteile unversicherter Personen unter 65 Jahren (11,5 % vs. 8,0 %, p &lt; 0,001), niedrigere Hausarztdichte (40,6 vs. 55,1 pro 100.000, p = 0,005) und höhere Health Professional Shortage Area-Quoten (69,0 % vs. 35,3 %, p &lt; 0,001).</w:t>
      </w:r>
    </w:p>
    <w:p>
      <w:r>
        <w:rPr>
          <w:b/>
          <w:sz w:val="19"/>
        </w:rPr>
        <w:t xml:space="preserve">Übertragbarkeit: </w:t>
      </w:r>
      <w:r>
        <w:rPr>
          <w:sz w:val="19"/>
        </w:rPr>
        <w:t>USA-Daten; Fragestellung zur Verfügbarkeit spezialisierter Ausbildung in unterversorgten Regionen systemunabhängig bedeutsam</w:t>
      </w:r>
    </w:p>
    <w:p>
      <w:r>
        <w:rPr>
          <w:color w:val="5A7D3A"/>
          <w:sz w:val="18"/>
        </w:rPr>
        <w:t>https://pubmed.ncbi.nlm.nih.gov/42895080/</w:t>
      </w:r>
    </w:p>
    <w:p>
      <w:pPr>
        <w:pStyle w:val="Heading2"/>
      </w:pPr>
      <w:r>
        <w:t>Kerndomänen und Messinstrumente für axiale Spondylarthritis in der Klinik</w:t>
      </w:r>
    </w:p>
    <w:p>
      <w:r>
        <w:rPr>
          <w:i/>
          <w:color w:val="666666"/>
          <w:sz w:val="18"/>
        </w:rPr>
        <w:t>Smits ML et al.  ·  EULAR Rheumatol Open  ·  07.10.2026  ·  PMID 42894661</w:t>
      </w:r>
    </w:p>
    <w:p>
      <w:r>
        <w:t>Delphi-Befragung mit Fachleuten, Nicht-Fachleuten und Patienten zur Identifizierung der wichtigsten Bewertungsdomänen und Instrumente für die klinische Praxis bei axialer Spondylarthritis.</w:t>
      </w:r>
    </w:p>
    <w:p>
      <w:r>
        <w:rPr>
          <w:b/>
        </w:rPr>
        <w:t xml:space="preserve">Ergebnis: </w:t>
      </w:r>
      <w:r>
        <w:t>Nach vier Delphi-Runden wurden 5 Domänen für Routinevisiten (Krankheitsaktivität, Schmerz, periphere Manifestationen, extra-muskuloskelettale Manifestationen, Therapieaspekte) und 4 ergänzende Domänen für erweiterte Visiten identifiziert; für jede Domäne mindestens ein empfohlenes Instrument ausgewählt. Beteiligung: 156 ASAS-Mitglieder (78 % der 201 Eingeladenen), 173 nicht-ASAS-Rheumatologen und 167 Patienten in Runde 1.</w:t>
      </w:r>
    </w:p>
    <w:p>
      <w:r>
        <w:rPr>
          <w:b/>
          <w:sz w:val="19"/>
        </w:rPr>
        <w:t xml:space="preserve">Übertragbarkeit: </w:t>
      </w:r>
      <w:r>
        <w:rPr>
          <w:sz w:val="19"/>
        </w:rPr>
        <w:t>Europäisches Expertenkonsens-Verfahren; relevant für deutschsprachige Praxis</w:t>
      </w:r>
    </w:p>
    <w:p>
      <w:r>
        <w:rPr>
          <w:color w:val="5A7D3A"/>
          <w:sz w:val="18"/>
        </w:rPr>
        <w:t>https://pubmed.ncbi.nlm.nih.gov/42894661/</w:t>
      </w:r>
    </w:p>
    <w:p>
      <w:pPr>
        <w:pStyle w:val="Heading2"/>
      </w:pPr>
      <w:r>
        <w:t>Unterstützung von Vätern nach perinataler Traumatisierung – partizipativ entwickelte Handlungsprinzipien</w:t>
      </w:r>
    </w:p>
    <w:p>
      <w:r>
        <w:rPr>
          <w:i/>
          <w:color w:val="666666"/>
          <w:sz w:val="18"/>
        </w:rPr>
        <w:t>Kothari A et al.  ·  Med J Aust  ·  Okt. 2026  ·  PMID 42894362</w:t>
      </w:r>
    </w:p>
    <w:p>
      <w:r>
        <w:t>Partizipative Aktionsforschung zur Entwicklung von Best-Practice-Prinzipien für die Versorgung von Vätern und nicht-gebärenden Elternteilen, die perinatales Trauma erfahren haben.</w:t>
      </w:r>
    </w:p>
    <w:p>
      <w:r>
        <w:rPr>
          <w:b/>
        </w:rPr>
        <w:t xml:space="preserve">Ergebnis: </w:t>
      </w:r>
      <w:r>
        <w:t>Aus 24 initialen Themen wurden 4 Kernprinzipien konsensual erarbeitet: (1) mitfühlende und inklusive Engagement, (2) Politik- und Gesetzesreform, (3) Bildungs- und Lernchancen, (4) psychische Gesundheit-Screening und -Unterstützung. Beteiligung: 11 Konsumenten mit Erfahrung, 30 Fachpersonen, Validierung mit 74 Teilnehmern aus diversen Hintergründen.</w:t>
      </w:r>
    </w:p>
    <w:p>
      <w:r>
        <w:rPr>
          <w:b/>
          <w:sz w:val="19"/>
        </w:rPr>
        <w:t xml:space="preserve">Übertragbarkeit: </w:t>
      </w:r>
      <w:r>
        <w:rPr>
          <w:sz w:val="19"/>
        </w:rPr>
        <w:t>Australien; qualitative Partizipationsforschung zu Versorgungslücken systemunabhängig relevant</w:t>
      </w:r>
    </w:p>
    <w:p>
      <w:r>
        <w:rPr>
          <w:color w:val="5A7D3A"/>
          <w:sz w:val="18"/>
        </w:rPr>
        <w:t>https://pubmed.ncbi.nlm.nih.gov/42894362/</w:t>
      </w:r>
    </w:p>
    <w:p>
      <w:pPr>
        <w:pStyle w:val="Heading2"/>
      </w:pPr>
      <w:r>
        <w:t>Telemedizin in Intensivmedizin: Auswirkungen auf Interhospitaltransfers</w:t>
      </w:r>
    </w:p>
    <w:p>
      <w:r>
        <w:rPr>
          <w:i/>
          <w:color w:val="666666"/>
          <w:sz w:val="18"/>
        </w:rPr>
        <w:t>Rai K et al.  ·  Crit Care Med  ·  15.10.2026  ·  PMID 42878611</w:t>
      </w:r>
    </w:p>
    <w:p>
      <w:r>
        <w:t>Retrospektive Kohortenstudie mit Medicare-Daten (2021–2023) zur Untersuchung, ob Tele-ICU-Fähigkeit an Index-Kliniken mit Interhospitaltransfers und potenziell niedrigwertigen Transfers assoziiert ist.</w:t>
      </w:r>
    </w:p>
    <w:p>
      <w:r>
        <w:rPr>
          <w:b/>
        </w:rPr>
        <w:t xml:space="preserve">Ergebnis: </w:t>
      </w:r>
      <w:r>
        <w:t>Unter 2.140.919 ICU-Aufenthalten war die absolute Transferrate ähnlich (2,5 % vs. 3,0 %), jedoch war Tele-ICU-Fähigkeit mit erhöhten Transferquoten assoziiert (bereinigtes OR 1,08; 95%-KI 1,01–1,14). Transferpatienten von Tele-ICU-Krankenhäusern zeigten seltener Versterben oder Hospiz innerhalb 1 Tag nach Transfer (4,6 % vs. 6,6 %; aOR 0,86; 95%-KI 0,76–0,97) und häufiger Entlassung nach Hause (4,7 % vs. 3,7 %; aOR 1,17; 95%-KI 1,03–1,33).</w:t>
      </w:r>
    </w:p>
    <w:p>
      <w:r>
        <w:rPr>
          <w:b/>
          <w:sz w:val="19"/>
        </w:rPr>
        <w:t xml:space="preserve">Übertragbarkeit: </w:t>
      </w:r>
      <w:r>
        <w:rPr>
          <w:sz w:val="19"/>
        </w:rPr>
        <w:t>USA Medicare; Fragestellung zu Technologieeinsatz und Transfer-Steuerung nur bedingt übertragbar</w:t>
      </w:r>
    </w:p>
    <w:p>
      <w:r>
        <w:rPr>
          <w:color w:val="5A7D3A"/>
          <w:sz w:val="18"/>
        </w:rPr>
        <w:t>https://pubmed.ncbi.nlm.nih.gov/42878611/</w:t>
      </w:r>
    </w:p>
    <w:p>
      <w:pPr>
        <w:pStyle w:val="Heading2"/>
      </w:pPr>
      <w:r>
        <w:t>Umwelt-Sanitation und Gesundheitsversorgungskapazität: Umsetzungslücken in chinesischen Städten</w:t>
      </w:r>
    </w:p>
    <w:p>
      <w:r>
        <w:rPr>
          <w:i/>
          <w:color w:val="666666"/>
          <w:sz w:val="18"/>
        </w:rPr>
        <w:t>Peng Z et al.  ·  BMC Health Serv Res  ·  25.08.2026  ·  PMID 42875776</w:t>
      </w:r>
    </w:p>
    <w:p>
      <w:r>
        <w:t>Panel-Analyse chinesischer Präfektur- und übergeordneter Städte (2002–2024) zur Untersuchung, ob Verbesserungen in Öko-Sanitation in erhöhte Gesundheitsversorgungskapazität konvertiert werden.</w:t>
      </w:r>
    </w:p>
    <w:p>
      <w:r>
        <w:rPr>
          <w:b/>
        </w:rPr>
        <w:t xml:space="preserve">Ergebnis: </w:t>
      </w:r>
      <w:r>
        <w:t>Das Basis-Zwei-Wege-Modell zeigte keine stabile positive Assoziation zwischen Öko-Sanitation-Verbesserung und Versorgungskapazität. Dimensionsspezifische Analysen offenbarten unterschiedliche Rollen: Positive Assoziation mit Umweltbelastungsindex konsistent mit nachfrageinduzierten oder kompensatorischen Ressourcenallokationen. Weder 2–3 Jahre verzögerte Umwelteffekte noch 1–2 Jahre verzögerte Investitionseffekte zeigten stabile Transmissionsketten. Interpretable Machine Learning identifizierte nichtlineare Grenzen und Einfluss von Entwicklungsstadium, Bevölkerungsgröße und Fiskalkompetenz.</w:t>
      </w:r>
    </w:p>
    <w:p>
      <w:r>
        <w:rPr>
          <w:b/>
          <w:sz w:val="19"/>
        </w:rPr>
        <w:t xml:space="preserve">Übertragbarkeit: </w:t>
      </w:r>
      <w:r>
        <w:rPr>
          <w:sz w:val="19"/>
        </w:rPr>
        <w:t>China; Health Services Research zu Investitions-Wirkketten in Gesundheitssystemen mit begrenzt übertragbaren Kontexten</w:t>
      </w:r>
    </w:p>
    <w:p>
      <w:r>
        <w:rPr>
          <w:color w:val="5A7D3A"/>
          <w:sz w:val="18"/>
        </w:rPr>
        <w:t>https://pubmed.ncbi.nlm.nih.gov/42875776/</w:t>
      </w:r>
    </w:p>
    <w:p>
      <w:pPr>
        <w:pStyle w:val="Heading1"/>
      </w:pPr>
      <w:r>
        <w:t>Aufgenommen am 19.10.2026</w:t>
      </w:r>
    </w:p>
    <w:p>
      <w:pPr>
        <w:pStyle w:val="Heading2"/>
      </w:pPr>
      <w:r>
        <w:t>Inanspruchnahme von Gesundheitsleistungen bei Demenz: Medicare Advantage vs. Traditional Medicare</w:t>
      </w:r>
    </w:p>
    <w:p>
      <w:r>
        <w:rPr>
          <w:i/>
          <w:color w:val="666666"/>
          <w:sz w:val="18"/>
        </w:rPr>
        <w:t>Joseph JM et al.  ·  Health Serv Res  ·  Okt. 2026  ·  PMID 42885186</w:t>
      </w:r>
    </w:p>
    <w:p>
      <w:r>
        <w:t>Vergleichende Analyse der Gesundheitsleistungsnutzung zwischen Medicare-Advantage- und Traditional-Medicare-Versicherten, stratifiziert nach Demenzstatus (ADRD).</w:t>
      </w:r>
    </w:p>
    <w:p>
      <w:r>
        <w:rPr>
          <w:b/>
        </w:rPr>
        <w:t xml:space="preserve">Ergebnis: </w:t>
      </w:r>
      <w:r>
        <w:t>Bei Versicherten mit ADRD waren sieben von acht adjustierten Unterschiede nicht signifikant. Spezialistenbesuche waren bei MA mit ADRD häufiger (5,2 Prozentpunkte, 95%-KI -0,1 bis 10,2). Ohne ADRD war MA mit niedrigeren stationären ambulanten Besuchen (-2,6; -3,7 bis -1,6) und weniger Bedarf für häusliche Krankenpflege (-0,9; -1,5 bis -0,3) assoziiert.</w:t>
      </w:r>
    </w:p>
    <w:p>
      <w:r>
        <w:rPr>
          <w:b/>
          <w:sz w:val="19"/>
        </w:rPr>
        <w:t xml:space="preserve">Übertragbarkeit: </w:t>
      </w:r>
      <w:r>
        <w:rPr>
          <w:sz w:val="19"/>
        </w:rPr>
        <w:t>US-Daten; Fragestellung zu Leistungsunterschieden aber systemunabhängig relevant</w:t>
      </w:r>
    </w:p>
    <w:p>
      <w:r>
        <w:rPr>
          <w:color w:val="5A7D3A"/>
          <w:sz w:val="18"/>
        </w:rPr>
        <w:t>https://pubmed.ncbi.nlm.nih.gov/42885186/</w:t>
      </w:r>
    </w:p>
    <w:p>
      <w:pPr>
        <w:pStyle w:val="Heading2"/>
      </w:pPr>
      <w:r>
        <w:t>Patientenperspektiven zu Notaufnahme vs. Hausarzt: qualitative Analyse des GPFirst-Programms</w:t>
      </w:r>
    </w:p>
    <w:p>
      <w:r>
        <w:rPr>
          <w:i/>
          <w:color w:val="666666"/>
          <w:sz w:val="18"/>
        </w:rPr>
        <w:t>Lee CYR et al.  ·  Singapore Med J  ·  15.10.2026  ·  PMID 42879300</w:t>
      </w:r>
    </w:p>
    <w:p>
      <w:r>
        <w:t>Qualitative Studie mit 16 Tiefeninterviews zu Determinanten der Arztwahl bei nicht-dringlichen Erkrankungen und zur Akzeptanz eines Steuerungsprogramms (GPFirst).</w:t>
      </w:r>
    </w:p>
    <w:p>
      <w:r>
        <w:rPr>
          <w:b/>
        </w:rPr>
        <w:t xml:space="preserve">Ergebnis: </w:t>
      </w:r>
      <w:r>
        <w:t>Vier Hauptthemen identifiziert: (1) Bestimmungsfaktoren der Arztwahl (wahrgenommene Schwere, Vertrauen in Krankenhausressourcen, Öffnungszeiten); (2) ED-Präferenz vs. GP-Vorzüge (Wartezeiten, Zugänglichkeit, personalisierte Versorgung); (3) GPFirst-Teilnahmebereitschaft trotz Barrieren (schlechte Selbsteinschätzung, mangelndes Wissen); (4) Verbesserungsvorschläge (Bewusstseinsförderung, Prozessklarheit, Anreizverstärkung).</w:t>
      </w:r>
    </w:p>
    <w:p>
      <w:r>
        <w:rPr>
          <w:b/>
          <w:sz w:val="19"/>
        </w:rPr>
        <w:t xml:space="preserve">Übertragbarkeit: </w:t>
      </w:r>
      <w:r>
        <w:rPr>
          <w:sz w:val="19"/>
        </w:rPr>
        <w:t>Singapur-Studie; Steuerungsmechanismen bei hausarztlicher Gatekeeper-Funktion übertragbar</w:t>
      </w:r>
    </w:p>
    <w:p>
      <w:r>
        <w:rPr>
          <w:color w:val="5A7D3A"/>
          <w:sz w:val="18"/>
        </w:rPr>
        <w:t>https://pubmed.ncbi.nlm.nih.gov/42879300/</w:t>
      </w:r>
    </w:p>
    <w:p>
      <w:pPr>
        <w:pStyle w:val="Heading2"/>
      </w:pPr>
      <w:r>
        <w:t>Kardiovaskuläre Gesundheit und Nierenversagen: Life's Essential 8 als Risikofaktor</w:t>
      </w:r>
    </w:p>
    <w:p>
      <w:r>
        <w:rPr>
          <w:i/>
          <w:color w:val="666666"/>
          <w:sz w:val="18"/>
        </w:rPr>
        <w:t>Ma C et al.  ·  Clin J Am Soc Nephrol  ·  15.10.2026  ·  PMID 42879211</w:t>
      </w:r>
    </w:p>
    <w:p>
      <w:r>
        <w:t>Prospektive Kohortenstudie zur Assoziation zwischen Life's Essential 8 (CVH-Metrik) und Inzidenz von Nierenersatztherapie-Bedürftigkeit (ESKD) in 276.494 Biobank-Teilnehmern.</w:t>
      </w:r>
    </w:p>
    <w:p>
      <w:r>
        <w:rPr>
          <w:b/>
        </w:rPr>
        <w:t xml:space="preserve">Ergebnis: </w:t>
      </w:r>
      <w:r>
        <w:t>Jeder 10-Punkte-Rückgang im LE8-Score erhöhte ESKD-Risiko (HR 1,47; 95%-KI 1,34–1,60). Niedriger LE8 war mit über fünffach erhöhtem Risiko assoziiert (HR 5,57; 95%-KI 3,42–9,07) vs. hohem LE8. Blutdruck und Blutglukose hatten größte populationsattribuierbare Fraktionen.</w:t>
      </w:r>
    </w:p>
    <w:p>
      <w:r>
        <w:rPr>
          <w:b/>
          <w:sz w:val="19"/>
        </w:rPr>
        <w:t xml:space="preserve">Übertragbarkeit: </w:t>
      </w:r>
      <w:r>
        <w:rPr>
          <w:sz w:val="19"/>
        </w:rPr>
        <w:t>UK-Daten; Primärversorgung und präventive Ansätze übertragbar</w:t>
      </w:r>
    </w:p>
    <w:p>
      <w:r>
        <w:rPr>
          <w:color w:val="5A7D3A"/>
          <w:sz w:val="18"/>
        </w:rPr>
        <w:t>https://pubmed.ncbi.nlm.nih.gov/42879211/</w:t>
      </w:r>
    </w:p>
    <w:p>
      <w:pPr>
        <w:pStyle w:val="Heading2"/>
      </w:pPr>
      <w:r>
        <w:t>Validität von EQ-5D-5L und EQ-HWB-9 zur Messung von Carer-Outcomes in gesundheitsökonomischen Evaluationen</w:t>
      </w:r>
    </w:p>
    <w:p>
      <w:r>
        <w:rPr>
          <w:i/>
          <w:color w:val="666666"/>
          <w:sz w:val="18"/>
        </w:rPr>
        <w:t>Faller J et al.  ·  Qual Life Res  ·  15.10.2026  ·  PMID 42879005</w:t>
      </w:r>
    </w:p>
    <w:p>
      <w:r>
        <w:t>Psychometrische Bewertung zweier Nutzen-Messinstrumente (EQ-5D-5L, EQ-HWB-9) bei 6.743 pflegenden Angehörigen aus fünf englischsprachigen Ländern.</w:t>
      </w:r>
    </w:p>
    <w:p>
      <w:r>
        <w:rPr>
          <w:b/>
        </w:rPr>
        <w:t xml:space="preserve">Ergebnis: </w:t>
      </w:r>
      <w:r>
        <w:t>EQ-5D-5L zeigte Deckeneffekt (19%), EQ-HWB-9 nicht (5%). Beide Instrumente korrelieren moderat mit WHO-5, PROMIS-10 und anderen Validierungsinstrumenten und zeigten Known-Group-Validität. EQ-HWB-9 erfasst breiteres Spektrum der Carer-Belastung.</w:t>
      </w:r>
    </w:p>
    <w:p>
      <w:r>
        <w:rPr>
          <w:b/>
          <w:sz w:val="19"/>
        </w:rPr>
        <w:t xml:space="preserve">Übertragbarkeit: </w:t>
      </w:r>
      <w:r>
        <w:rPr>
          <w:sz w:val="19"/>
        </w:rPr>
        <w:t>Multi-nationale Studie mit deutschsprachigen Ländern; ökonomische Evaluationen übertragbar</w:t>
      </w:r>
    </w:p>
    <w:p>
      <w:r>
        <w:rPr>
          <w:color w:val="5A7D3A"/>
          <w:sz w:val="18"/>
        </w:rPr>
        <w:t>https://pubmed.ncbi.nlm.nih.gov/42879005/</w:t>
      </w:r>
    </w:p>
    <w:p>
      <w:pPr>
        <w:pStyle w:val="Heading2"/>
      </w:pPr>
      <w:r>
        <w:t>Psychische Gesundheit von Ärzten und Pflegepersonen in der Ukraine während des Krieges</w:t>
      </w:r>
    </w:p>
    <w:p>
      <w:r>
        <w:rPr>
          <w:i/>
          <w:color w:val="666666"/>
          <w:sz w:val="18"/>
        </w:rPr>
        <w:t>Arrona Gómez VA et al.  ·  Br J Psychiatry  ·  15.10.2026  ·  PMID 42876069</w:t>
      </w:r>
    </w:p>
    <w:p>
      <w:r>
        <w:t>Landesweite Cross-sectional-Befragung von 23.805 Ärzten und Pflegepersonen zur Prävalenz von Depression, Angststörungen und suizidalen Gedanken sowie Assoziation mit Arbeitsplatzrisiken (Gewalt, Mobbing).</w:t>
      </w:r>
    </w:p>
    <w:p>
      <w:r>
        <w:rPr>
          <w:b/>
        </w:rPr>
        <w:t xml:space="preserve">Ergebnis: </w:t>
      </w:r>
      <w:r>
        <w:t>1 von 3 Ärzten und 1 von 4 Pflegepersonen berichteten Depressionssymptome; 1 von 4 Ärzte und 1 von 6 Pfleger Angstsymptome; ~1 von 10 suizidale Gedanken. Mobbing am stärksten mit Depression/Angst assoziiert (alle P&lt;0,001), physische Gewalt mit suizidalen Gedanken. Sinnvolle Arbeit schützend.</w:t>
      </w:r>
    </w:p>
    <w:p>
      <w:r>
        <w:rPr>
          <w:b/>
          <w:sz w:val="19"/>
        </w:rPr>
        <w:t xml:space="preserve">Übertragbarkeit: </w:t>
      </w:r>
      <w:r>
        <w:rPr>
          <w:sz w:val="19"/>
        </w:rPr>
        <w:t>Ukraine-Daten, Fragenstellung aber zu Workforce-Wohlbefinden systemunabhängig relevant</w:t>
      </w:r>
    </w:p>
    <w:p>
      <w:r>
        <w:rPr>
          <w:color w:val="5A7D3A"/>
          <w:sz w:val="18"/>
        </w:rPr>
        <w:t>https://pubmed.ncbi.nlm.nih.gov/42876069/</w:t>
      </w:r>
    </w:p>
    <w:p>
      <w:pPr>
        <w:pStyle w:val="Heading2"/>
      </w:pPr>
      <w:r>
        <w:t>Generative-AI-Nutzung bei älteren Menschen mit Multimorbidität: qualitative Analyse von Barrieren und Chancen</w:t>
      </w:r>
    </w:p>
    <w:p>
      <w:r>
        <w:rPr>
          <w:i/>
          <w:color w:val="666666"/>
          <w:sz w:val="18"/>
        </w:rPr>
        <w:t>Lin Q et al.  ·  BMC Health Serv Res  ·  23.07.2026  ·  PMID 42875768</w:t>
      </w:r>
    </w:p>
    <w:p>
      <w:r>
        <w:t>Qualitative Studie mit 16 semistrukturierten Interviews zu Erfahrungen älterer Menschen mit Multimorbidität bei der Nutzung von Generative-AI-Tools für Gesundheitsentscheidungen in China.</w:t>
      </w:r>
    </w:p>
    <w:p>
      <w:r>
        <w:rPr>
          <w:b/>
        </w:rPr>
        <w:t xml:space="preserve">Ergebnis: </w:t>
      </w:r>
      <w:r>
        <w:t>Vier Themen: (1) Wahrgenommener Nutzen (Informationszugang, integrierte Unterstützung, Entscheidungssicherheit); (2) Ease-of-Use mit großen individuellen Unterschieden; (3) Notwendigkeit von Ressourcenmobilisierung (soziale Unterstützung, technische Hilfe); (4) Dynamische, nicht-lineare Nutzungsmuster (Versuche, Unterbrechnungen, Wiederaufnahme oder Abbruch) statt einfache Adoption.</w:t>
      </w:r>
    </w:p>
    <w:p>
      <w:r>
        <w:rPr>
          <w:b/>
          <w:sz w:val="19"/>
        </w:rPr>
        <w:t xml:space="preserve">Übertragbarkeit: </w:t>
      </w:r>
      <w:r>
        <w:rPr>
          <w:sz w:val="19"/>
        </w:rPr>
        <w:t>China-Studie; Fragen zur technologischen Inklusion und Digital-Divide bei älteren Menschen relevant</w:t>
      </w:r>
    </w:p>
    <w:p>
      <w:r>
        <w:rPr>
          <w:color w:val="5A7D3A"/>
          <w:sz w:val="18"/>
        </w:rPr>
        <w:t>https://pubmed.ncbi.nlm.nih.gov/42875768/</w:t>
      </w:r>
    </w:p>
    <w:p>
      <w:pPr>
        <w:pStyle w:val="Heading2"/>
      </w:pPr>
      <w:r>
        <w:t>Hausarztbeteiligung in der onkologischen Nachsorge: Studienprotokoll zur mixed-methods-Analyse</w:t>
      </w:r>
    </w:p>
    <w:p>
      <w:r>
        <w:rPr>
          <w:i/>
          <w:color w:val="666666"/>
          <w:sz w:val="18"/>
        </w:rPr>
        <w:t>van Baal K et al.  ·  BMC Prim Care  ·  13.10.2026  ·  PMID 42875748</w:t>
      </w:r>
    </w:p>
    <w:p>
      <w:r>
        <w:t>Studienprotokoll zur Untersuchung der Hausarzt-Beteiligung in der onkologischen Nachsorge in Deutschland mittels Routinedaten, Surveys und qualitativen Interviews.</w:t>
      </w:r>
    </w:p>
    <w:p>
      <w:r>
        <w:rPr>
          <w:b/>
        </w:rPr>
        <w:t xml:space="preserve">Ergebnis: </w:t>
      </w:r>
      <w:r>
        <w:t>Geplante Analyse von AOK-Routinedaten und Niedersächsischem Krebsregister, Befragung von 300+ Hausärzten und Onkologen, 30 Patienteninterviews sowie Expert-Workshop zur Konsensfindung für strukturierte Empfehlungen.</w:t>
      </w:r>
    </w:p>
    <w:p>
      <w:r>
        <w:rPr>
          <w:b/>
          <w:sz w:val="19"/>
        </w:rPr>
        <w:t xml:space="preserve">Übertragbarkeit: </w:t>
      </w:r>
      <w:r>
        <w:rPr>
          <w:sz w:val="19"/>
        </w:rPr>
        <w:t>Deutsche Studie mit deutschem Versorgungssystem; direkt auf deutsche Versorgung übertragbar</w:t>
      </w:r>
    </w:p>
    <w:p>
      <w:r>
        <w:rPr>
          <w:color w:val="5A7D3A"/>
          <w:sz w:val="18"/>
        </w:rPr>
        <w:t>https://pubmed.ncbi.nlm.nih.gov/42875748/</w:t>
      </w:r>
    </w:p>
    <w:p>
      <w:pPr>
        <w:pStyle w:val="Heading1"/>
      </w:pPr>
      <w:r>
        <w:t>Aufgenommen am 18.10.2026</w:t>
      </w:r>
    </w:p>
    <w:p>
      <w:pPr>
        <w:pStyle w:val="Heading2"/>
      </w:pPr>
      <w:r>
        <w:t>Enzalutamid bei metastatischem hormonsensitivem Prostatakarzinom: Kosteneffektivitätsanalyse</w:t>
      </w:r>
    </w:p>
    <w:p>
      <w:r>
        <w:rPr>
          <w:i/>
          <w:color w:val="666666"/>
          <w:sz w:val="18"/>
        </w:rPr>
        <w:t>Law CK et al.  ·  EClinicalMedicine  ·  05.10.2026  ·  PMID 42890411</w:t>
      </w:r>
    </w:p>
    <w:p>
      <w:r>
        <w:t>Australische within-trial-Kosteneffektivitätsanalyse der ENZAMET-Studie verglich Enzalutamid plus Testosteronsuppression mit Standard-Nicht-Steroiden für Patienten mit metastatischem hormonsensitivem Prostatakarzinom über 60 Monate.</w:t>
      </w:r>
    </w:p>
    <w:p>
      <w:r>
        <w:rPr>
          <w:b/>
        </w:rPr>
        <w:t xml:space="preserve">Ergebnis: </w:t>
      </w:r>
      <w:r>
        <w:t>Enzalutamid führte zu AUD 127.262 zusätzlichen Kosten pro Patient, 0,24 Lebensjahren und 0,15 QALYs-Gewinn; ICER AUD 835.580 pro QALY. Kosteneffizienz nur bei Kaufpreis von AUD 6,73 pro Tablette erreichbar (Schwellenwert AUD 50.000/QALY). Erhöhte Hospitalisierungen und Muskel-Skelett-Medikationen in Enzalutamid-Gruppe.</w:t>
      </w:r>
    </w:p>
    <w:p>
      <w:r>
        <w:rPr>
          <w:b/>
          <w:sz w:val="19"/>
        </w:rPr>
        <w:t xml:space="preserve">Übertragbarkeit: </w:t>
      </w:r>
      <w:r>
        <w:rPr>
          <w:sz w:val="19"/>
        </w:rPr>
        <w:t>Australisches Gesundheitssystem, aber Analyse-Methodik auf deutsches System übertragbar.</w:t>
      </w:r>
    </w:p>
    <w:p>
      <w:r>
        <w:rPr>
          <w:color w:val="5A7D3A"/>
          <w:sz w:val="18"/>
        </w:rPr>
        <w:t>https://pubmed.ncbi.nlm.nih.gov/42890411/</w:t>
      </w:r>
    </w:p>
    <w:p>
      <w:pPr>
        <w:pStyle w:val="Heading2"/>
      </w:pPr>
      <w:r>
        <w:t>Nutzen von klinischen Qualitätsregistern: Governance und Systemintegration</w:t>
      </w:r>
    </w:p>
    <w:p>
      <w:r>
        <w:rPr>
          <w:i/>
          <w:color w:val="666666"/>
          <w:sz w:val="18"/>
        </w:rPr>
        <w:t>Bessen T et al.  ·  Med J Aust  ·  Okt. 2026  ·  PMID 42888857</w:t>
      </w:r>
    </w:p>
    <w:p>
      <w:r>
        <w:t>Konferenzbeitrag diskutiert, wie klinische Qualitätsregister (CQRs) zur Qualitätsverbesserung in Gesundheitssystemen beitragen und beschreibt Organizational-Infrastructure-Elemente für Systemintegration.</w:t>
      </w:r>
    </w:p>
    <w:p>
      <w:r>
        <w:rPr>
          <w:b/>
        </w:rPr>
        <w:t xml:space="preserve">Ergebnis: </w:t>
      </w:r>
      <w:r>
        <w:t>CQRs erfassen systematisch Sicherheits- und Qualitätsdaten mit Risikoanpassung und Benchmarking; Daten treiben Qualitätsverbesserungen. Zentrale Erkenntnis: Daten bleiben oft in Facheinheiten statt Organisation/System-weit integriert. Erforderlich: Governance-Infrastruktur zur Systemintegration auf Gesundheits- und Behördenebene.</w:t>
      </w:r>
    </w:p>
    <w:p>
      <w:r>
        <w:rPr>
          <w:b/>
          <w:sz w:val="19"/>
        </w:rPr>
        <w:t xml:space="preserve">Übertragbarkeit: </w:t>
      </w:r>
      <w:r>
        <w:rPr>
          <w:sz w:val="19"/>
        </w:rPr>
        <w:t>Australien; Registries-Governance-Ansätze auf deutsches Qualitätsmanagement übertragbar.</w:t>
      </w:r>
    </w:p>
    <w:p>
      <w:r>
        <w:rPr>
          <w:color w:val="5A7D3A"/>
          <w:sz w:val="18"/>
        </w:rPr>
        <w:t>https://pubmed.ncbi.nlm.nih.gov/42888857/</w:t>
      </w:r>
    </w:p>
    <w:p>
      <w:pPr>
        <w:pStyle w:val="Heading2"/>
      </w:pPr>
      <w:r>
        <w:t>Wartezeiten und Verzögerungen bei Kopf-Hals-Krebs in England</w:t>
      </w:r>
    </w:p>
    <w:p>
      <w:r>
        <w:rPr>
          <w:i/>
          <w:color w:val="666666"/>
          <w:sz w:val="18"/>
        </w:rPr>
        <w:t>Jashek-Ahmed F et al.  ·  Br J Cancer  ·  16.10.2026  ·  PMID 42888204</w:t>
      </w:r>
    </w:p>
    <w:p>
      <w:r>
        <w:t>Britische Kohortenstudie mit verlinkten nationalen Datenregistern untersuchte Wartezeiten von Überweisung bis zur ersten Krebsbehandlung (Chirurgie oder Strahlenchemotherapie) bei 30.506 Kopf-Hals-Karzinom-Patienten.</w:t>
      </w:r>
    </w:p>
    <w:p>
      <w:r>
        <w:rPr>
          <w:b/>
        </w:rPr>
        <w:t xml:space="preserve">Ergebnis: </w:t>
      </w:r>
      <w:r>
        <w:t>43 % erlebten Behandlungsverzögerung (&gt;62 Tage), 11 % bei Chirurgie und 20 % bei (Chemo-)Strahlung &gt;90 Tage. Nicht-dringende Überweisung (30 % der Patienten) war stärkster Prädiktor für lange Verzögerung (aOR 4,07; 95 %-KI 3,54–4,68). Zusätzliche Risikofaktoren: initiale Bewertung in Nicht-Spezialist-Kliniken, Non-Oropharynx-Karzinome, höhere Deprivation.</w:t>
      </w:r>
    </w:p>
    <w:p>
      <w:r>
        <w:rPr>
          <w:b/>
          <w:sz w:val="19"/>
        </w:rPr>
        <w:t xml:space="preserve">Übertragbarkeit: </w:t>
      </w:r>
      <w:r>
        <w:rPr>
          <w:sz w:val="19"/>
        </w:rPr>
        <w:t>England, NHS-System; Methodik zu Zugangssteuerung begrenzt übertragbar auf Deutschland.</w:t>
      </w:r>
    </w:p>
    <w:p>
      <w:r>
        <w:rPr>
          <w:color w:val="5A7D3A"/>
          <w:sz w:val="18"/>
        </w:rPr>
        <w:t>https://pubmed.ncbi.nlm.nih.gov/42888204/</w:t>
      </w:r>
    </w:p>
    <w:p>
      <w:pPr>
        <w:pStyle w:val="Heading2"/>
      </w:pPr>
      <w:r>
        <w:t>Zugang zu Versorgung bei Niereninsuffizienz: Sicht von Medicare-Advantage-Organisationen</w:t>
      </w:r>
    </w:p>
    <w:p>
      <w:r>
        <w:rPr>
          <w:i/>
          <w:color w:val="666666"/>
          <w:sz w:val="18"/>
        </w:rPr>
        <w:t>Tyler DA et al.  ·  Health Serv Res  ·  Okt. 2026  ·  PMID 42888180</w:t>
      </w:r>
    </w:p>
    <w:p>
      <w:r>
        <w:t>Qualitative Studie mit 56 Teilnehmern aus 8 Medicare-Advantage-Plänen, 6 Dialyse- und 5 Nierenbetreu-Unternehmen in den USA untersuchte Perspektiven zum Versorgungszugang nach Medicare-Advantage-Einschreibung bei Dialysepatienten.</w:t>
      </w:r>
    </w:p>
    <w:p>
      <w:r>
        <w:rPr>
          <w:b/>
        </w:rPr>
        <w:t xml:space="preserve">Ergebnis: </w:t>
      </w:r>
      <w:r>
        <w:t>Perspektiven differieren nach Organisation und Mitarbeiter-Funktion. MA-Plankvertreter berichten keine Zugangsbarrieren zu Dialyse; kleine Dialyse-Anbieter berichten Patienten-Fahrtweite zu In-Network-Einrichtungen. Informationen über Netzwerkbeschränkungen für Spezialisten oft nicht Patienten-bewusst. MA wählt ‚Centers of Excellence', andere berichten Transplant-Zugangs-Behinderung. Zusatzleistungen von Exekutive betont, von Frontline-Personal als begrenzt berichtet.</w:t>
      </w:r>
    </w:p>
    <w:p>
      <w:r>
        <w:rPr>
          <w:b/>
          <w:sz w:val="19"/>
        </w:rPr>
        <w:t xml:space="preserve">Übertragbarkeit: </w:t>
      </w:r>
      <w:r>
        <w:rPr>
          <w:sz w:val="19"/>
        </w:rPr>
        <w:t>USA; stark systemabhängig von Medicare-Struktur, begrenzte Übertragbarkeit.</w:t>
      </w:r>
    </w:p>
    <w:p>
      <w:r>
        <w:rPr>
          <w:color w:val="5A7D3A"/>
          <w:sz w:val="18"/>
        </w:rPr>
        <w:t>https://pubmed.ncbi.nlm.nih.gov/42888180/</w:t>
      </w:r>
    </w:p>
    <w:p>
      <w:pPr>
        <w:pStyle w:val="Heading2"/>
      </w:pPr>
      <w:r>
        <w:t>Konsensusdefinition schwere COPD: internationale Delphi-Studie</w:t>
      </w:r>
    </w:p>
    <w:p>
      <w:r>
        <w:rPr>
          <w:i/>
          <w:color w:val="666666"/>
          <w:sz w:val="18"/>
        </w:rPr>
        <w:t>Melles MC et al.  ·  Ann Am Thorac Soc  ·  16.10.2026  ·  PMID 42885566</w:t>
      </w:r>
    </w:p>
    <w:p>
      <w:r>
        <w:t>Internationale modifizierte Delphi-Studie mit 55 COPD-Experten entwickelte Konsensusdefinition und minimales Diagnose-Set für schwere COPD sowie notwendige Arbeitsvorgänge.</w:t>
      </w:r>
    </w:p>
    <w:p>
      <w:r>
        <w:rPr>
          <w:b/>
        </w:rPr>
        <w:t xml:space="preserve">Ergebnis: </w:t>
      </w:r>
      <w:r>
        <w:t>Konsens in 46 von 67 Aussagen (Runde 1, 69 %) und 15 von 20 (Runde 2, 75 %). Schwere COPD definiert als persistierende Symptome/Funktionsbeeinträchtigung trotz optimaler Therapie mit mindestens einem Merkmal: schwere Atemwegsobstruktion, schwere Diffusionsstörung, schwere Überblähung, häufige Exazerbationen, chronische Ateminsuffizienz, pulmonale Hypertonie oder Kachexie. Standardisiertes Workup inkl. Patient-Reported Outcomes, Exazerbationen, Lungenfunktion, Blutgase, Imaging, kardiale Bewertung, Belastungstestung.</w:t>
      </w:r>
    </w:p>
    <w:p>
      <w:r>
        <w:rPr>
          <w:b/>
          <w:sz w:val="19"/>
        </w:rPr>
        <w:t xml:space="preserve">Übertragbarkeit: </w:t>
      </w:r>
      <w:r>
        <w:rPr>
          <w:sz w:val="19"/>
        </w:rPr>
        <w:t>Internationale Konsensus-Studie mit 55 Experten; Definitionen für deutsches Versorgungssystem relevant.</w:t>
      </w:r>
    </w:p>
    <w:p>
      <w:r>
        <w:rPr>
          <w:color w:val="5A7D3A"/>
          <w:sz w:val="18"/>
        </w:rPr>
        <w:t>https://pubmed.ncbi.nlm.nih.gov/42885566/</w:t>
      </w:r>
    </w:p>
    <w:p>
      <w:pPr>
        <w:pStyle w:val="Heading2"/>
      </w:pPr>
      <w:r>
        <w:t>Social-Media-Nutzung und Angststörungen bei Gesundheitsmitarbeitern in COVID-19</w:t>
      </w:r>
    </w:p>
    <w:p>
      <w:r>
        <w:rPr>
          <w:i/>
          <w:color w:val="666666"/>
          <w:sz w:val="18"/>
        </w:rPr>
        <w:t>Powell M et al.  ·  J Med Internet Res  ·  15.10.2026  ·  PMID 42879747</w:t>
      </w:r>
    </w:p>
    <w:p>
      <w:r>
        <w:t>Sekundäranalyse der UC-COVID-Studie 2021 mit 427 Gesundheitsmitarbeitern untersuchte Assoziationen zwischen Social-Media-Nutzung über mehrere Plattformen und Angst-Symptomen während Pandemie.</w:t>
      </w:r>
    </w:p>
    <w:p>
      <w:r>
        <w:rPr>
          <w:b/>
        </w:rPr>
        <w:t xml:space="preserve">Ergebnis: </w:t>
      </w:r>
      <w:r>
        <w:t>29 % berichteten klinisch relevante Angststörungen (GAD-2 ≥3). Höhere Social-Media-Nutzung signifikant mit Angst assoziiert (OR 1,77; 95 %-KI 1,15–2,73). Älteres Alter reduzierte Angststörungen (aOR 0,97; 95 %-KI 0,95–0,99). Psychische-Anamnese erhöhte Angststörungen (aOR 2,33; 95 %-KI 1,35–4,03). Nicht-hispanische Asiaten weniger Angststörungen (aOR 0,39; KI 0,19–0,80). Höheres Einkommen reduzierte Angststörungen (aOR 0,51; KI 0,30–0,87).</w:t>
      </w:r>
    </w:p>
    <w:p>
      <w:r>
        <w:rPr>
          <w:b/>
          <w:sz w:val="19"/>
        </w:rPr>
        <w:t xml:space="preserve">Übertragbarkeit: </w:t>
      </w:r>
      <w:r>
        <w:rPr>
          <w:sz w:val="19"/>
        </w:rPr>
        <w:t>USA-Daten; Fragestellung zu Gesundheitsmitarbeiter-Psyche systemunabhängig relevant.</w:t>
      </w:r>
    </w:p>
    <w:p>
      <w:r>
        <w:rPr>
          <w:color w:val="5A7D3A"/>
          <w:sz w:val="18"/>
        </w:rPr>
        <w:t>https://pubmed.ncbi.nlm.nih.gov/42879747/</w:t>
      </w:r>
    </w:p>
    <w:p>
      <w:pPr>
        <w:pStyle w:val="Heading2"/>
      </w:pPr>
      <w:r>
        <w:t>Umsetzung von CVD-Risiko-Vorhersage-Tools in Subsahara-Afrika: Scoping Review</w:t>
      </w:r>
    </w:p>
    <w:p>
      <w:r>
        <w:rPr>
          <w:i/>
          <w:color w:val="666666"/>
          <w:sz w:val="18"/>
        </w:rPr>
        <w:t>Gouws M et al.  ·  BMC Health Serv Res  ·  19.08.2026  ·  PMID 42875763</w:t>
      </w:r>
    </w:p>
    <w:p>
      <w:r>
        <w:t>Systematische Scoping Review zur Implementierung von Kardiovaskulär-Risiko-Vorhersage-Scores in Subsahara-Afrika anhand von 41 Studien aus zehn Ländern; Struktur nach Implementation-Research-Logic-Model.</w:t>
      </w:r>
    </w:p>
    <w:p>
      <w:r>
        <w:rPr>
          <w:b/>
        </w:rPr>
        <w:t xml:space="preserve">Ergebnis: </w:t>
      </w:r>
      <w:r>
        <w:t>Vier Use-Cases identifiziert: ökonomische/Policy-Überlegungen, Screening hohes CVD-Risiko/Überweisung, Risikokommunikation, Behandlung Hochrisiko-Patienten. Häufigste Barrieren: Gesundheitssystem- und Organisations-Herausforderungen. Implementierungs-Strategien fokussieren Task-Shifting, Training, kurzfristige Materialien/Technologie-Unterstützung für Community-Health-Worker. Wenig Evidenz zu Nachhaltigkeits-Strategien in Einrichtungen; Mismatch zwischen Determinanten-Breite und Strategien-Enge.</w:t>
      </w:r>
    </w:p>
    <w:p>
      <w:r>
        <w:rPr>
          <w:b/>
          <w:sz w:val="19"/>
        </w:rPr>
        <w:t xml:space="preserve">Übertragbarkeit: </w:t>
      </w:r>
      <w:r>
        <w:rPr>
          <w:sz w:val="19"/>
        </w:rPr>
        <w:t>Sub-Sahara; systemabhängig von Ressourcenlage, begrenzte Übertragbarkeit auf Deutschland.</w:t>
      </w:r>
    </w:p>
    <w:p>
      <w:r>
        <w:rPr>
          <w:color w:val="5A7D3A"/>
          <w:sz w:val="18"/>
        </w:rPr>
        <w:t>https://pubmed.ncbi.nlm.nih.gov/42875763/</w:t>
      </w:r>
    </w:p>
    <w:p>
      <w:pPr>
        <w:pStyle w:val="Heading1"/>
      </w:pPr>
      <w:r>
        <w:t>Aufgenommen am 17.10.2026</w:t>
      </w:r>
    </w:p>
    <w:p>
      <w:pPr>
        <w:pStyle w:val="Heading2"/>
      </w:pPr>
      <w:r>
        <w:t>ASAS-Kernsatz zur Assessmentierung axialer Spondyloarthritis</w:t>
      </w:r>
    </w:p>
    <w:p>
      <w:r>
        <w:rPr>
          <w:i/>
          <w:color w:val="666666"/>
          <w:sz w:val="18"/>
        </w:rPr>
        <w:t>van Tubergen A et al.  ·  Ann Rheum Dis  ·  16.10.2026  ·  PMID 42888164</w:t>
      </w:r>
    </w:p>
    <w:p>
      <w:r>
        <w:t>Internationale Expertengruppe entwickelte per modifiziertem Delphi-Verfahren einen standardisierten Kernsatz von Assessmentdomänen und -instrumenten für die klinische Praxis.</w:t>
      </w:r>
    </w:p>
    <w:p>
      <w:r>
        <w:rPr>
          <w:b/>
        </w:rPr>
        <w:t xml:space="preserve">Ergebnis: </w:t>
      </w:r>
      <w:r>
        <w:t>Der Kernsatz wurde von der Mehrheit der ASAS-Mitglieder verabschiedet. Fünf Domänen für Routinevisiten (Krankheitsaktivität, Schmerz, periphere Manifestationen, extramuskuloskeletale Manifestationen, Therapieaspekte) mit je mindestens einem empfohlenen Instrument plus vier ergänzende Domänen für erweiterte Visiten (strukturelle Schäden, Funktionsfähigkeit, Komorbiditäten, Mobilität).</w:t>
      </w:r>
    </w:p>
    <w:p>
      <w:r>
        <w:rPr>
          <w:b/>
          <w:sz w:val="19"/>
        </w:rPr>
        <w:t xml:space="preserve">Übertragbarkeit: </w:t>
      </w:r>
      <w:r>
        <w:rPr>
          <w:sz w:val="19"/>
        </w:rPr>
        <w:t>Internationaler Konsens, europäische Beteiligung, deutsches Rheumazentrum beteiligt</w:t>
      </w:r>
    </w:p>
    <w:p>
      <w:r>
        <w:rPr>
          <w:color w:val="5A7D3A"/>
          <w:sz w:val="18"/>
        </w:rPr>
        <w:t>https://pubmed.ncbi.nlm.nih.gov/42888164/</w:t>
      </w:r>
    </w:p>
    <w:p>
      <w:pPr>
        <w:pStyle w:val="Heading2"/>
      </w:pPr>
      <w:r>
        <w:t>Partizipative Forschung mit Betroffenen: Impact und Team-Dynamik</w:t>
      </w:r>
    </w:p>
    <w:p>
      <w:r>
        <w:rPr>
          <w:i/>
          <w:color w:val="666666"/>
          <w:sz w:val="18"/>
        </w:rPr>
        <w:t>Fox J et al.  ·  Health Expect  ·  Okt. 2026  ·  PMID 42886175</w:t>
      </w:r>
    </w:p>
    <w:p>
      <w:r>
        <w:t>Qualitative Fallstudie erforschte über sieben Jahre die Erfahrungen von Forschungsteams und Betroffenen-Panels bei partizipativ durchgeführter Forschung zur Psychoseprävention.</w:t>
      </w:r>
    </w:p>
    <w:p>
      <w:r>
        <w:rPr>
          <w:b/>
        </w:rPr>
        <w:t xml:space="preserve">Ergebnis: </w:t>
      </w:r>
      <w:r>
        <w:t>Vier Hauptthemen: Impact wurde als Lernprozess mit Friktionen beschrieben; Studienteam schätzte Expertise der Betroffenen; Herausforderungen waren mangelnde Schulung zur Partizipation, Wechsel in Panelstruktur, COVID-bedingte Online-Verlagerung und Zweifel an Relevanzbezug. Regelmäßige reflexive Lernprozesse mit offenem Feedback waren zentral für positive Inklusionskultur.</w:t>
      </w:r>
    </w:p>
    <w:p>
      <w:r>
        <w:rPr>
          <w:b/>
          <w:sz w:val="19"/>
        </w:rPr>
        <w:t xml:space="preserve">Übertragbarkeit: </w:t>
      </w:r>
      <w:r>
        <w:rPr>
          <w:sz w:val="19"/>
        </w:rPr>
        <w:t>UK-Studie, Methode aber international übertragbar für Partizipationsforschung</w:t>
      </w:r>
    </w:p>
    <w:p>
      <w:r>
        <w:rPr>
          <w:color w:val="5A7D3A"/>
          <w:sz w:val="18"/>
        </w:rPr>
        <w:t>https://pubmed.ncbi.nlm.nih.gov/42886175/</w:t>
      </w:r>
    </w:p>
    <w:p>
      <w:pPr>
        <w:pStyle w:val="Heading2"/>
      </w:pPr>
      <w:r>
        <w:t>Depressive Symptome und Remission bei Psoriasis-Arthritis</w:t>
      </w:r>
    </w:p>
    <w:p>
      <w:r>
        <w:rPr>
          <w:i/>
          <w:color w:val="666666"/>
          <w:sz w:val="18"/>
        </w:rPr>
        <w:t>Reich A et al.  ·  BMC Rheumatol  ·  14.10.2026  ·  PMID 42881477</w:t>
      </w:r>
    </w:p>
    <w:p>
      <w:r>
        <w:t>Deutsche Registerstudie untersuchte die Assoziation depressiver Symptome mit Remissionserreichung bei Patienten mit Psoriasis-Arthritis unter systemischer Therapie.</w:t>
      </w:r>
    </w:p>
    <w:p>
      <w:r>
        <w:rPr>
          <w:b/>
        </w:rPr>
        <w:t xml:space="preserve">Ergebnis: </w:t>
      </w:r>
      <w:r>
        <w:t>29 % der 1.888 Patienten berichteten moderate/schwere depressive Symptome (34 % Frauen, 23 % Männer). Höheres Wohlbefinden war mit Remission assoziiert (OR 1,06–1,14 pro 10-Punkt-Steigerung). Beide Geschlechter mit moderaten/schweren Symptomen erreichten Minimal Disease Activity und DAPSA-Remission weniger häufig; die Assoziation unterschied sich nicht signifikant nach Geschlecht.</w:t>
      </w:r>
    </w:p>
    <w:p>
      <w:r>
        <w:rPr>
          <w:b/>
          <w:sz w:val="19"/>
        </w:rPr>
        <w:t xml:space="preserve">Übertragbarkeit: </w:t>
      </w:r>
      <w:r>
        <w:rPr>
          <w:sz w:val="19"/>
        </w:rPr>
        <w:t>Deutsche Routinedaten, ambulante rheumatologische Praxis</w:t>
      </w:r>
    </w:p>
    <w:p>
      <w:r>
        <w:rPr>
          <w:color w:val="5A7D3A"/>
          <w:sz w:val="18"/>
        </w:rPr>
        <w:t>https://pubmed.ncbi.nlm.nih.gov/42881477/</w:t>
      </w:r>
    </w:p>
    <w:p>
      <w:pPr>
        <w:pStyle w:val="Heading2"/>
      </w:pPr>
      <w:r>
        <w:t>Belastung von Eltern als Pflegende bei seltenen Kindererkrankungen</w:t>
      </w:r>
    </w:p>
    <w:p>
      <w:r>
        <w:rPr>
          <w:i/>
          <w:color w:val="666666"/>
          <w:sz w:val="18"/>
        </w:rPr>
        <w:t>Brandt M et al.  ·  Orphanet J Rare Dis  ·  12.10.2026  ·  PMID 42881418</w:t>
      </w:r>
    </w:p>
    <w:p>
      <w:r>
        <w:t>Deutsche Querschnittstudie untersuchte Pflegbelastung bei 123 Eltern von Kindern mit seltenen Erkrankungen und identifizierte assoziierte Faktoren.</w:t>
      </w:r>
    </w:p>
    <w:p>
      <w:r>
        <w:rPr>
          <w:b/>
        </w:rPr>
        <w:t xml:space="preserve">Ergebnis: </w:t>
      </w:r>
      <w:r>
        <w:t>23 % berichteten depressive Symptome, 77 % mindestens einen unerfüllten Unterstützungsbedarf. Bei Kindern mit Pflegebedarf: 24 % mit hoher Pflegbelastung. Nach Adjustierung für multiple Tests zeigten sich bei niedrigerer pflegbezogener Lebensqualität, höherer Sozioökonomie, elterlichen depressiven Symptomen und niedriger Therapiezufriedenheit stärkste Assoziationen mit Pflegbelastung.</w:t>
      </w:r>
    </w:p>
    <w:p>
      <w:r>
        <w:rPr>
          <w:b/>
          <w:sz w:val="19"/>
        </w:rPr>
        <w:t xml:space="preserve">Übertragbarkeit: </w:t>
      </w:r>
      <w:r>
        <w:rPr>
          <w:sz w:val="19"/>
        </w:rPr>
        <w:t>Deutsche Studie, spezialisierte Zentren und Patientenorganisationen</w:t>
      </w:r>
    </w:p>
    <w:p>
      <w:r>
        <w:rPr>
          <w:color w:val="5A7D3A"/>
          <w:sz w:val="18"/>
        </w:rPr>
        <w:t>https://pubmed.ncbi.nlm.nih.gov/42881418/</w:t>
      </w:r>
    </w:p>
    <w:p>
      <w:pPr>
        <w:pStyle w:val="Heading2"/>
      </w:pPr>
      <w:r>
        <w:t>Gesundheitskompetenz und Gesundheit bei Pflegestudierenden</w:t>
      </w:r>
    </w:p>
    <w:p>
      <w:r>
        <w:rPr>
          <w:i/>
          <w:color w:val="666666"/>
          <w:sz w:val="18"/>
        </w:rPr>
        <w:t>Otto R et al.  ·  Front Med (Lausanne)  ·  30.09.2026  ·  PMID 42876879</w:t>
      </w:r>
    </w:p>
    <w:p>
      <w:r>
        <w:t>Longitudinale deutsche Kohortenstudie verfolgten 128 Auszubildende und 43 Studierende im Pflegebereich über ein Jahr und untersuchten Gesundheitskompetenz, Gesundheitsstatus und Gesundheitsverhalten.</w:t>
      </w:r>
    </w:p>
    <w:p>
      <w:r>
        <w:rPr>
          <w:b/>
        </w:rPr>
        <w:t xml:space="preserve">Ergebnis: </w:t>
      </w:r>
      <w:r>
        <w:t>Durchschnittliche Gesundheitskompetenzscores blieben stabil, zeigten aber heterogene individuelle Veränderungen. BMI stieg signifikant an. Selbstbewerteter Gesundheitsstatus verschlechterte sich bei Auszubildenden signifikant. Raucherquote stieg signifikant an, andere Gesundheitsverhalten blieben unverändert. Keine signifikanten Assoziationen zwischen Baseline-Gesundheitskompetenz und späteren Outcomes oder Verhalten.</w:t>
      </w:r>
    </w:p>
    <w:p>
      <w:r>
        <w:rPr>
          <w:b/>
          <w:sz w:val="19"/>
        </w:rPr>
        <w:t xml:space="preserve">Übertragbarkeit: </w:t>
      </w:r>
      <w:r>
        <w:rPr>
          <w:sz w:val="19"/>
        </w:rPr>
        <w:t>Deutsche Studie, Unterricht und Ausbildungssetting</w:t>
      </w:r>
    </w:p>
    <w:p>
      <w:r>
        <w:rPr>
          <w:color w:val="5A7D3A"/>
          <w:sz w:val="18"/>
        </w:rPr>
        <w:t>https://pubmed.ncbi.nlm.nih.gov/42876879/</w:t>
      </w:r>
    </w:p>
    <w:p>
      <w:pPr>
        <w:pStyle w:val="Heading2"/>
      </w:pPr>
      <w:r>
        <w:t>Technische Effizienz öffentlicher Gesundheitseinrichtungen</w:t>
      </w:r>
    </w:p>
    <w:p>
      <w:r>
        <w:rPr>
          <w:i/>
          <w:color w:val="666666"/>
          <w:sz w:val="18"/>
        </w:rPr>
        <w:t>Momina AU et al.  ·  BMC Health Serv Res  ·  13.10.2026  ·  PMID 42870268</w:t>
      </w:r>
    </w:p>
    <w:p>
      <w:r>
        <w:t>Datenabgrenzungsanalyse evaluierte die technische Effizienz von 100 öffentlichen Gesundheitseinrichtungen in Pakistan bei der Familienplanungsversorgung.</w:t>
      </w:r>
    </w:p>
    <w:p>
      <w:r>
        <w:rPr>
          <w:b/>
        </w:rPr>
        <w:t xml:space="preserve">Ergebnis: </w:t>
      </w:r>
      <w:r>
        <w:t>Die durchschnittliche Effizienzquote betrug 78 %. Basic Health Units und Rural Health Centers zeigten erhebliche Ressourcenoptimierungslücken. Eine negative Assoziation bestand zwischen der Anzahl alternativer Anbieter im Einzugsgebiet und der Effizienz, was die Bedeutung der Angebotsorientierung nach lokaler Nachfrage unterstreicht.</w:t>
      </w:r>
    </w:p>
    <w:p>
      <w:r>
        <w:rPr>
          <w:b/>
          <w:sz w:val="19"/>
        </w:rPr>
        <w:t xml:space="preserve">Übertragbarkeit: </w:t>
      </w:r>
      <w:r>
        <w:rPr>
          <w:sz w:val="19"/>
        </w:rPr>
        <w:t>Nur bedingt: andere Ressourcenlage, Gesundheitssystem-Kontext unterscheidet sich grundlegend</w:t>
      </w:r>
    </w:p>
    <w:p>
      <w:r>
        <w:rPr>
          <w:color w:val="5A7D3A"/>
          <w:sz w:val="18"/>
        </w:rPr>
        <w:t>https://pubmed.ncbi.nlm.nih.gov/42870268/</w:t>
      </w:r>
    </w:p>
    <w:p>
      <w:pPr>
        <w:pStyle w:val="Heading1"/>
      </w:pPr>
      <w:r>
        <w:t>Aufgenommen am 16.10.2026</w:t>
      </w:r>
    </w:p>
    <w:p>
      <w:pPr>
        <w:pStyle w:val="Heading2"/>
      </w:pPr>
      <w:r>
        <w:t>Medizinische Kunstfehlerfälle in Katalonien: 22 Jahre Trends</w:t>
      </w:r>
    </w:p>
    <w:p>
      <w:r>
        <w:rPr>
          <w:i/>
          <w:color w:val="666666"/>
          <w:sz w:val="18"/>
        </w:rPr>
        <w:t>Arimany-Manso J et al.  ·  Health Policy  ·  13.10.2026  ·  PMID 42879821</w:t>
      </w:r>
    </w:p>
    <w:p>
      <w:r>
        <w:t>Retrospektive Analyse von 22 Jahren Kunstfehlermeldungen im katalanischen Versicherungssystem mit Fokus auf Trends und Unterschiede zwischen Fachbereichen.</w:t>
      </w:r>
    </w:p>
    <w:p>
      <w:r>
        <w:rPr>
          <w:b/>
        </w:rPr>
        <w:t xml:space="preserve">Ergebnis: </w:t>
      </w:r>
      <w:r>
        <w:t>Bei 22 % Bevölkerungswachstum sanken Kunstfehlerfälle um 9,5 %, adjustierte Raten sogar um 26,1 % (p &lt; 0,0005). Chirurgische Fälle fielen um 34,0 %, Notfallmedizin um 20,5 %; mittlere Latenz zwischen Ereignis und Anspruch: 23,9 Monate. Dies widerspricht der Wahrnehmung steigender Fälle.</w:t>
      </w:r>
    </w:p>
    <w:p>
      <w:r>
        <w:rPr>
          <w:b/>
          <w:sz w:val="19"/>
        </w:rPr>
        <w:t xml:space="preserve">Übertragbarkeit: </w:t>
      </w:r>
      <w:r>
        <w:rPr>
          <w:sz w:val="19"/>
        </w:rPr>
        <w:t>Katalonisches Versicherungsmodell, vergleichbar mit deutschen Strukturen und Sozialversicherungen</w:t>
      </w:r>
    </w:p>
    <w:p>
      <w:r>
        <w:rPr>
          <w:color w:val="5A7D3A"/>
          <w:sz w:val="18"/>
        </w:rPr>
        <w:t>https://pubmed.ncbi.nlm.nih.gov/42879821/</w:t>
      </w:r>
    </w:p>
    <w:p>
      <w:pPr>
        <w:pStyle w:val="Heading2"/>
      </w:pPr>
      <w:r>
        <w:t>Langzeiteffekte von Community-Screening auf kardiovaskuläres Risiko und Verhalten</w:t>
      </w:r>
    </w:p>
    <w:p>
      <w:r>
        <w:rPr>
          <w:i/>
          <w:color w:val="666666"/>
          <w:sz w:val="18"/>
        </w:rPr>
        <w:t>Gani LU et al.  ·  Singapore Med J  ·  15.10.2026  ·  PMID 42879299</w:t>
      </w:r>
    </w:p>
    <w:p>
      <w:r>
        <w:t>Achtjährige Beobachtungsstudie (2011–2019): 28.565 Teilnehmer an ECHO-Screening; Auswertung der Auswirkungen auf Risikofaktoren, Arztbesuche und Gesundheitsverhalten.</w:t>
      </w:r>
    </w:p>
    <w:p>
      <w:r>
        <w:rPr>
          <w:b/>
        </w:rPr>
        <w:t xml:space="preserve">Ergebnis: </w:t>
      </w:r>
      <w:r>
        <w:t>12.762 Personen beim Screening teilgenommen, 5.977 (46,8 %) hatten abnorme Befunde; 56 % besuchten Hausarzt innerhalb eines Jahres. Bewohner von kostengünstigen Wohnungen zeigten höhere Besuchsraten (74 % vs. 52,5 %, p &lt; 0,001). Wiederholte ECHO-Teilnahme war mit verbesserten kardiomet. Indikatoren assoziiert trotz bescheidener Verhaltensänderungen.</w:t>
      </w:r>
    </w:p>
    <w:p>
      <w:r>
        <w:rPr>
          <w:b/>
          <w:sz w:val="19"/>
        </w:rPr>
        <w:t xml:space="preserve">Übertragbarkeit: </w:t>
      </w:r>
      <w:r>
        <w:rPr>
          <w:sz w:val="19"/>
        </w:rPr>
        <w:t>Singapur, vergleichbare Mehrschichtstruktur; Befunde zu niederschwelligem Screening in Gemeinden übertragbar</w:t>
      </w:r>
    </w:p>
    <w:p>
      <w:r>
        <w:rPr>
          <w:color w:val="5A7D3A"/>
          <w:sz w:val="18"/>
        </w:rPr>
        <w:t>https://pubmed.ncbi.nlm.nih.gov/42879299/</w:t>
      </w:r>
    </w:p>
    <w:p>
      <w:pPr>
        <w:pStyle w:val="Heading2"/>
      </w:pPr>
      <w:r>
        <w:t>Telehealth bei Morbus Parkinson: Urbane vs. ländliche Disparitäten</w:t>
      </w:r>
    </w:p>
    <w:p>
      <w:r>
        <w:rPr>
          <w:i/>
          <w:color w:val="666666"/>
          <w:sz w:val="18"/>
        </w:rPr>
        <w:t>Gros P et al.  ·  Can J Neurol Sci  ·  15.10.2026  ·  PMID 42878209</w:t>
      </w:r>
    </w:p>
    <w:p>
      <w:r>
        <w:t>Populationsgestützte Querschnittsstudie von 24.736 Patienten mit Parkinson in Ontario (März 2020–August 2023) zur Telehealth-Nutzung in Stadt vs. Land.</w:t>
      </w:r>
    </w:p>
    <w:p>
      <w:r>
        <w:rPr>
          <w:b/>
        </w:rPr>
        <w:t xml:space="preserve">Ergebnis: </w:t>
      </w:r>
      <w:r>
        <w:t>Ländliche Patienten hatten signifikant niedrigere Telehealth-Raten zu Neurologen (aRR 0,93; 95%-KI 0,90–0,96), Hausärzten (aRR 0,73; 95%-KI 0,70–0,77) und Geriatrie/Psychiatrie (aRR 0,67; 95%-KI 0,65–0,77). Telehealth fiel über 3,5 Jahre bei Neurologen auf aRR 0,23, bei Hausärzten auf aRR 0,39.</w:t>
      </w:r>
    </w:p>
    <w:p>
      <w:r>
        <w:rPr>
          <w:b/>
          <w:sz w:val="19"/>
        </w:rPr>
        <w:t xml:space="preserve">Übertragbarkeit: </w:t>
      </w:r>
      <w:r>
        <w:rPr>
          <w:sz w:val="19"/>
        </w:rPr>
        <w:t>Kanada, steuerfinanziert; Befunde zu Zugangsungleichheit sind systemunabhängig relevant</w:t>
      </w:r>
    </w:p>
    <w:p>
      <w:r>
        <w:rPr>
          <w:color w:val="5A7D3A"/>
          <w:sz w:val="18"/>
        </w:rPr>
        <w:t>https://pubmed.ncbi.nlm.nih.gov/42878209/</w:t>
      </w:r>
    </w:p>
    <w:p>
      <w:pPr>
        <w:pStyle w:val="Heading2"/>
      </w:pPr>
      <w:r>
        <w:t>SMS-Erinnerungen zur Zervixkrebsvorsorge: Effektivität bei Massenimplementierung</w:t>
      </w:r>
    </w:p>
    <w:p>
      <w:r>
        <w:rPr>
          <w:i/>
          <w:color w:val="666666"/>
          <w:sz w:val="18"/>
        </w:rPr>
        <w:t>Nichol B et al.  ·  Lancet Prim Care  ·  Sept. 2026  ·  PMID 42877070</w:t>
      </w:r>
    </w:p>
    <w:p>
      <w:r>
        <w:t>Rückwirkende Analyse der flächendeckenden Einführung von GP-unterstützten SMS-Erinnerungen für Zervixkrebsscreenings in London (Juni 2021–März 2024).</w:t>
      </w:r>
    </w:p>
    <w:p>
      <w:r>
        <w:rPr>
          <w:b/>
        </w:rPr>
        <w:t xml:space="preserve">Ergebnis: </w:t>
      </w:r>
      <w:r>
        <w:t>Von 3.127.759 Personen erhielten 2.112.003 (67,5 %) SMS-Erinnerungen. Teilnahmequote mit SMS: 51,7 % vs. ohne SMS: 25,0 %; Odds Ratio 3,36 (95%-KI 3,31–3,40, p &lt; 0,0001). SMS-Versand stieg Teilnahme um 1,7 Prozentpunkte.</w:t>
      </w:r>
    </w:p>
    <w:p>
      <w:r>
        <w:rPr>
          <w:b/>
          <w:sz w:val="19"/>
        </w:rPr>
        <w:t xml:space="preserve">Übertragbarkeit: </w:t>
      </w:r>
      <w:r>
        <w:rPr>
          <w:sz w:val="19"/>
        </w:rPr>
        <w:t>Britische Primärversorgung, gut übertragbar auf deutsche Screeningprogramme in der Hausarztpraxis</w:t>
      </w:r>
    </w:p>
    <w:p>
      <w:r>
        <w:rPr>
          <w:color w:val="5A7D3A"/>
          <w:sz w:val="18"/>
        </w:rPr>
        <w:t>https://pubmed.ncbi.nlm.nih.gov/42877070/</w:t>
      </w:r>
    </w:p>
    <w:p>
      <w:pPr>
        <w:pStyle w:val="Heading2"/>
      </w:pPr>
      <w:r>
        <w:t>Generationensolidarität in der Pandemie: Geschlechter- und Altersstereotype in deutschen Medien</w:t>
      </w:r>
    </w:p>
    <w:p>
      <w:r>
        <w:rPr>
          <w:i/>
          <w:color w:val="666666"/>
          <w:sz w:val="18"/>
        </w:rPr>
        <w:t>Boser EK et al.  ·  Int J Equity Health  ·  12.10.2026  ·  PMID 42875791</w:t>
      </w:r>
    </w:p>
    <w:p>
      <w:r>
        <w:t>Qualitative Inhaltsanalyse von 351 Artikeln aus zwei großen deutschen Wochenzeitungen (März 2020–Juni 2022) zur Verschränkung von Generationen-, Geschlechter- und Altersdebatten während COVID-19.</w:t>
      </w:r>
    </w:p>
    <w:p>
      <w:r>
        <w:rPr>
          <w:b/>
        </w:rPr>
        <w:t xml:space="preserve">Ergebnis: </w:t>
      </w:r>
      <w:r>
        <w:t>Mediendebatten zeigten Verwobenheit von Altersrassismus und Geschlechternormen. Zwei paradigmatische Fälle offenbarten persistente geschlechts- und altersspezifische Annahmen über Moralakteure und Solidaritätserwartungen. Festgestellte gendered age divide widerlegt simplistische Solidaritätsnarrative und bekräftigt Notwendigkeit intersektionaler Perspektiven.</w:t>
      </w:r>
    </w:p>
    <w:p>
      <w:r>
        <w:rPr>
          <w:b/>
          <w:sz w:val="19"/>
        </w:rPr>
        <w:t xml:space="preserve">Übertragbarkeit: </w:t>
      </w:r>
      <w:r>
        <w:rPr>
          <w:sz w:val="19"/>
        </w:rPr>
        <w:t>Deutsche Medienanalyse, direkt auf deutsches Versorgungssystem und Gesundheitspolitik anwendbar</w:t>
      </w:r>
    </w:p>
    <w:p>
      <w:r>
        <w:rPr>
          <w:color w:val="5A7D3A"/>
          <w:sz w:val="18"/>
        </w:rPr>
        <w:t>https://pubmed.ncbi.nlm.nih.gov/42875791/</w:t>
      </w:r>
    </w:p>
    <w:p>
      <w:pPr>
        <w:pStyle w:val="Heading2"/>
      </w:pPr>
      <w:r>
        <w:t>Kosteneffektivität von Rehabilitations-Follow-up zuhause statt in Einrichtungen</w:t>
      </w:r>
    </w:p>
    <w:p>
      <w:r>
        <w:rPr>
          <w:i/>
          <w:color w:val="666666"/>
          <w:sz w:val="18"/>
        </w:rPr>
        <w:t>Gamble CJ et al.  ·  Eur J Health Econ  ·  15.10.2026  ·  PMID 42875712</w:t>
      </w:r>
    </w:p>
    <w:p>
      <w:r>
        <w:t>Prospektive Kohortenstudie mit historischer Kontrolle: Vergleich von Heimrehabilitation nach verkürztem stationärem Aufenthalt versus konventioneller rein stationärer Rehabilitation (350 Patienten, 8 niederländische Zentren).</w:t>
      </w:r>
    </w:p>
    <w:p>
      <w:r>
        <w:rPr>
          <w:b/>
        </w:rPr>
        <w:t xml:space="preserve">Ergebnis: </w:t>
      </w:r>
      <w:r>
        <w:t>Incremental Effect: 0,44 Barthel-Index-Punkte (95%-KI −0,44 bis 1,31); Kosten: −€722,63 (95%-KI −€2.693,68 bis €1.248,43). Adjustierte Kosten betrugen −€654,72 pro Patient (95%-KI −€1.035,66 bis −€267,48). Better@Home erzielte vergleichbare ADL-Unabhängigkeit bei niedrigeren Kosten.</w:t>
      </w:r>
    </w:p>
    <w:p>
      <w:r>
        <w:rPr>
          <w:b/>
          <w:sz w:val="19"/>
        </w:rPr>
        <w:t xml:space="preserve">Übertragbarkeit: </w:t>
      </w:r>
      <w:r>
        <w:rPr>
          <w:sz w:val="19"/>
        </w:rPr>
        <w:t>Niederlande, Sozialversicherungssystem mit ähnlicher Versorgungsstruktur wie Deutschland</w:t>
      </w:r>
    </w:p>
    <w:p>
      <w:r>
        <w:rPr>
          <w:color w:val="5A7D3A"/>
          <w:sz w:val="18"/>
        </w:rPr>
        <w:t>https://pubmed.ncbi.nlm.nih.gov/42875712/</w:t>
      </w:r>
    </w:p>
    <w:p>
      <w:pPr>
        <w:pStyle w:val="Heading1"/>
      </w:pPr>
      <w:r>
        <w:t>Aufgenommen am 15.10.2026</w:t>
      </w:r>
    </w:p>
    <w:p>
      <w:pPr>
        <w:pStyle w:val="Heading2"/>
      </w:pPr>
      <w:r>
        <w:t>Online-Diabetesschulung in England: Langzeit-Kosteneffektivität einer kostenlosen Interventionen</w:t>
      </w:r>
    </w:p>
    <w:p>
      <w:r>
        <w:rPr>
          <w:i/>
          <w:color w:val="666666"/>
          <w:sz w:val="18"/>
        </w:rPr>
        <w:t>Paterson L et al.  ·  Diabet Med  ·  14.10.2026  ·  PMID 42875188</w:t>
      </w:r>
    </w:p>
    <w:p>
      <w:r>
        <w:t>Eine Simulation mit Routinedaten zur Kosteneffektivität eines kostenlosen Online-Schulungsprogramms für Typ-2-Diabetes in England über die gesamte Lebensspanne.</w:t>
      </w:r>
    </w:p>
    <w:p>
      <w:r>
        <w:rPr>
          <w:b/>
        </w:rPr>
        <w:t xml:space="preserve">Ergebnis: </w:t>
      </w:r>
      <w:r>
        <w:t>Modest improvement in health (0,016 QALYs), kleine Reduktion der Lebenszeit-Kosten (-4 £/Person), netto £216/Nutzer mit Cost-per-QALY von £13.192 unter dem NICE-Schwellenwert (£25.000/QALY), also kosteneffektiv.</w:t>
      </w:r>
    </w:p>
    <w:p>
      <w:r>
        <w:rPr>
          <w:b/>
          <w:sz w:val="19"/>
        </w:rPr>
        <w:t xml:space="preserve">Übertragbarkeit: </w:t>
      </w:r>
      <w:r>
        <w:rPr>
          <w:sz w:val="19"/>
        </w:rPr>
        <w:t>England, NHS-Perspektive; teilweise übertragbar auf deutsche gesetzliche Krankenversicherung bei ähnlichen Interventionskosten.</w:t>
      </w:r>
    </w:p>
    <w:p>
      <w:r>
        <w:rPr>
          <w:color w:val="5A7D3A"/>
          <w:sz w:val="18"/>
        </w:rPr>
        <w:t>https://pubmed.ncbi.nlm.nih.gov/42875188/</w:t>
      </w:r>
    </w:p>
    <w:p>
      <w:pPr>
        <w:pStyle w:val="Heading2"/>
      </w:pPr>
      <w:r>
        <w:t>Versorgungsungleichheiten bei kolorektalen Lebermetastasen in England</w:t>
      </w:r>
    </w:p>
    <w:p>
      <w:r>
        <w:rPr>
          <w:i/>
          <w:color w:val="666666"/>
          <w:sz w:val="18"/>
        </w:rPr>
        <w:t>Saito MK et al.  ·  J Cancer Policy  ·  14.10.2026  ·  PMID 42874958</w:t>
      </w:r>
    </w:p>
    <w:p>
      <w:r>
        <w:t>Analyse von Versorgungsungleichheiten in der Leberteilresektion bei synchronen/metachronen Lebermetastasen nach sozioökonomischem Status.</w:t>
      </w:r>
    </w:p>
    <w:p>
      <w:r>
        <w:rPr>
          <w:b/>
        </w:rPr>
        <w:t xml:space="preserve">Ergebnis: </w:t>
      </w:r>
      <w:r>
        <w:t>Kumulative Resektions-/Ablationsraten 8,7% (synchron) bzw. 23,5% (metachron); adjusted Ungleichheitslücke zwischen ärmster und wohlhabendster Gruppe 2,6% bei synchronen Metastasen, 1,0% bei metachronen.</w:t>
      </w:r>
    </w:p>
    <w:p>
      <w:r>
        <w:rPr>
          <w:b/>
          <w:sz w:val="19"/>
        </w:rPr>
        <w:t xml:space="preserve">Übertragbarkeit: </w:t>
      </w:r>
      <w:r>
        <w:rPr>
          <w:sz w:val="19"/>
        </w:rPr>
        <w:t>Englische Krebsregisterdaten; Befunde zur equity-gap in der Spezialisten-Zuweisung relevant für deutsche Diskussion zur Gleichheit der Krebsversorgung.</w:t>
      </w:r>
    </w:p>
    <w:p>
      <w:r>
        <w:rPr>
          <w:color w:val="5A7D3A"/>
          <w:sz w:val="18"/>
        </w:rPr>
        <w:t>https://pubmed.ncbi.nlm.nih.gov/42874958/</w:t>
      </w:r>
    </w:p>
    <w:p>
      <w:pPr>
        <w:pStyle w:val="Heading2"/>
      </w:pPr>
      <w:r>
        <w:t>Langzeitprognose zwangsweise psychiatrisch behandelter Personen in Norwegen</w:t>
      </w:r>
    </w:p>
    <w:p>
      <w:r>
        <w:rPr>
          <w:i/>
          <w:color w:val="666666"/>
          <w:sz w:val="18"/>
        </w:rPr>
        <w:t>Hofstad T et al.  ·  Lancet Psychiatry  ·  Nov. 2026  ·  PMID 42874602</w:t>
      </w:r>
    </w:p>
    <w:p>
      <w:r>
        <w:t>Nationale Registerstudie zur Langzeitprognose (Gesundheit, Kriminalität, Sozioökonomie) bei Personen mit Zwangsbetreuung, Zwangseinweisung und freiwilliger Behandlung.</w:t>
      </w:r>
    </w:p>
    <w:p>
      <w:r>
        <w:rPr>
          <w:b/>
        </w:rPr>
        <w:t xml:space="preserve">Ergebnis: </w:t>
      </w:r>
      <w:r>
        <w:t>Zwangsbetreuungsgruppen zeigten deutlich schlechtere Outcomes: Selbstschadensrisiko in Beobachtungsgruppe 12% (Frauen) vs. 5,5% (Männer); Substanzstörung 39-53%; Gewalt-/Sexualvergehen 14-37%; Invalidenrente CTOs 89-93%; 55,7% der Todesfälle durch Suizid/externe Ursachen.</w:t>
      </w:r>
    </w:p>
    <w:p>
      <w:r>
        <w:rPr>
          <w:b/>
          <w:sz w:val="19"/>
        </w:rPr>
        <w:t xml:space="preserve">Übertragbarkeit: </w:t>
      </w:r>
      <w:r>
        <w:rPr>
          <w:sz w:val="19"/>
        </w:rPr>
        <w:t>Norwegische Registerdaten, ähnlich skandinavisches Gesundheitssystem; Outcomes-Benchmarks für Versorgungsplanung relevant auch für deutsche Psychiatrie.</w:t>
      </w:r>
    </w:p>
    <w:p>
      <w:r>
        <w:rPr>
          <w:color w:val="5A7D3A"/>
          <w:sz w:val="18"/>
        </w:rPr>
        <w:t>https://pubmed.ncbi.nlm.nih.gov/42874602/</w:t>
      </w:r>
    </w:p>
    <w:p>
      <w:pPr>
        <w:pStyle w:val="Heading2"/>
      </w:pPr>
      <w:r>
        <w:t>Digitale Zwillinge und Patientenrechte: Qualitative Studie mit älteren Patienten</w:t>
      </w:r>
    </w:p>
    <w:p>
      <w:r>
        <w:rPr>
          <w:i/>
          <w:color w:val="666666"/>
          <w:sz w:val="18"/>
        </w:rPr>
        <w:t>Zhang W et al.  ·  BMC Health Serv Res  ·  27.08.2026  ·  PMID 42870264</w:t>
      </w:r>
    </w:p>
    <w:p>
      <w:r>
        <w:t>Qualitative Studie (22 Interviews) zu Perspektiven älterer Patienten (≥65 Jahren) mit chronischen Erkrankungen auf die Verwendung ihrer Daten für Virtual Models/digitale Zwillinge.</w:t>
      </w:r>
    </w:p>
    <w:p>
      <w:r>
        <w:rPr>
          <w:b/>
        </w:rPr>
        <w:t xml:space="preserve">Ergebnis: </w:t>
      </w:r>
      <w:r>
        <w:t>Fünf zentrale Themen: (1) Konzeptuelle Undurchsichtigkeit, (2) existenzielles Unbehagen vor manipulierbarem digitalen Abbild ('uncanny self'), (3) Zustimmungsinadäquanz, (4) 'trapped self' (irreversible Datenintegration), (5) Forderung nach Benachrichtigung, laufender Zustimmung, digitaler Löschung und Transparenz.</w:t>
      </w:r>
    </w:p>
    <w:p>
      <w:r>
        <w:rPr>
          <w:b/>
          <w:sz w:val="19"/>
        </w:rPr>
        <w:t xml:space="preserve">Übertragbarkeit: </w:t>
      </w:r>
      <w:r>
        <w:rPr>
          <w:sz w:val="19"/>
        </w:rPr>
        <w:t>Qualitative britische Studie (Wenzhou, China); Befunde zu Patientenperspektive auf KI-Datenverwertung systemübergreifend relevant für deutsche Governance und Ethik.</w:t>
      </w:r>
    </w:p>
    <w:p>
      <w:r>
        <w:rPr>
          <w:color w:val="5A7D3A"/>
          <w:sz w:val="18"/>
        </w:rPr>
        <w:t>https://pubmed.ncbi.nlm.nih.gov/42870264/</w:t>
      </w:r>
    </w:p>
    <w:p>
      <w:pPr>
        <w:pStyle w:val="Heading2"/>
      </w:pPr>
      <w:r>
        <w:t>Patientenwahl des Hausarztes: Kontextuelle Hindernisse in Schweden</w:t>
      </w:r>
    </w:p>
    <w:p>
      <w:r>
        <w:rPr>
          <w:i/>
          <w:color w:val="666666"/>
          <w:sz w:val="18"/>
        </w:rPr>
        <w:t>Blomberg-Ohlström C et al.  ·  BMC Health Serv Res  ·  11.10.2026  ·  PMID 42870246</w:t>
      </w:r>
    </w:p>
    <w:p>
      <w:r>
        <w:t>Qualitative Studie (18 Interviews) zu Bedingungen, die Wahlentscheidungen für Hausarztpraxen beeinflussen; Vergleich mit Wahlen von Pflege- und Schulservices.</w:t>
      </w:r>
    </w:p>
    <w:p>
      <w:r>
        <w:rPr>
          <w:b/>
        </w:rPr>
        <w:t xml:space="preserve">Ergebnis: </w:t>
      </w:r>
      <w:r>
        <w:t>Fünf Kontextfaktoren für niedrige Wahlaktivität: (1) geringe Wahlnotwendigkeit, (2) unsichtbare Anbieterunterschied, (3) Erwartung gleicher Qualität, (4) persönliche Beziehungen, (5) Kontinuität der Beziehung; weniger Informationssuche als bei anderen Dienstleistungen.</w:t>
      </w:r>
    </w:p>
    <w:p>
      <w:r>
        <w:rPr>
          <w:b/>
          <w:sz w:val="19"/>
        </w:rPr>
        <w:t xml:space="preserve">Übertragbarkeit: </w:t>
      </w:r>
      <w:r>
        <w:rPr>
          <w:sz w:val="19"/>
        </w:rPr>
        <w:t>Schwedische qualitative Studie; Befunde zu Wahl-Hürden im Hausarztsektor übertragbar auf deutsches Modell mit begrenztem Wettbewerb.</w:t>
      </w:r>
    </w:p>
    <w:p>
      <w:r>
        <w:rPr>
          <w:color w:val="5A7D3A"/>
          <w:sz w:val="18"/>
        </w:rPr>
        <w:t>https://pubmed.ncbi.nlm.nih.gov/42870246/</w:t>
      </w:r>
    </w:p>
    <w:p>
      <w:pPr>
        <w:pStyle w:val="Heading2"/>
      </w:pPr>
      <w:r>
        <w:t>Nurse-Navigation bei Krebspatienten: RCT-Ergebnisse aus Sachsen</w:t>
      </w:r>
    </w:p>
    <w:p>
      <w:r>
        <w:rPr>
          <w:i/>
          <w:color w:val="666666"/>
          <w:sz w:val="18"/>
        </w:rPr>
        <w:t>Porzig R et al.  ·  Res Health Serv Reg  ·  14.10.2026  ·  PMID 42870145</w:t>
      </w:r>
    </w:p>
    <w:p>
      <w:r>
        <w:t>Randomisierte kontrollierte Studie zur Wirkung eines 12-Monate-Nurse-Navigation-Programms (Onkolotse) auf Krankenhausaufenthalte, psychische Belastung und Kosten.</w:t>
      </w:r>
    </w:p>
    <w:p>
      <w:r>
        <w:rPr>
          <w:b/>
        </w:rPr>
        <w:t xml:space="preserve">Ergebnis: </w:t>
      </w:r>
      <w:r>
        <w:t>Hospitalisierungsrate ITT 43,9% (Intervention) vs. 51,6% (Kontrolle), n.s. (OR 0,74, 95% CI 0,45–1,20, p=0,219); HADS-Angst Δ-0,75 (n.s.), Depression Δ-0,56 (n.s.); Kosten median 14.224€ vs. 12.560€ (n.s.).</w:t>
      </w:r>
    </w:p>
    <w:p>
      <w:r>
        <w:rPr>
          <w:b/>
          <w:sz w:val="19"/>
        </w:rPr>
        <w:t xml:space="preserve">Übertragbarkeit: </w:t>
      </w:r>
      <w:r>
        <w:rPr>
          <w:sz w:val="19"/>
        </w:rPr>
        <w:t>Deutsche Studie (Sachsen, 258 Patienten, 2017–2022); direkt relevant für deutsches Versorgungssystem, dennoch unterversorgt (statistische Kraft unzureichend).</w:t>
      </w:r>
    </w:p>
    <w:p>
      <w:r>
        <w:rPr>
          <w:color w:val="5A7D3A"/>
          <w:sz w:val="18"/>
        </w:rPr>
        <w:t>https://pubmed.ncbi.nlm.nih.gov/42870145/</w:t>
      </w:r>
    </w:p>
    <w:p>
      <w:pPr>
        <w:pStyle w:val="Heading1"/>
      </w:pPr>
      <w:r>
        <w:t>Aufgenommen am 14.10.2026</w:t>
      </w:r>
    </w:p>
    <w:p>
      <w:pPr>
        <w:pStyle w:val="Heading2"/>
      </w:pPr>
      <w:r>
        <w:t>Stepped-Care-Modell für Opioidabhängige: Besserer Zugang zu Medikamenten</w:t>
      </w:r>
    </w:p>
    <w:p>
      <w:r>
        <w:rPr>
          <w:i/>
          <w:color w:val="666666"/>
          <w:sz w:val="18"/>
        </w:rPr>
        <w:t>Li H et al.  ·  Health Serv Res  ·  Okt. 2026  ·  PMID 42869778</w:t>
      </w:r>
    </w:p>
    <w:p>
      <w:r>
        <w:t>Eine US-Studie evaluierte, ob ein nationales Trainings-Programm (SCOUTT) zur Ausweitung der medikamentösen Opioidbehandlung in Primärversorgung und psychischen Gesundheitssettings bei obdacherfahrenen Veterans erfolgreicher war als reguläre Versorgung.</w:t>
      </w:r>
    </w:p>
    <w:p>
      <w:r>
        <w:rPr>
          <w:b/>
        </w:rPr>
        <w:t xml:space="preserve">Ergebnis: </w:t>
      </w:r>
      <w:r>
        <w:t>Patienten in SCOUTT-Einrichtungen erhielten signifikant häufiger Medikamentöse Opioidbehandlung (6,16 Prozentpunkte mehr jegliche MOUD, 7,16 Punkte mehr Buprenorphin; beides 95%-KI statistisch signifikant). Die Differenz-in-Differenzen-Analyse bestätigte diese Ergebnisse (7,85 bzw. 9,31 Punkte Unterschied).</w:t>
      </w:r>
    </w:p>
    <w:p>
      <w:r>
        <w:rPr>
          <w:b/>
          <w:sz w:val="19"/>
        </w:rPr>
        <w:t xml:space="preserve">Übertragbarkeit: </w:t>
      </w:r>
      <w:r>
        <w:rPr>
          <w:sz w:val="19"/>
        </w:rPr>
        <w:t>US-Veteranen-System, eingeschränkte Übertragbarkeit auf deutsche Sozialversicherung</w:t>
      </w:r>
    </w:p>
    <w:p>
      <w:r>
        <w:rPr>
          <w:color w:val="5A7D3A"/>
          <w:sz w:val="18"/>
        </w:rPr>
        <w:t>https://pubmed.ncbi.nlm.nih.gov/42869778/</w:t>
      </w:r>
    </w:p>
    <w:p>
      <w:pPr>
        <w:pStyle w:val="Heading2"/>
      </w:pPr>
      <w:r>
        <w:t>Psychische Erkrankungen nach Klinikentlassung: Familien und Profis teilen Medikamenten-Verantwortung</w:t>
      </w:r>
    </w:p>
    <w:p>
      <w:r>
        <w:rPr>
          <w:i/>
          <w:color w:val="666666"/>
          <w:sz w:val="18"/>
        </w:rPr>
        <w:t>Jeffries M et al.  ·  Soc Sci Med  ·  08.10.2026  ·  PMID 42868728</w:t>
      </w:r>
    </w:p>
    <w:p>
      <w:r>
        <w:t>Eine britische Qualitativstudie mit 34 Interviews (Patienten, Angehörige, Gesundheitsfachleute) untersuchte, welche Unterstützungsnetzwerke für sichere Medikamentenadhärenz nach psychiatrischer Klinikentlassung notwendig sind.</w:t>
      </w:r>
    </w:p>
    <w:p>
      <w:r>
        <w:rPr>
          <w:b/>
        </w:rPr>
        <w:t xml:space="preserve">Ergebnis: </w:t>
      </w:r>
      <w:r>
        <w:t>Kernfinding: Medikamentensicherheit nach Entlassung beruht stark auf Unterstützungsnetzwerken und der Medikamenten-'Arbeit' von Patienten und Angehörigen. Professionelle Gesundheitsfachleute spielen eine zentrale, aber variable und kontextabhängige Rolle. Notwendigkeit erkannt: Stärkere Anerkennung von Sozialkontakten und 'situated medicines work' für bessere Sicherheit.</w:t>
      </w:r>
    </w:p>
    <w:p>
      <w:r>
        <w:rPr>
          <w:b/>
          <w:sz w:val="19"/>
        </w:rPr>
        <w:t xml:space="preserve">Übertragbarkeit: </w:t>
      </w:r>
      <w:r>
        <w:rPr>
          <w:sz w:val="19"/>
        </w:rPr>
        <w:t>Großbritannien, NHS-System; Erkenntnisse zu Netzwerken übertragbar auf deutsche Gemeindepsychiatrie</w:t>
      </w:r>
    </w:p>
    <w:p>
      <w:r>
        <w:rPr>
          <w:color w:val="5A7D3A"/>
          <w:sz w:val="18"/>
        </w:rPr>
        <w:t>https://pubmed.ncbi.nlm.nih.gov/42868728/</w:t>
      </w:r>
    </w:p>
    <w:p>
      <w:pPr>
        <w:pStyle w:val="Heading2"/>
      </w:pPr>
      <w:r>
        <w:t>Arbeit und Therapietreue: Sozialer Zusammenhalt im Beruf fördert Adherence</w:t>
      </w:r>
    </w:p>
    <w:p>
      <w:r>
        <w:rPr>
          <w:i/>
          <w:color w:val="666666"/>
          <w:sz w:val="18"/>
        </w:rPr>
        <w:t>Aalbers E et al.  ·  PLoS One  ·  13.10.2026  ·  PMID 42868134</w:t>
      </w:r>
    </w:p>
    <w:p>
      <w:r>
        <w:t>Eine niederländische Querschnittsstudie untersuchte bei 309 berufstätigen Personen mit chronischen Erkrankungen, wie Arbeitsmerkmale (Umfang, Anforderungen, Inklusion) mit der Einhaltung von Medikamenten- und Termintreue assoziiert sind.</w:t>
      </w:r>
    </w:p>
    <w:p>
      <w:r>
        <w:rPr>
          <w:b/>
        </w:rPr>
        <w:t xml:space="preserve">Ergebnis: </w:t>
      </w:r>
      <w:r>
        <w:t>Therapietreue-Rate betrug 56 Prozent. Soziale Inklusion am Arbeitsplatz erhöhte die Adhärenz signifikant (adjustierte OR 1,50, 95%-KI 1,00-2,25, p=0,049). Moderate physische Arbeitsanforderungen waren mit niedrigerer Adhärenz assoziiert (aOR 0,49, 95%-KI 0,26-0,92, p=0,026).</w:t>
      </w:r>
    </w:p>
    <w:p>
      <w:r>
        <w:rPr>
          <w:b/>
          <w:sz w:val="19"/>
        </w:rPr>
        <w:t xml:space="preserve">Übertragbarkeit: </w:t>
      </w:r>
      <w:r>
        <w:rPr>
          <w:sz w:val="19"/>
        </w:rPr>
        <w:t>Niederlande, vergleichbares Sozialversicherungssystem mit chronisch kranker Erwerbsbevölkerung</w:t>
      </w:r>
    </w:p>
    <w:p>
      <w:r>
        <w:rPr>
          <w:color w:val="5A7D3A"/>
          <w:sz w:val="18"/>
        </w:rPr>
        <w:t>https://pubmed.ncbi.nlm.nih.gov/42868134/</w:t>
      </w:r>
    </w:p>
    <w:p>
      <w:pPr>
        <w:pStyle w:val="Heading2"/>
      </w:pPr>
      <w:r>
        <w:t>Digitale Fragebögien vor Arztbesuch: Dokumentation wird vollständiger</w:t>
      </w:r>
    </w:p>
    <w:p>
      <w:r>
        <w:rPr>
          <w:i/>
          <w:color w:val="666666"/>
          <w:sz w:val="18"/>
        </w:rPr>
        <w:t>Roemer A et al.  ·  BMC Health Serv Res  ·  09.10.2026  ·  PMID 42864663</w:t>
      </w:r>
    </w:p>
    <w:p>
      <w:r>
        <w:t>Eine deutschsprachige Pilotstudie (n=43) aus Rheumatologie, Dermatologie und Orthopädie testete, ob computergenerierte Patientenfragebögien mit standardisierter Zusammenfassung vor dem Termin die Vollständigkeit der klinischen Dokumentation verbessert.</w:t>
      </w:r>
    </w:p>
    <w:p>
      <w:r>
        <w:rPr>
          <w:b/>
        </w:rPr>
        <w:t xml:space="preserve">Ergebnis: </w:t>
      </w:r>
      <w:r>
        <w:t>Dokumentationsvollständigkeit stieg von 46,9 Prozent (Kontrolle) auf 100 Prozent (Intervention) im Median (p&lt;0,001). Alle Interventions-Patienten hatten die generierte Zusammenfassung in der Krankenakte. 95,3 Prozent der Patienten und 100 Prozent der Ärzte befürworteten das System.</w:t>
      </w:r>
    </w:p>
    <w:p>
      <w:r>
        <w:rPr>
          <w:b/>
          <w:sz w:val="19"/>
        </w:rPr>
        <w:t xml:space="preserve">Übertragbarkeit: </w:t>
      </w:r>
      <w:r>
        <w:rPr>
          <w:sz w:val="19"/>
        </w:rPr>
        <w:t>Deutsche Studienzentren, direkt anwendbar auf deutsches Versorgungssystem</w:t>
      </w:r>
    </w:p>
    <w:p>
      <w:r>
        <w:rPr>
          <w:color w:val="5A7D3A"/>
          <w:sz w:val="18"/>
        </w:rPr>
        <w:t>https://pubmed.ncbi.nlm.nih.gov/42864663/</w:t>
      </w:r>
    </w:p>
    <w:p>
      <w:pPr>
        <w:pStyle w:val="Heading2"/>
      </w:pPr>
      <w:r>
        <w:t>Hausärzte-Ausbildung: Umgang mit Unsicherheit muss trainiert werden</w:t>
      </w:r>
    </w:p>
    <w:p>
      <w:r>
        <w:rPr>
          <w:i/>
          <w:color w:val="666666"/>
          <w:sz w:val="18"/>
        </w:rPr>
        <w:t>Dreher AC et al.  ·  BMC Med Educ  ·  12.10.2026  ·  PMID 42864649</w:t>
      </w:r>
    </w:p>
    <w:p>
      <w:r>
        <w:t>Eine qualitative Studie mit 22 deutschen Hausarzt-Weiterbildungsassistenten (Heidelberg) explorierte, wie Ärzte-in-Ausbildung Unsicherheit in der Primärversorgung erleben und bewältigen.</w:t>
      </w:r>
    </w:p>
    <w:p>
      <w:r>
        <w:rPr>
          <w:b/>
        </w:rPr>
        <w:t xml:space="preserve">Ergebnis: </w:t>
      </w:r>
      <w:r>
        <w:t>Trainees berichten von Unsicherheit auf drei Ebenen: Selbstzweifel (intrapersonal), Patientenfaktoren (interpersonal) und Kontext (systemisch). Bewältigungsstrategien waren Abwarten, Kollegenrat, externe Quellen und Intuition. Kernaussage: Gezieltes Training für Unsicherheitsmanagement fehlt und wäre nötig.</w:t>
      </w:r>
    </w:p>
    <w:p>
      <w:r>
        <w:rPr>
          <w:b/>
          <w:sz w:val="19"/>
        </w:rPr>
        <w:t xml:space="preserve">Übertragbarkeit: </w:t>
      </w:r>
      <w:r>
        <w:rPr>
          <w:sz w:val="19"/>
        </w:rPr>
        <w:t>Deutsche Hausarzt-Weiterbildung, direkt auf deutsche Versorgung anwendbar</w:t>
      </w:r>
    </w:p>
    <w:p>
      <w:r>
        <w:rPr>
          <w:color w:val="5A7D3A"/>
          <w:sz w:val="18"/>
        </w:rPr>
        <w:t>https://pubmed.ncbi.nlm.nih.gov/42864649/</w:t>
      </w:r>
    </w:p>
    <w:p>
      <w:pPr>
        <w:pStyle w:val="Heading2"/>
      </w:pPr>
      <w:r>
        <w:t>Lebensqualität bei chronischen Wunden: Spanische Cutoff-Werte für klinische Praxis</w:t>
      </w:r>
    </w:p>
    <w:p>
      <w:r>
        <w:rPr>
          <w:i/>
          <w:color w:val="666666"/>
          <w:sz w:val="18"/>
        </w:rPr>
        <w:t>Horcajada-Reales C et al.  ·  Int Wound J  ·  Okt. 2026  ·  PMID 42830425</w:t>
      </w:r>
    </w:p>
    <w:p>
      <w:r>
        <w:t>Eine spanische Validierungsstudie (n=323 Baseline, n=197 Retest) etablierte klinisch interpretierbare Schwellenwerte und Responsivitätsmaße für das Wound-QoL-14-Instrument zur Messung von Wundassoziierter Lebensqualität.</w:t>
      </w:r>
    </w:p>
    <w:p>
      <w:r>
        <w:rPr>
          <w:b/>
        </w:rPr>
        <w:t xml:space="preserve">Ergebnis: </w:t>
      </w:r>
      <w:r>
        <w:t>Einfache Schweregrad-Klassifizierung (0-0,25 / 0,26-1,00 / 1,01-2,00 / 2,01-3,00 / 3,01-4,00) korrelierte moderat mit globaler Verankerungsfrage (polychorische Korrelation 0,653), aber geringe Übereinstimmung (41,5 Prozent Konkordanz, Krippendorffs Alfa 0,609). Smallest detectable change 0,39 Punkte vs. minimale klinisch relevante Differenz 0,53 Punkte.</w:t>
      </w:r>
    </w:p>
    <w:p>
      <w:r>
        <w:rPr>
          <w:b/>
          <w:sz w:val="19"/>
        </w:rPr>
        <w:t xml:space="preserve">Übertragbarkeit: </w:t>
      </w:r>
      <w:r>
        <w:rPr>
          <w:sz w:val="19"/>
        </w:rPr>
        <w:t>Spanien, deutschsprachiger Wundbereich; kulturell angepasste Schwellenwerte hilfreich für deutschsprachige Praxis</w:t>
      </w:r>
    </w:p>
    <w:p>
      <w:r>
        <w:rPr>
          <w:color w:val="5A7D3A"/>
          <w:sz w:val="18"/>
        </w:rPr>
        <w:t>https://pubmed.ncbi.nlm.nih.gov/42830425/</w:t>
      </w:r>
    </w:p>
    <w:p>
      <w:pPr>
        <w:pStyle w:val="Heading1"/>
      </w:pPr>
      <w:r>
        <w:t>Aufgenommen am 13.10.2026</w:t>
      </w:r>
    </w:p>
    <w:p>
      <w:pPr>
        <w:pStyle w:val="Heading2"/>
      </w:pPr>
      <w:r>
        <w:t>Ambulante Versorgungspfade vor Sepsishospitalisierung</w:t>
      </w:r>
    </w:p>
    <w:p>
      <w:r>
        <w:rPr>
          <w:i/>
          <w:color w:val="666666"/>
          <w:sz w:val="18"/>
        </w:rPr>
        <w:t>Storch J et al.  ·  Infection  ·  12.10.2026  ·  PMID 42862469</w:t>
      </w:r>
    </w:p>
    <w:p>
      <w:r>
        <w:t>Bevölkerungsbasierte Analyse deutscher Versichertendaten zu ambulanten Kontakten vor stationärer Sepsisaufnahme: 61,8 % hatten nur ambulante Versorgung, 12,7 % Notfallversorgung, 25,5 % keine Kontakte in der Woche vor Hospitalisierung.</w:t>
      </w:r>
    </w:p>
    <w:p>
      <w:r>
        <w:rPr>
          <w:b/>
        </w:rPr>
        <w:t xml:space="preserve">Ergebnis: </w:t>
      </w:r>
      <w:r>
        <w:t>Bei ambulant versorgten Patienten: durchschnittlich 2,0 Tage (SD 2,3) zwischen letztem infektionsbezogenen Kontakt und Sepsishospitalisierung; 82,3 % hatten Kontakt mit Hausarzt; nur 11,4 % erhielten Antiinfektiva-Verschreibungen. Hinweis auf Chancen zur früheren Sepsis-Erkennung in ambulanten Settings.</w:t>
      </w:r>
    </w:p>
    <w:p>
      <w:r>
        <w:rPr>
          <w:b/>
          <w:sz w:val="19"/>
        </w:rPr>
        <w:t xml:space="preserve">Übertragbarkeit: </w:t>
      </w:r>
      <w:r>
        <w:rPr>
          <w:sz w:val="19"/>
        </w:rPr>
        <w:t>Deutsche Routinedaten (AOK) mit 238.247 Patienten, hohe Übertragbarkeit auf hiesiges Versorgungssystem</w:t>
      </w:r>
    </w:p>
    <w:p>
      <w:r>
        <w:rPr>
          <w:color w:val="5A7D3A"/>
          <w:sz w:val="18"/>
        </w:rPr>
        <w:t>https://pubmed.ncbi.nlm.nih.gov/42862469/</w:t>
      </w:r>
    </w:p>
    <w:p>
      <w:pPr>
        <w:pStyle w:val="Heading2"/>
      </w:pPr>
      <w:r>
        <w:t>Beteiligung älterer Menschen mit Sturztrauma in Forschung</w:t>
      </w:r>
    </w:p>
    <w:p>
      <w:r>
        <w:rPr>
          <w:i/>
          <w:color w:val="666666"/>
          <w:sz w:val="18"/>
        </w:rPr>
        <w:t>Reeck N et al.  ·  Health Expect  ·  Okt. 2026  ·  PMID 42861438</w:t>
      </w:r>
    </w:p>
    <w:p>
      <w:r>
        <w:t>Qualitative Evaluationsstudie zur Partizipation von 8 älteren Personen mit Sturzererfahrung über 3 Jahre; Bewertung mit Evaluationsinstrumenten und Prozessdokumentation.</w:t>
      </w:r>
    </w:p>
    <w:p>
      <w:r>
        <w:rPr>
          <w:b/>
        </w:rPr>
        <w:t xml:space="preserve">Ergebnis: </w:t>
      </w:r>
      <w:r>
        <w:t>Kern-Befunde: Positive Atmosphäre bei Treffen, anfängliche Unklarheit über Projektzweck; Partizipatives Forschungsteam beeinflusste verschiedene Projektphasen (z.B. Fokusgruppen-Design); gesundheitsbedingte Absenzen erforderten Aufnahme von 3 neuen Teilnehmern; Kontextfaktoren (Infrastruktur) unterstützend, aber verbesserte Informationsstrukturen nötig.</w:t>
      </w:r>
    </w:p>
    <w:p>
      <w:r>
        <w:rPr>
          <w:b/>
          <w:sz w:val="19"/>
        </w:rPr>
        <w:t xml:space="preserve">Übertragbarkeit: </w:t>
      </w:r>
      <w:r>
        <w:rPr>
          <w:sz w:val="19"/>
        </w:rPr>
        <w:t>Deutsche Universität (Oldenburg), geriatrisches Setting, Methoden der Patient Engagement-Evaluierung</w:t>
      </w:r>
    </w:p>
    <w:p>
      <w:r>
        <w:rPr>
          <w:color w:val="5A7D3A"/>
          <w:sz w:val="18"/>
        </w:rPr>
        <w:t>https://pubmed.ncbi.nlm.nih.gov/42861438/</w:t>
      </w:r>
    </w:p>
    <w:p>
      <w:pPr>
        <w:pStyle w:val="Heading2"/>
      </w:pPr>
      <w:r>
        <w:t>Repräsentativität von Brustkrebs-Befragten in England</w:t>
      </w:r>
    </w:p>
    <w:p>
      <w:r>
        <w:rPr>
          <w:i/>
          <w:color w:val="666666"/>
          <w:sz w:val="18"/>
        </w:rPr>
        <w:t>Blacker S et al.  ·  BMJ Open  ·  09.10.2026  ·  PMID 42855234</w:t>
      </w:r>
    </w:p>
    <w:p>
      <w:r>
        <w:t>Kohortenstudie mit Datenverknüpfung von nationaler Patientenerfahrungsbefragung mit Krebsregister zur Beurteilung der Selektionsbias bei Rücklaufquoten.</w:t>
      </w:r>
    </w:p>
    <w:p>
      <w:r>
        <w:rPr>
          <w:b/>
        </w:rPr>
        <w:t xml:space="preserve">Ergebnis: </w:t>
      </w:r>
      <w:r>
        <w:t>Linked Analyse von 71.640 Brustkrebs-Patientinnen zeigte, welche Charakteristika mit Rücklauf assoziiert waren; Identifikation systemischer Unterschiede zwischen Respondern und Nicht-Respondern für informierte Bias-Interpretation in zukünftigen Experience-Surveys.</w:t>
      </w:r>
    </w:p>
    <w:p>
      <w:r>
        <w:rPr>
          <w:b/>
          <w:sz w:val="19"/>
        </w:rPr>
        <w:t xml:space="preserve">Übertragbarkeit: </w:t>
      </w:r>
      <w:r>
        <w:rPr>
          <w:sz w:val="19"/>
        </w:rPr>
        <w:t>Methodische Versorgungsforschung, NHS-Daten, Sampling-Fragen auch in Deutschland relevant</w:t>
      </w:r>
    </w:p>
    <w:p>
      <w:r>
        <w:rPr>
          <w:color w:val="5A7D3A"/>
          <w:sz w:val="18"/>
        </w:rPr>
        <w:t>https://pubmed.ncbi.nlm.nih.gov/42855234/</w:t>
      </w:r>
    </w:p>
    <w:p>
      <w:pPr>
        <w:pStyle w:val="Heading2"/>
      </w:pPr>
      <w:r>
        <w:t>Labor-Phänotypen nach Reanimation und Mortalität</w:t>
      </w:r>
    </w:p>
    <w:p>
      <w:r>
        <w:rPr>
          <w:i/>
          <w:color w:val="666666"/>
          <w:sz w:val="18"/>
        </w:rPr>
        <w:t>Liu X et al.  ·  Resuscitation  ·  09.10.2026  ·  PMID 42855036</w:t>
      </w:r>
    </w:p>
    <w:p>
      <w:r>
        <w:t>Nationale 10-Jahres-Kohortenstudie aus Singapur (1514 reanimierte Patienten) mit Latent-Class-Analyse von 14 Laborvariablen innerhalb 6 Stunden nach ROSC zur Vorhersage neurologischer Outcomes.</w:t>
      </w:r>
    </w:p>
    <w:p>
      <w:r>
        <w:rPr>
          <w:b/>
        </w:rPr>
        <w:t xml:space="preserve">Ergebnis: </w:t>
      </w:r>
      <w:r>
        <w:t>Drei prognostisch distinkte Phänotypen identifiziert: Multi-Organ-Dysfunktion (MOD, N=286), Homeostase (HOM, N=967), Immun-Dysregulation (IMD, N=261). HOM und IMD hatten niedrigere Odds für schlechte neurologische Erholung vs. MOD (aOR 0,50 bzw. 0,46, p≤0,004). Unterschiede auch für 30-Tage- und 3-Jahres-Mortalität signifikant (aHR 0,71–0,78).</w:t>
      </w:r>
    </w:p>
    <w:p>
      <w:r>
        <w:rPr>
          <w:b/>
          <w:sz w:val="19"/>
        </w:rPr>
        <w:t xml:space="preserve">Übertragbarkeit: </w:t>
      </w:r>
      <w:r>
        <w:rPr>
          <w:sz w:val="19"/>
        </w:rPr>
        <w:t>Nationale Kohortendaten Singapur, externe Validierung erforderlich, Laborbiomarker systemunabhängig</w:t>
      </w:r>
    </w:p>
    <w:p>
      <w:r>
        <w:rPr>
          <w:color w:val="5A7D3A"/>
          <w:sz w:val="18"/>
        </w:rPr>
        <w:t>https://pubmed.ncbi.nlm.nih.gov/42855036/</w:t>
      </w:r>
    </w:p>
    <w:p>
      <w:pPr>
        <w:pStyle w:val="Heading2"/>
      </w:pPr>
      <w:r>
        <w:t>Infektionsrisiko unter Rituximab-Therapie bei MS</w:t>
      </w:r>
    </w:p>
    <w:p>
      <w:r>
        <w:rPr>
          <w:i/>
          <w:color w:val="666666"/>
          <w:sz w:val="18"/>
        </w:rPr>
        <w:t>Pihl-Jensen G et al.  ·  Neurol Clin Pract  ·  08.10.2026  ·  PMID 42854181</w:t>
      </w:r>
    </w:p>
    <w:p>
      <w:r>
        <w:t>Norwegische national-weite Beobachtungsstudie (Verknüpfung Gesundheitsregister mit MS-Registry 2010–Juni 2022) bei 3.410 MS-Patienten zu Infektionsrisiko unter Rituximab nach Dosierungsintervall und Alter.</w:t>
      </w:r>
    </w:p>
    <w:p>
      <w:r>
        <w:rPr>
          <w:b/>
        </w:rPr>
        <w:t xml:space="preserve">Ergebnis: </w:t>
      </w:r>
      <w:r>
        <w:t>13.774 Infektionen auf 13.811 Behandlungsepisoden. Verlängerte Dosierungsintervalle assoziiert mit niedrigerem Gesamtinfektionsrisiko: 2 vs. 4 Infusionen/2 Jahre HR 0,90 (95% CI 0,82–0,99); 1 Infusion HR 0,78 (0,69–0,88). Krankenhaus-Infektionen: nur HR 0,68 (0,59–0,79) für 1 vs. 4 Infusionen. Alter ≥60 Jahre HR 1,36 (1,07–1,71) für Klinik-Infektionen.</w:t>
      </w:r>
    </w:p>
    <w:p>
      <w:r>
        <w:rPr>
          <w:b/>
          <w:sz w:val="19"/>
        </w:rPr>
        <w:t xml:space="preserve">Übertragbarkeit: </w:t>
      </w:r>
      <w:r>
        <w:rPr>
          <w:sz w:val="19"/>
        </w:rPr>
        <w:t>Norwegen (skandinavisches Versorgungssystem), Behandlungs-Effektivität und Sicherheit grundsätzlich transferabel</w:t>
      </w:r>
    </w:p>
    <w:p>
      <w:r>
        <w:rPr>
          <w:color w:val="5A7D3A"/>
          <w:sz w:val="18"/>
        </w:rPr>
        <w:t>https://pubmed.ncbi.nlm.nih.gov/42854181/</w:t>
      </w:r>
    </w:p>
    <w:p>
      <w:pPr>
        <w:pStyle w:val="Heading2"/>
      </w:pPr>
      <w:r>
        <w:t>Postpartales Medicaid-Coverage und Mütter-Erfahrungen</w:t>
      </w:r>
    </w:p>
    <w:p>
      <w:r>
        <w:rPr>
          <w:i/>
          <w:color w:val="666666"/>
          <w:sz w:val="18"/>
        </w:rPr>
        <w:t>Raffa BJ et al.  ·  JAMA Netw Open  ·  01.10.2026  ·  PMID 42853565</w:t>
      </w:r>
    </w:p>
    <w:p>
      <w:r>
        <w:t>Qualitative Studie mit 16 Müttern (semistrukturierte Interviews, April–Oktober 2025) in Nordkarolina zur Erfahrung mit erweitertem postpartalen Medicaid-Coverage (60 Tage auf 12 Monate).</w:t>
      </w:r>
    </w:p>
    <w:p>
      <w:r>
        <w:rPr>
          <w:b/>
        </w:rPr>
        <w:t xml:space="preserve">Ergebnis: </w:t>
      </w:r>
      <w:r>
        <w:t>Fünf Hauptthemen: Verwirrung um Coverage, Medicaid ermöglicht Versorgungszugang, psychische Gesundheit kritisch im postpartalen Zeitfenster, reduzierter finanzischer Stress mit verbesserter Familiendynamik, Medicaid verhindert Versorgungsverzicht. Bewusstsein über Policy-Änderungen war Schlüssel für Nutzen.</w:t>
      </w:r>
    </w:p>
    <w:p>
      <w:r>
        <w:rPr>
          <w:b/>
          <w:sz w:val="19"/>
        </w:rPr>
        <w:t xml:space="preserve">Übertragbarkeit: </w:t>
      </w:r>
      <w:r>
        <w:rPr>
          <w:sz w:val="19"/>
        </w:rPr>
        <w:t>Nur bedingt: US-Medicaid-System, andere Finanzierungslogik als deutsche gesetzliche Versicherung</w:t>
      </w:r>
    </w:p>
    <w:p>
      <w:r>
        <w:rPr>
          <w:color w:val="5A7D3A"/>
          <w:sz w:val="18"/>
        </w:rPr>
        <w:t>https://pubmed.ncbi.nlm.nih.gov/42853565/</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2026-10-25T06:00:00Z</dcterms:created>
  <dcterms:modified xsi:type="dcterms:W3CDTF">2026-10-25T06:00:00Z</dcterms:modified>
  <cp:category/>
</cp:coreProperties>
</file>