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16.09.2026  |  6 Studien  |  wissen.m-vf.de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Pragmatisches Vorhersagemodell für Asthma-Klinikreadmissionen</w:t>
      </w:r>
    </w:p>
    <w:p>
      <w:r>
        <w:rPr>
          <w:i/>
          <w:color w:val="666666"/>
          <w:sz w:val="18"/>
        </w:rPr>
        <w:t>Tay TR et al.  ·  Respir Med  ·  15.09.2026  ·  PMID 42744205</w:t>
      </w:r>
    </w:p>
    <w:p>
      <w:r>
        <w:t>Entwicklung und externe Validierung eines neunfaktoriellen Vorhersagemodells für Krankenhauswiederaufnahmen nach Asthmaexazerbation innerhalb von 12 Monaten.</w:t>
      </w:r>
    </w:p>
    <w:p>
      <w:r>
        <w:rPr>
          <w:b/>
        </w:rPr>
        <w:t xml:space="preserve">Ergebnis: </w:t>
      </w:r>
      <w:r>
        <w:t>READMIT-Modell zeigte gute Diskriminierung im Entwicklungs-(AUC 0,748; 95% KI 0,711–0,785) und externen Kohort (AUC 0,737; 95% KI 0,712–0,762), mit zufriedenstellender Kalibrierung.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Singapur-Daten, aber Fragestellung zu klinischen Prozessen systemunabhängig</w:t>
      </w:r>
    </w:p>
    <w:p>
      <w:r>
        <w:rPr>
          <w:color w:val="5A7D3A"/>
          <w:sz w:val="18"/>
        </w:rPr>
        <w:t>https://pubmed.ncbi.nlm.nih.gov/42744205/</w:t>
      </w:r>
    </w:p>
    <w:p>
      <w:pPr>
        <w:pStyle w:val="Heading2"/>
      </w:pPr>
      <w:r>
        <w:t>Buprenorphin-Verordnungen nach Einführung eines niedrigschwelligen virtuellen Netzwerks</w:t>
      </w:r>
    </w:p>
    <w:p>
      <w:r>
        <w:rPr>
          <w:i/>
          <w:color w:val="666666"/>
          <w:sz w:val="18"/>
        </w:rPr>
        <w:t>Lindenfeld Z et al.  ·  J Subst Use Addict Treat  ·  15.09.2026  ·  PMID 42744115</w:t>
      </w:r>
    </w:p>
    <w:p>
      <w:r>
        <w:t>Analyse der Auswirkungen eines kommunalen Rapid-Access-Modells (RealFix) mit virtuellen Anbietern auf die Buprenorphin-Verschreibungen in Paterson, New Jersey, mittels Differenzen-in-Differenzen-Analyse (2021–2025).</w:t>
      </w:r>
    </w:p>
    <w:p>
      <w:r>
        <w:rPr>
          <w:b/>
        </w:rPr>
        <w:t xml:space="preserve">Ergebnis: </w:t>
      </w:r>
      <w:r>
        <w:t>RealFix war mit Zunahmen von 66,5–76,8 Buprenorphin-Rezepten pro 10.000 Einwohner monatlich verbunden (14,6–17,0% Anstieg über Kontrollgruppen hinaus); Retentionseffekte waren gemischt.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(Medicaid)-Daten, aber Fragestellung zu niedrigschwelliger Zugangssteuerung auf andere Systeme übertragbar</w:t>
      </w:r>
    </w:p>
    <w:p>
      <w:r>
        <w:rPr>
          <w:color w:val="5A7D3A"/>
          <w:sz w:val="18"/>
        </w:rPr>
        <w:t>https://pubmed.ncbi.nlm.nih.gov/42744115/</w:t>
      </w:r>
    </w:p>
    <w:p>
      <w:pPr>
        <w:pStyle w:val="Heading2"/>
      </w:pPr>
      <w:r>
        <w:t>Routinedaten in der onkologischen Versorgungsforschung: Chancen und Herausforderungen</w:t>
      </w:r>
    </w:p>
    <w:p>
      <w:r>
        <w:rPr>
          <w:i/>
          <w:color w:val="666666"/>
          <w:sz w:val="18"/>
        </w:rPr>
        <w:t>Kästner A et al.  ·  Gesundheitswesen  ·  15.09.2026  ·  PMID 42743977</w:t>
      </w:r>
    </w:p>
    <w:p>
      <w:r>
        <w:t>Qualitative Analyse praktischer Erfahrungen mit Krebsregisterdaten und Abrechnungsdaten von Krankenkassen für Versorgungsforschung am Beispiel eines Innovationsfonds-Projekts.</w:t>
      </w:r>
    </w:p>
    <w:p>
      <w:r>
        <w:rPr>
          <w:b/>
        </w:rPr>
        <w:t xml:space="preserve">Ergebnis: </w:t>
      </w:r>
      <w:r>
        <w:t>Verlinkung von Krebsregistern und Abrechnungsdaten ermöglicht umfassende Analysen von Langzeitoutcomes und Versorgungsstrukturen, erfordert jedoch zeitintensive Abstimmungs- und Genehmigungsprozesse sowie spezialisierte methodische Expertise.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Gesundheitssystem, Krebsregister nach §65c SGB V und gesetzliche Krankenkassen</w:t>
      </w:r>
    </w:p>
    <w:p>
      <w:r>
        <w:rPr>
          <w:color w:val="5A7D3A"/>
          <w:sz w:val="18"/>
        </w:rPr>
        <w:t>https://pubmed.ncbi.nlm.nih.gov/42743977/</w:t>
      </w:r>
    </w:p>
    <w:p>
      <w:pPr>
        <w:pStyle w:val="Heading2"/>
      </w:pPr>
      <w:r>
        <w:t>Präferenzen für dezentrale ophthalmologische Kliniken: Diskrete-Wahl-Experiment im UK</w:t>
      </w:r>
    </w:p>
    <w:p>
      <w:r>
        <w:rPr>
          <w:i/>
          <w:color w:val="666666"/>
          <w:sz w:val="18"/>
        </w:rPr>
        <w:t>Ndwandwe S et al.  ·  PLoS One  ·  15.09.2026  ·  PMID 42743352</w:t>
      </w:r>
    </w:p>
    <w:p>
      <w:r>
        <w:t>Diskrete-Wahl-Experiment mit 389 Befragten (Patienten, Fachkräfte, Öffentlichkeit) zu Präferenzen für Merkmale einer techniker-geleiteten asynchronen Augenklinik zur Überwachung chronischer Augenerkrankungen.</w:t>
      </w:r>
    </w:p>
    <w:p>
      <w:r>
        <w:rPr>
          <w:b/>
        </w:rPr>
        <w:t xml:space="preserve">Ergebnis: </w:t>
      </w:r>
      <w:r>
        <w:t>Wer einen Techniker statt Kliniker sah und Ergebnisse per Post erhielt, benötigte Reduktion der Terminverzögerung um 6,27 Monate (95% KI 4,52–8,03) oder Fahrtzeit um 153 Minuten (95% KI 88–219); techniker-geleitete Modelle könnten kliniker-geleitete Services ergänzen, wenn sie Verzögerungen verkürzen.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NHS-System, teilweise übertragbar auf dezentrale Versorgungsmodelle in Deutschland</w:t>
      </w:r>
    </w:p>
    <w:p>
      <w:r>
        <w:rPr>
          <w:color w:val="5A7D3A"/>
          <w:sz w:val="18"/>
        </w:rPr>
        <w:t>https://pubmed.ncbi.nlm.nih.gov/42743352/</w:t>
      </w:r>
    </w:p>
    <w:p>
      <w:pPr>
        <w:pStyle w:val="Heading2"/>
      </w:pPr>
      <w:r>
        <w:t>Psychische Belastung von Gesundheitsfachkräften in der COVID-19-Pandemie</w:t>
      </w:r>
    </w:p>
    <w:p>
      <w:r>
        <w:rPr>
          <w:i/>
          <w:color w:val="666666"/>
          <w:sz w:val="18"/>
        </w:rPr>
        <w:t>Peters C et al.  ·  Front Public Health  ·  31.08.2026  ·  PMID 42741285</w:t>
      </w:r>
    </w:p>
    <w:p>
      <w:r>
        <w:t>Querschnittstudie zu Arbeitsbedingungen und psychischer Gesundheit von 576 Beschäftigten in deutschen Gesundheits- und Sozialeinrichtungen während COVID-19.</w:t>
      </w:r>
    </w:p>
    <w:p>
      <w:r>
        <w:rPr>
          <w:b/>
        </w:rPr>
        <w:t xml:space="preserve">Ergebnis: </w:t>
      </w:r>
      <w:r>
        <w:t>59% waren Gesundheitsfachkräfte; diese berichteten schlechtere Arbeitsfähigkeit (6,9 vs. 7,3), höhere emotionale Belastung und depressive Symptome; ca. ein Fünftel zeigte moderate bis schwere psychische 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Studie in Deutschland durchgeführt</w:t>
      </w:r>
    </w:p>
    <w:p>
      <w:r>
        <w:rPr>
          <w:color w:val="5A7D3A"/>
          <w:sz w:val="18"/>
        </w:rPr>
        <w:t>https://pubmed.ncbi.nlm.nih.gov/42741285/</w:t>
      </w:r>
    </w:p>
    <w:p>
      <w:pPr>
        <w:pStyle w:val="Heading2"/>
      </w:pPr>
      <w:r>
        <w:t>Zugang zur elektronischen Patientenakte über Krankenversicherer-Apps in Deutschland</w:t>
      </w:r>
    </w:p>
    <w:p>
      <w:r>
        <w:rPr>
          <w:i/>
          <w:color w:val="666666"/>
          <w:sz w:val="18"/>
        </w:rPr>
        <w:t>May S et al.  ·  JMIR Mhealth Uhealth  ·  14.09.2026  ·  PMID 42735900</w:t>
      </w:r>
    </w:p>
    <w:p>
      <w:r>
        <w:t>Qualitative Interviewstudie mit 23 Personen zu Nutzererfahrungen beim Einrichten und Authentifizieren des Zugangs zur ePA durch Versicherer-Apps.</w:t>
      </w:r>
    </w:p>
    <w:p>
      <w:r>
        <w:rPr>
          <w:b/>
        </w:rPr>
        <w:t xml:space="preserve">Ergebnis: </w:t>
      </w:r>
      <w:r>
        <w:t>Zugang besteht nicht aus einem einzelnen Schritt, sondern aus fünf interdependenten Phasen (Orientierung, technischer Zugang, Verifizierung, Unterbrechungen, initiale Nutzung); Barrieren akkumulieren sich über Phasen hinweg und führen zu wiederholten Versuchen.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und ePA-Implementierung, direkt für deutsches System anwendbar</w:t>
      </w:r>
    </w:p>
    <w:p>
      <w:r>
        <w:rPr>
          <w:color w:val="5A7D3A"/>
          <w:sz w:val="18"/>
        </w:rPr>
        <w:t>https://pubmed.ncbi.nlm.nih.gov/42735900/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