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19.09.2026  |  6 Studien  |  wissen.m-vf.de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Verbesserung von Peer-Support für Mütter mit HIV in Kenia</w:t>
      </w:r>
    </w:p>
    <w:p>
      <w:r>
        <w:rPr>
          <w:i/>
          <w:color w:val="666666"/>
          <w:sz w:val="18"/>
        </w:rPr>
        <w:t>Carlucci JG et al.  ·  PLOS Glob Public Health  ·  18.09.2026  ·  PMID 42758698</w:t>
      </w:r>
    </w:p>
    <w:p>
      <w:r>
        <w:t>Qualitative Interviews mit 16 Mentor Mothers und 36 Frauen mit HIV in Westkenias PMTCT-Programmen zur Verbesserung von Peer-Support-Diensten.</w:t>
      </w:r>
    </w:p>
    <w:p>
      <w:r>
        <w:rPr>
          <w:b/>
        </w:rPr>
        <w:t xml:space="preserve">Ergebnis: </w:t>
      </w:r>
      <w:r>
        <w:t>Beide Gruppen befürworteten Risikostratifizierung: intensive Services für Hochrisiko-Mütter, weniger intensive für Niedrigrisiko. Zentral: empathische Mentoring-Beziehungen mit geteilten Erfahrungen; nötig aber bessere Aufgabendefinition, Kapazitätsaufbau, faire Kompensation und Ressourcen für ökonomische 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Kenia; Modell zu Peer-Support-Effektivität auf andere LMIC-Kontexte übertragbar</w:t>
      </w:r>
    </w:p>
    <w:p>
      <w:r>
        <w:rPr>
          <w:color w:val="5A7D3A"/>
          <w:sz w:val="18"/>
        </w:rPr>
        <w:t>https://pubmed.ncbi.nlm.nih.gov/42758698/</w:t>
      </w:r>
    </w:p>
    <w:p>
      <w:pPr>
        <w:pStyle w:val="Heading2"/>
      </w:pPr>
      <w:r>
        <w:t>Implementierungsstrategie für betriebliche Rauchentwöhnung mit Anreizen</w:t>
      </w:r>
    </w:p>
    <w:p>
      <w:r>
        <w:rPr>
          <w:i/>
          <w:color w:val="666666"/>
          <w:sz w:val="18"/>
        </w:rPr>
        <w:t>van den Brand FA et al.  ·  PLoS One  ·  18.09.2026  ·  PMID 42758680</w:t>
      </w:r>
    </w:p>
    <w:p>
      <w:r>
        <w:t>Systematische Entwicklung einer Implementierungsstrategie für Workplace-Rauchentwöhnungsprogramme mit finanziellen Anreizen mittels Implementation Mapping in den Niederlanden.</w:t>
      </w:r>
    </w:p>
    <w:p>
      <w:r>
        <w:rPr>
          <w:b/>
        </w:rPr>
        <w:t xml:space="preserve">Ergebnis: </w:t>
      </w:r>
      <w:r>
        <w:t>Identifizierte Schlüsseladoptoren (Geschäftsführung, HR-Manager) und Implementierer sowie sieben Determinanten für erfolgreiche Durchführung. Entwickelte evidenzbasierte Strategien einschließlich Implementierungsleitfaden, Website, Video und Webinar. Stakeholder-Feedback führte zu Verbesserungen.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ähnliches Sozialversicherungssystem mit Betriebsstruktur</w:t>
      </w:r>
    </w:p>
    <w:p>
      <w:r>
        <w:rPr>
          <w:color w:val="5A7D3A"/>
          <w:sz w:val="18"/>
        </w:rPr>
        <w:t>https://pubmed.ncbi.nlm.nih.gov/42758680/</w:t>
      </w:r>
    </w:p>
    <w:p>
      <w:pPr>
        <w:pStyle w:val="Heading2"/>
      </w:pPr>
      <w:r>
        <w:t>Kognitive Verzerrungen und Nierenfunktions-Risikoperception bei älteren CKD-Patienten</w:t>
      </w:r>
    </w:p>
    <w:p>
      <w:r>
        <w:rPr>
          <w:i/>
          <w:color w:val="666666"/>
          <w:sz w:val="18"/>
        </w:rPr>
        <w:t>Bonnet K et al.  ·  Clin J Am Soc Nephrol  ·  18.09.2026  ·  PMID 42758548</w:t>
      </w:r>
    </w:p>
    <w:p>
      <w:r>
        <w:t>Mixed-Methods-Studie mit Älteren (&gt;60 Jahre) im Stadium 3B–5 CKD zu kognitiven Verzerrungen bei der Wahrnehmung ihres Nierenfunktionsausfallrisikos.</w:t>
      </w:r>
    </w:p>
    <w:p>
      <w:r>
        <w:rPr>
          <w:b/>
        </w:rPr>
        <w:t xml:space="preserve">Ergebnis: </w:t>
      </w:r>
      <w:r>
        <w:t>Nur 24% der Teilnehmer hatten Prognosekonsens (objektives vs. subjektiv wahrgenommenes Risiko). Höhere Patient Activation war unabhängig mit niedrigeren Odds für Unsicherheit assoziiert (OR 0,66; 95%-KI 0,44–0,99). Qualitativ: Empfehlungen für hoffnungsvolle Sprache, Einbeziehen von Angehörigen und numeracy-Berücksichtigung.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US-Daten, aber Fragestellung zur Patientenkommunikation systemunabhängig</w:t>
      </w:r>
    </w:p>
    <w:p>
      <w:r>
        <w:rPr>
          <w:color w:val="5A7D3A"/>
          <w:sz w:val="18"/>
        </w:rPr>
        <w:t>https://pubmed.ncbi.nlm.nih.gov/42758548/</w:t>
      </w:r>
    </w:p>
    <w:p>
      <w:pPr>
        <w:pStyle w:val="Heading2"/>
      </w:pPr>
      <w:r>
        <w:t>Komplexe-Versorgungsprogramm reduziert Krankenhausnutzung bei Kindern</w:t>
      </w:r>
    </w:p>
    <w:p>
      <w:r>
        <w:rPr>
          <w:i/>
          <w:color w:val="666666"/>
          <w:sz w:val="18"/>
        </w:rPr>
        <w:t>Lee J et al.  ·  J Pediatr Health Care  ·  17.09.2026  ·  PMID 42758058</w:t>
      </w:r>
    </w:p>
    <w:p>
      <w:r>
        <w:t>Retrospektive Kohortenstudie von 71 Kindern mit medizinischer Komplexität in einem Cross-Setting-Komplexcare-Programm mit kleinem Kernteam (2015–2024).</w:t>
      </w:r>
    </w:p>
    <w:p>
      <w:r>
        <w:rPr>
          <w:b/>
        </w:rPr>
        <w:t xml:space="preserve">Ergebnis: </w:t>
      </w:r>
      <w:r>
        <w:t>Hospitalisierungen sanken von 3,5 auf 2,0 pro Jahr (p &lt; 0,001), Verweildauer von 41,5 auf 11,5 Tage pro Jahr (p &lt; 0,001). Adjustierte Analysen zeigten 32% Reduktion bei Hospitalisierungen und 72% bei Verweildauer.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US-amerikanische Universitätsklinik, aber Modell zum Case Management übertragbar</w:t>
      </w:r>
    </w:p>
    <w:p>
      <w:r>
        <w:rPr>
          <w:color w:val="5A7D3A"/>
          <w:sz w:val="18"/>
        </w:rPr>
        <w:t>https://pubmed.ncbi.nlm.nih.gov/42758058/</w:t>
      </w:r>
    </w:p>
    <w:p>
      <w:pPr>
        <w:pStyle w:val="Heading2"/>
      </w:pPr>
      <w:r>
        <w:t>Barrieren von Frontline-Mitarbeitern bei TB-Diensten in High-Burden-Ländern</w:t>
      </w:r>
    </w:p>
    <w:p>
      <w:r>
        <w:rPr>
          <w:i/>
          <w:color w:val="666666"/>
          <w:sz w:val="18"/>
        </w:rPr>
        <w:t>Cox SR et al.  ·  J Glob Health  ·  18.09.2026  ·  PMID 42757757</w:t>
      </w:r>
    </w:p>
    <w:p>
      <w:r>
        <w:t>Scoping Review von 189 Studien (2010–2025) zu Healthcare-Worker-bezogenen Barrieren bei TB-Prävention, Diagnostik und Behandlung in WHO-High-Burden-Ländern.</w:t>
      </w:r>
    </w:p>
    <w:p>
      <w:r>
        <w:rPr>
          <w:b/>
        </w:rPr>
        <w:t xml:space="preserve">Ergebnis: </w:t>
      </w:r>
      <w:r>
        <w:t>Wissens- und Skill-Lücken waren die häufigsten Barrieren (n = 128 Studien). Weitere Themen: Provider-Patient-Kommunikation, Stigma (n = 74 Studien), Motivation für qualitativ hochwertige TB-Pflege (n = 69 Studien). COM-B-Framework identifizierte umsetzbare Targets.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 mit Ressourcenlimitationen; Erkenntnisse zu HSR-Barrieren international relevant</w:t>
      </w:r>
    </w:p>
    <w:p>
      <w:r>
        <w:rPr>
          <w:color w:val="5A7D3A"/>
          <w:sz w:val="18"/>
        </w:rPr>
        <w:t>https://pubmed.ncbi.nlm.nih.gov/42757757/</w:t>
      </w:r>
    </w:p>
    <w:p>
      <w:pPr>
        <w:pStyle w:val="Heading2"/>
      </w:pPr>
      <w:r>
        <w:t>Strukturierte Laktationsberatung und Muttermilchbanken in deutschen NICUs</w:t>
      </w:r>
    </w:p>
    <w:p>
      <w:r>
        <w:rPr>
          <w:i/>
          <w:color w:val="666666"/>
          <w:sz w:val="18"/>
        </w:rPr>
        <w:t>Köberlein-Neu J et al.  ·  BMC Med  ·  11.09.2026  ·  PMID 42754870</w:t>
      </w:r>
    </w:p>
    <w:p>
      <w:r>
        <w:t>Stepped-Wedge-Cluster-RCT in 15 deutschen Level-I-NICUs zur Wirksamkeit von strukturierter Laktationsberatung mit Donor-Milk-Banking auf ausschließliches Stillen bei Entlassung.</w:t>
      </w:r>
    </w:p>
    <w:p>
      <w:r>
        <w:rPr>
          <w:b/>
        </w:rPr>
        <w:t xml:space="preserve">Ergebnis: </w:t>
      </w:r>
      <w:r>
        <w:t>Ausschließliches Stillen bei Entlassung stieg um 11 Prozentpunkte (95%-KI: 3,0–19,0; p = 0,007) von 43% Baseline. Keine signifikanten Unterschiede in klinischen Komplikationen oder Verweildauer. Implementierbarkeit und Durchführungstreue waren ausreichend (Beratung in 71% wie geplant).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RCT-Daten, gesetzlich versicherte Neugeborene in Universitätskliniken</w:t>
      </w:r>
    </w:p>
    <w:p>
      <w:r>
        <w:rPr>
          <w:color w:val="5A7D3A"/>
          <w:sz w:val="18"/>
        </w:rPr>
        <w:t>https://pubmed.ncbi.nlm.nih.gov/42754870/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