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19.09.2026  |  212 Studien  |  wissen.m-vf.de</w:t>
      </w:r>
    </w:p>
    <w:p>
      <w:pPr>
        <w:pStyle w:val="Heading1"/>
      </w:pPr>
      <w:r>
        <w:t>Aufgenommen am 19.09.2026</w:t>
      </w:r>
    </w:p>
    <w:p>
      <w:pPr>
        <w:pStyle w:val="Heading2"/>
      </w:pPr>
      <w:r>
        <w:t>Verbesserung von Peer-Support für Mütter mit HIV in Kenia</w:t>
      </w:r>
    </w:p>
    <w:p>
      <w:r>
        <w:rPr>
          <w:i/>
          <w:color w:val="666666"/>
          <w:sz w:val="18"/>
        </w:rPr>
        <w:t>Carlucci JG et al.  ·  PLOS Glob Public Health  ·  18.09.2026  ·  PMID 42758698</w:t>
      </w:r>
    </w:p>
    <w:p>
      <w:r>
        <w:t>Qualitative Interviews mit 16 Mentor Mothers und 36 Frauen mit HIV in Westkenias PMTCT-Programmen zur Verbesserung von Peer-Support-Diensten.</w:t>
      </w:r>
    </w:p>
    <w:p>
      <w:r>
        <w:rPr>
          <w:b/>
        </w:rPr>
        <w:t xml:space="preserve">Ergebnis: </w:t>
      </w:r>
      <w:r>
        <w:t>Beide Gruppen befürworteten Risikostratifizierung: intensive Services für Hochrisiko-Mütter, weniger intensive für Niedrigrisiko. Zentral: empathische Mentoring-Beziehungen mit geteilten Erfahrungen; nötig aber bessere Aufgabendefinition, Kapazitätsaufbau, faire Kompensation und Ressourcen für ökonomische Barrieren.</w:t>
      </w:r>
    </w:p>
    <w:p>
      <w:r>
        <w:rPr>
          <w:b/>
          <w:sz w:val="19"/>
        </w:rPr>
        <w:t xml:space="preserve">Übertragbarkeit: </w:t>
      </w:r>
      <w:r>
        <w:rPr>
          <w:sz w:val="19"/>
        </w:rPr>
        <w:t>Kenia; Modell zu Peer-Support-Effektivität auf andere LMIC-Kontexte übertragbar</w:t>
      </w:r>
    </w:p>
    <w:p>
      <w:r>
        <w:rPr>
          <w:color w:val="5A7D3A"/>
          <w:sz w:val="18"/>
        </w:rPr>
        <w:t>https://pubmed.ncbi.nlm.nih.gov/42758698/</w:t>
      </w:r>
    </w:p>
    <w:p>
      <w:pPr>
        <w:pStyle w:val="Heading2"/>
      </w:pPr>
      <w:r>
        <w:t>Implementierungsstrategie für betriebliche Rauchentwöhnung mit Anreizen</w:t>
      </w:r>
    </w:p>
    <w:p>
      <w:r>
        <w:rPr>
          <w:i/>
          <w:color w:val="666666"/>
          <w:sz w:val="18"/>
        </w:rPr>
        <w:t>van den Brand FA et al.  ·  PLoS One  ·  18.09.2026  ·  PMID 42758680</w:t>
      </w:r>
    </w:p>
    <w:p>
      <w:r>
        <w:t>Systematische Entwicklung einer Implementierungsstrategie für Workplace-Rauchentwöhnungsprogramme mit finanziellen Anreizen mittels Implementation Mapping in den Niederlanden.</w:t>
      </w:r>
    </w:p>
    <w:p>
      <w:r>
        <w:rPr>
          <w:b/>
        </w:rPr>
        <w:t xml:space="preserve">Ergebnis: </w:t>
      </w:r>
      <w:r>
        <w:t>Identifizierte Schlüsseladoptoren (Geschäftsführung, HR-Manager) und Implementierer sowie sieben Determinanten für erfolgreiche Durchführung. Entwickelte evidenzbasierte Strategien einschließlich Implementierungsleitfaden, Website, Video und Webinar. Stakeholder-Feedback führte zu Verbesserungen.</w:t>
      </w:r>
    </w:p>
    <w:p>
      <w:r>
        <w:rPr>
          <w:b/>
          <w:sz w:val="19"/>
        </w:rPr>
        <w:t xml:space="preserve">Übertragbarkeit: </w:t>
      </w:r>
      <w:r>
        <w:rPr>
          <w:sz w:val="19"/>
        </w:rPr>
        <w:t>Niederlande, ähnliches Sozialversicherungssystem mit Betriebsstruktur</w:t>
      </w:r>
    </w:p>
    <w:p>
      <w:r>
        <w:rPr>
          <w:color w:val="5A7D3A"/>
          <w:sz w:val="18"/>
        </w:rPr>
        <w:t>https://pubmed.ncbi.nlm.nih.gov/42758680/</w:t>
      </w:r>
    </w:p>
    <w:p>
      <w:pPr>
        <w:pStyle w:val="Heading2"/>
      </w:pPr>
      <w:r>
        <w:t>Kognitive Verzerrungen und Nierenfunktions-Risikoperception bei älteren CKD-Patienten</w:t>
      </w:r>
    </w:p>
    <w:p>
      <w:r>
        <w:rPr>
          <w:i/>
          <w:color w:val="666666"/>
          <w:sz w:val="18"/>
        </w:rPr>
        <w:t>Bonnet K et al.  ·  Clin J Am Soc Nephrol  ·  18.09.2026  ·  PMID 42758548</w:t>
      </w:r>
    </w:p>
    <w:p>
      <w:r>
        <w:t>Mixed-Methods-Studie mit Älteren (&gt;60 Jahre) im Stadium 3B–5 CKD zu kognitiven Verzerrungen bei der Wahrnehmung ihres Nierenfunktionsausfallrisikos.</w:t>
      </w:r>
    </w:p>
    <w:p>
      <w:r>
        <w:rPr>
          <w:b/>
        </w:rPr>
        <w:t xml:space="preserve">Ergebnis: </w:t>
      </w:r>
      <w:r>
        <w:t>Nur 24% der Teilnehmer hatten Prognosekonsens (objektives vs. subjektiv wahrgenommenes Risiko). Höhere Patient Activation war unabhängig mit niedrigeren Odds für Unsicherheit assoziiert (OR 0,66; 95%-KI 0,44–0,99). Qualitativ: Empfehlungen für hoffnungsvolle Sprache, Einbeziehen von Angehörigen und numeracy-Berücksichtigung.</w:t>
      </w:r>
    </w:p>
    <w:p>
      <w:r>
        <w:rPr>
          <w:b/>
          <w:sz w:val="19"/>
        </w:rPr>
        <w:t xml:space="preserve">Übertragbarkeit: </w:t>
      </w:r>
      <w:r>
        <w:rPr>
          <w:sz w:val="19"/>
        </w:rPr>
        <w:t>US-Daten, aber Fragestellung zur Patientenkommunikation systemunabhängig</w:t>
      </w:r>
    </w:p>
    <w:p>
      <w:r>
        <w:rPr>
          <w:color w:val="5A7D3A"/>
          <w:sz w:val="18"/>
        </w:rPr>
        <w:t>https://pubmed.ncbi.nlm.nih.gov/42758548/</w:t>
      </w:r>
    </w:p>
    <w:p>
      <w:pPr>
        <w:pStyle w:val="Heading2"/>
      </w:pPr>
      <w:r>
        <w:t>Komplexe-Versorgungsprogramm reduziert Krankenhausnutzung bei Kindern</w:t>
      </w:r>
    </w:p>
    <w:p>
      <w:r>
        <w:rPr>
          <w:i/>
          <w:color w:val="666666"/>
          <w:sz w:val="18"/>
        </w:rPr>
        <w:t>Lee J et al.  ·  J Pediatr Health Care  ·  17.09.2026  ·  PMID 42758058</w:t>
      </w:r>
    </w:p>
    <w:p>
      <w:r>
        <w:t>Retrospektive Kohortenstudie von 71 Kindern mit medizinischer Komplexität in einem Cross-Setting-Komplexcare-Programm mit kleinem Kernteam (2015–2024).</w:t>
      </w:r>
    </w:p>
    <w:p>
      <w:r>
        <w:rPr>
          <w:b/>
        </w:rPr>
        <w:t xml:space="preserve">Ergebnis: </w:t>
      </w:r>
      <w:r>
        <w:t>Hospitalisierungen sanken von 3,5 auf 2,0 pro Jahr (p &lt; 0,001), Verweildauer von 41,5 auf 11,5 Tage pro Jahr (p &lt; 0,001). Adjustierte Analysen zeigten 32% Reduktion bei Hospitalisierungen und 72% bei Verweildauer.</w:t>
      </w:r>
    </w:p>
    <w:p>
      <w:r>
        <w:rPr>
          <w:b/>
          <w:sz w:val="19"/>
        </w:rPr>
        <w:t xml:space="preserve">Übertragbarkeit: </w:t>
      </w:r>
      <w:r>
        <w:rPr>
          <w:sz w:val="19"/>
        </w:rPr>
        <w:t>US-amerikanische Universitätsklinik, aber Modell zum Case Management übertragbar</w:t>
      </w:r>
    </w:p>
    <w:p>
      <w:r>
        <w:rPr>
          <w:color w:val="5A7D3A"/>
          <w:sz w:val="18"/>
        </w:rPr>
        <w:t>https://pubmed.ncbi.nlm.nih.gov/42758058/</w:t>
      </w:r>
    </w:p>
    <w:p>
      <w:pPr>
        <w:pStyle w:val="Heading2"/>
      </w:pPr>
      <w:r>
        <w:t>Barrieren von Frontline-Mitarbeitern bei TB-Diensten in High-Burden-Ländern</w:t>
      </w:r>
    </w:p>
    <w:p>
      <w:r>
        <w:rPr>
          <w:i/>
          <w:color w:val="666666"/>
          <w:sz w:val="18"/>
        </w:rPr>
        <w:t>Cox SR et al.  ·  J Glob Health  ·  18.09.2026  ·  PMID 42757757</w:t>
      </w:r>
    </w:p>
    <w:p>
      <w:r>
        <w:t>Scoping Review von 189 Studien (2010–2025) zu Healthcare-Worker-bezogenen Barrieren bei TB-Prävention, Diagnostik und Behandlung in WHO-High-Burden-Ländern.</w:t>
      </w:r>
    </w:p>
    <w:p>
      <w:r>
        <w:rPr>
          <w:b/>
        </w:rPr>
        <w:t xml:space="preserve">Ergebnis: </w:t>
      </w:r>
      <w:r>
        <w:t>Wissens- und Skill-Lücken waren die häufigsten Barrieren (n = 128 Studien). Weitere Themen: Provider-Patient-Kommunikation, Stigma (n = 74 Studien), Motivation für qualitativ hochwertige TB-Pflege (n = 69 Studien). COM-B-Framework identifizierte umsetzbare Targets.</w:t>
      </w:r>
    </w:p>
    <w:p>
      <w:r>
        <w:rPr>
          <w:b/>
          <w:sz w:val="19"/>
        </w:rPr>
        <w:t xml:space="preserve">Übertragbarkeit: </w:t>
      </w:r>
      <w:r>
        <w:rPr>
          <w:sz w:val="19"/>
        </w:rPr>
        <w:t>Länder mit Ressourcenlimitationen; Erkenntnisse zu HSR-Barrieren international relevant</w:t>
      </w:r>
    </w:p>
    <w:p>
      <w:r>
        <w:rPr>
          <w:color w:val="5A7D3A"/>
          <w:sz w:val="18"/>
        </w:rPr>
        <w:t>https://pubmed.ncbi.nlm.nih.gov/42757757/</w:t>
      </w:r>
    </w:p>
    <w:p>
      <w:pPr>
        <w:pStyle w:val="Heading2"/>
      </w:pPr>
      <w:r>
        <w:t>Strukturierte Laktationsberatung und Muttermilchbanken in deutschen NICUs</w:t>
      </w:r>
    </w:p>
    <w:p>
      <w:r>
        <w:rPr>
          <w:i/>
          <w:color w:val="666666"/>
          <w:sz w:val="18"/>
        </w:rPr>
        <w:t>Köberlein-Neu J et al.  ·  BMC Med  ·  11.09.2026  ·  PMID 42754870</w:t>
      </w:r>
    </w:p>
    <w:p>
      <w:r>
        <w:t>Stepped-Wedge-Cluster-RCT in 15 deutschen Level-I-NICUs zur Wirksamkeit von strukturierter Laktationsberatung mit Donor-Milk-Banking auf ausschließliches Stillen bei Entlassung.</w:t>
      </w:r>
    </w:p>
    <w:p>
      <w:r>
        <w:rPr>
          <w:b/>
        </w:rPr>
        <w:t xml:space="preserve">Ergebnis: </w:t>
      </w:r>
      <w:r>
        <w:t>Ausschließliches Stillen bei Entlassung stieg um 11 Prozentpunkte (95%-KI: 3,0–19,0; p = 0,007) von 43% Baseline. Keine signifikanten Unterschiede in klinischen Komplikationen oder Verweildauer. Implementierbarkeit und Durchführungstreue waren ausreichend (Beratung in 71% wie geplant).</w:t>
      </w:r>
    </w:p>
    <w:p>
      <w:r>
        <w:rPr>
          <w:b/>
          <w:sz w:val="19"/>
        </w:rPr>
        <w:t xml:space="preserve">Übertragbarkeit: </w:t>
      </w:r>
      <w:r>
        <w:rPr>
          <w:sz w:val="19"/>
        </w:rPr>
        <w:t>Deutsche RCT-Daten, gesetzlich versicherte Neugeborene in Universitätskliniken</w:t>
      </w:r>
    </w:p>
    <w:p>
      <w:r>
        <w:rPr>
          <w:color w:val="5A7D3A"/>
          <w:sz w:val="18"/>
        </w:rPr>
        <w:t>https://pubmed.ncbi.nlm.nih.gov/42754870/</w:t>
      </w:r>
    </w:p>
    <w:p>
      <w:pPr>
        <w:pStyle w:val="Heading1"/>
      </w:pPr>
      <w:r>
        <w:t>Aufgenommen am 18.09.2026</w:t>
      </w:r>
    </w:p>
    <w:p>
      <w:pPr>
        <w:pStyle w:val="Heading2"/>
      </w:pPr>
      <w:r>
        <w:t>Workforce readiness for Advance Care Planning in ID services</w:t>
      </w:r>
    </w:p>
    <w:p>
      <w:r>
        <w:rPr>
          <w:i/>
          <w:color w:val="666666"/>
          <w:sz w:val="18"/>
        </w:rPr>
        <w:t>Zeilinger EL Prof Dr et al.  ·  J Pain Symptom Manage  ·  17.09.2026  ·  PMID 42754183</w:t>
      </w:r>
    </w:p>
    <w:p>
      <w:r>
        <w:t>Österreichische Querschnittstudie zur Bereitschaft von Betreuungspersonen in Wohneinrichtungen für Menschen mit Behinderungen, ACP-Gespräche zu führen.</w:t>
      </w:r>
    </w:p>
    <w:p>
      <w:r>
        <w:rPr>
          <w:b/>
        </w:rPr>
        <w:t xml:space="preserve">Ergebnis: </w:t>
      </w:r>
      <w:r>
        <w:t>67,7 % der 127 Befragten kannten Patientenverfügungen, aber nur 1,6 % konnten ACP erklären. 68,5 % fühlten sich komfortabel bei ACP-Gesprächen, 85,8 % sahen ACP als wichtig an, und 77,2 % sahen es als ihre Verantwortung. Fehlende konzeptionelle Vorbereitung trotz hoher Unterstützung für ACP.</w:t>
      </w:r>
    </w:p>
    <w:p>
      <w:r>
        <w:rPr>
          <w:b/>
          <w:sz w:val="19"/>
        </w:rPr>
        <w:t xml:space="preserve">Übertragbarkeit: </w:t>
      </w:r>
      <w:r>
        <w:rPr>
          <w:sz w:val="19"/>
        </w:rPr>
        <w:t>Österreich, ähnliche Systemstruktur und Versorgungskontext wie Deutschland</w:t>
      </w:r>
    </w:p>
    <w:p>
      <w:r>
        <w:rPr>
          <w:color w:val="5A7D3A"/>
          <w:sz w:val="18"/>
        </w:rPr>
        <w:t>https://pubmed.ncbi.nlm.nih.gov/42754183/</w:t>
      </w:r>
    </w:p>
    <w:p>
      <w:pPr>
        <w:pStyle w:val="Heading2"/>
      </w:pPr>
      <w:r>
        <w:t>Multilevel-Faktoren bei Non-Response zu Patient-Reported Outcome Measures</w:t>
      </w:r>
    </w:p>
    <w:p>
      <w:r>
        <w:rPr>
          <w:i/>
          <w:color w:val="666666"/>
          <w:sz w:val="18"/>
        </w:rPr>
        <w:t>Liu JB et al.  ·  Qual Life Res  ·  17.09.2026  ·  PMID 42753022</w:t>
      </w:r>
    </w:p>
    <w:p>
      <w:r>
        <w:t>US-Kohortenanalyse von 12.214 Patienten an fünf Strahlentherapie-Kliniken zu Faktoren auf Patient-, Provider- und Klinikebene, die Non-Response zu PROMIS Global-10 vorhersagen.</w:t>
      </w:r>
    </w:p>
    <w:p>
      <w:r>
        <w:rPr>
          <w:b/>
        </w:rPr>
        <w:t xml:space="preserve">Ergebnis: </w:t>
      </w:r>
      <w:r>
        <w:t>Patient- und Termin-Response-Raten: 35,4 % bzw. 31,7 %; Response variierte zwischen Kliniken 12,8–66,2 %. Nach Adjustierung: jüngste Operation (aOR 1,97) und längere Diagnosedauer (aOR 0,46 für &gt;12 Monate) persistierten. Klinik-Implementierungsfaktoren (späte Programmstartzeit aOR 0,29) waren stärker als Patientenmerkmale.</w:t>
      </w:r>
    </w:p>
    <w:p>
      <w:r>
        <w:rPr>
          <w:b/>
          <w:sz w:val="19"/>
        </w:rPr>
        <w:t xml:space="preserve">Übertragbarkeit: </w:t>
      </w:r>
      <w:r>
        <w:rPr>
          <w:sz w:val="19"/>
        </w:rPr>
        <w:t>USA - Methodologie zu PROM-Implementierung systemunabhängig relevant für deutsches QM</w:t>
      </w:r>
    </w:p>
    <w:p>
      <w:r>
        <w:rPr>
          <w:color w:val="5A7D3A"/>
          <w:sz w:val="18"/>
        </w:rPr>
        <w:t>https://pubmed.ncbi.nlm.nih.gov/42753022/</w:t>
      </w:r>
    </w:p>
    <w:p>
      <w:pPr>
        <w:pStyle w:val="Heading2"/>
      </w:pPr>
      <w:r>
        <w:t>Finanzielle Auswirkungen von Schwangerschaft und Geburt bei Louisiana Medicaid</w:t>
      </w:r>
    </w:p>
    <w:p>
      <w:r>
        <w:rPr>
          <w:i/>
          <w:color w:val="666666"/>
          <w:sz w:val="18"/>
        </w:rPr>
        <w:t>Walker B et al.  ·  Health Serv Res  ·  Okt. 2026  ·  PMID 42751818</w:t>
      </w:r>
    </w:p>
    <w:p>
      <w:r>
        <w:t>US-Studie zu Auswirkungen von Schwangerschaft auf Verschuldung und Kreditscores bei Medicaid-Versicherten, stratifiziert nach Ethnie.</w:t>
      </w:r>
    </w:p>
    <w:p>
      <w:r>
        <w:rPr>
          <w:b/>
        </w:rPr>
        <w:t xml:space="preserve">Ergebnis: </w:t>
      </w:r>
      <w:r>
        <w:t>Nicht-hispanische schwarze Frauen zeigten negative finanzielle Folgen: Kreditscores sanken um 4 Punkte (95%-KI: -5,65 bis -1,81), medizinische Schulden stiegen um 41 USD (KI: 6–75), andere Schulden um 44 USD (KI: 15–74). Nicht-hispanische weiße Frauen zeigten keine nachteiligen Auswirkungen.</w:t>
      </w:r>
    </w:p>
    <w:p>
      <w:r>
        <w:rPr>
          <w:b/>
          <w:sz w:val="19"/>
        </w:rPr>
        <w:t xml:space="preserve">Übertragbarkeit: </w:t>
      </w:r>
      <w:r>
        <w:rPr>
          <w:sz w:val="19"/>
        </w:rPr>
        <w:t>USA/Medicaid - Fragestellung aber zu Equity und Versorgungsgerechtigkeit systemunabhängig relevant</w:t>
      </w:r>
    </w:p>
    <w:p>
      <w:r>
        <w:rPr>
          <w:color w:val="5A7D3A"/>
          <w:sz w:val="18"/>
        </w:rPr>
        <w:t>https://pubmed.ncbi.nlm.nih.gov/42751818/</w:t>
      </w:r>
    </w:p>
    <w:p>
      <w:pPr>
        <w:pStyle w:val="Heading2"/>
      </w:pPr>
      <w:r>
        <w:t>Lernen zur Unterstützung von Klientenautonomie in Pflegepraktika</w:t>
      </w:r>
    </w:p>
    <w:p>
      <w:r>
        <w:rPr>
          <w:i/>
          <w:color w:val="666666"/>
          <w:sz w:val="18"/>
        </w:rPr>
        <w:t>Knibbeler MMCJ et al.  ·  Int J Nurs Stud Adv  ·  05.09.2026  ·  PMID 42751206</w:t>
      </w:r>
    </w:p>
    <w:p>
      <w:r>
        <w:t>Qualitative Studie aus Niederlanden zur Frage, wie Pflegestudierende während des klinischen Praktikums lernen, Klientenautonomie zu unterstützen.</w:t>
      </w:r>
    </w:p>
    <w:p>
      <w:r>
        <w:rPr>
          <w:b/>
        </w:rPr>
        <w:t xml:space="preserve">Ergebnis: </w:t>
      </w:r>
      <w:r>
        <w:t>Autonomieförderung war in der Praxis präsent aber inkonsistent; Betreuer interpretierten Autonomie oft als Selbstständigkeit statt Partizipation in Entscheidungen. Implizites Lernen durch Beobachtung dominierte; strukturierte Reflexion war selten. Supervision und Feedback durch Betreuer waren nicht systematisch.</w:t>
      </w:r>
    </w:p>
    <w:p>
      <w:r>
        <w:rPr>
          <w:b/>
          <w:sz w:val="19"/>
        </w:rPr>
        <w:t xml:space="preserve">Übertragbarkeit: </w:t>
      </w:r>
      <w:r>
        <w:rPr>
          <w:sz w:val="19"/>
        </w:rPr>
        <w:t>Niederlande, vergleichbares Pflegeausbildungssystem und Versorgungskontext</w:t>
      </w:r>
    </w:p>
    <w:p>
      <w:r>
        <w:rPr>
          <w:color w:val="5A7D3A"/>
          <w:sz w:val="18"/>
        </w:rPr>
        <w:t>https://pubmed.ncbi.nlm.nih.gov/42751206/</w:t>
      </w:r>
    </w:p>
    <w:p>
      <w:pPr>
        <w:pStyle w:val="Heading2"/>
      </w:pPr>
      <w:r>
        <w:t>Mundgesundheitspflege in Langzeiteinrichtungen: Barrieren und Enabler</w:t>
      </w:r>
    </w:p>
    <w:p>
      <w:r>
        <w:rPr>
          <w:i/>
          <w:color w:val="666666"/>
          <w:sz w:val="18"/>
        </w:rPr>
        <w:t>Spilsbury K et al.  ·  Int J Nurs Stud Adv  ·  13.08.2026  ·  PMID 42750939</w:t>
      </w:r>
    </w:p>
    <w:p>
      <w:r>
        <w:t>Britische Scoping Review zu Faktoren auf Mikro-, Meso- und Makroebene, die Mundgesundheitspflege durch Personal in Altenheimen beeinflussen.</w:t>
      </w:r>
    </w:p>
    <w:p>
      <w:r>
        <w:rPr>
          <w:b/>
        </w:rPr>
        <w:t xml:space="preserve">Ergebnis: </w:t>
      </w:r>
      <w:r>
        <w:t>63 Studien eingeschlossen. Häufigste Einflussfaktoren im COM-B-Modell waren Opportunity-Faktoren (Umgebung, Ressourcen, soziale Einflüsse). Wichtigste Enabler: Schulung, Mundgesundheitskampagnen, unterstützende Führung, Assessmentsysteme. Schlüsselbarrieren: Personalknappheit, Zeitdruck, begrenzte Schulung, niedrige organisationale Priorität, eingeschränkter Zugang zu Zahnservices.</w:t>
      </w:r>
    </w:p>
    <w:p>
      <w:r>
        <w:rPr>
          <w:b/>
          <w:sz w:val="19"/>
        </w:rPr>
        <w:t xml:space="preserve">Übertragbarkeit: </w:t>
      </w:r>
      <w:r>
        <w:rPr>
          <w:sz w:val="19"/>
        </w:rPr>
        <w:t>Großbritannien, Empfehlungen für Langzeitpflege in Deutschland direkt anwendbar</w:t>
      </w:r>
    </w:p>
    <w:p>
      <w:r>
        <w:rPr>
          <w:color w:val="5A7D3A"/>
          <w:sz w:val="18"/>
        </w:rPr>
        <w:t>https://pubmed.ncbi.nlm.nih.gov/42750939/</w:t>
      </w:r>
    </w:p>
    <w:p>
      <w:pPr>
        <w:pStyle w:val="Heading2"/>
      </w:pPr>
      <w:r>
        <w:t>Algorithmen zur Identifikation von HCBS in Medicaid-Claims</w:t>
      </w:r>
    </w:p>
    <w:p>
      <w:r>
        <w:rPr>
          <w:i/>
          <w:color w:val="666666"/>
          <w:sz w:val="18"/>
        </w:rPr>
        <w:t>Dihwa V et al.  ·  Health Serv Res  ·  Okt. 2026  ·  PMID 42750346</w:t>
      </w:r>
    </w:p>
    <w:p>
      <w:r>
        <w:t>US-Evaluationsstudie von drei Algorithmen zur Identifikation von Home- and Community-Based Services in Medicaid-Daten 2021–2023.</w:t>
      </w:r>
    </w:p>
    <w:p>
      <w:r>
        <w:rPr>
          <w:b/>
        </w:rPr>
        <w:t xml:space="preserve">Ergebnis: </w:t>
      </w:r>
      <w:r>
        <w:t>Zwei bestehende Algorithmen zeigten hohe Übereinstimmung (Po = 93 %, Kappa = 0,77). Ein neuer vereinheitlichter Algorithmus adressierte Diskrepanzen durch Novel-Nutzung von Waiver-IDs. Jedoch zeigten einige Bundesstaaten implausible Zählungen oder große Schwankungen über die Jahre (&gt;50 %), was auf Datenqualitätsprobleme hindeutet.</w:t>
      </w:r>
    </w:p>
    <w:p>
      <w:r>
        <w:rPr>
          <w:b/>
          <w:sz w:val="19"/>
        </w:rPr>
        <w:t xml:space="preserve">Übertragbarkeit: </w:t>
      </w:r>
      <w:r>
        <w:rPr>
          <w:sz w:val="19"/>
        </w:rPr>
        <w:t>USA - Datenqualitätsthematik systemunabhängig, aber nur bedingt auf Deutschland übertragbar</w:t>
      </w:r>
    </w:p>
    <w:p>
      <w:r>
        <w:rPr>
          <w:color w:val="5A7D3A"/>
          <w:sz w:val="18"/>
        </w:rPr>
        <w:t>https://pubmed.ncbi.nlm.nih.gov/42750346/</w:t>
      </w:r>
    </w:p>
    <w:p>
      <w:pPr>
        <w:pStyle w:val="Heading1"/>
      </w:pPr>
      <w:r>
        <w:t>Aufgenommen am 17.09.2026</w:t>
      </w:r>
    </w:p>
    <w:p>
      <w:pPr>
        <w:pStyle w:val="Heading2"/>
      </w:pPr>
      <w:r>
        <w:t>Chirurgische Behandlung von NSCLC in England: Trends, Variation und kurzfristige Ergebnisse 2015–2023</w:t>
      </w:r>
    </w:p>
    <w:p>
      <w:r>
        <w:rPr>
          <w:i/>
          <w:color w:val="666666"/>
          <w:sz w:val="18"/>
        </w:rPr>
        <w:t>Dixon LK et al.  ·  BMJ Open  ·  16.09.2026  ·  PMID 42749376</w:t>
      </w:r>
    </w:p>
    <w:p>
      <w:r>
        <w:t>Bevölkerungsgestützte Kohortenstudie zu Trends in der chirurgischen Praxis, regionalen Unterschieden und postoperativen Outcomes bei Lungenkrebs-Resektion in England über 9 Jahre.</w:t>
      </w:r>
    </w:p>
    <w:p>
      <w:r>
        <w:rPr>
          <w:b/>
        </w:rPr>
        <w:t xml:space="preserve">Ergebnis: </w:t>
      </w:r>
      <w:r>
        <w:t>Resektionsrate stieg von 15,4 % (2015) auf 20,9 % (2023); Segmentektomie von 11,2 % auf 20,6 %, minimal-invasive Chirurgie von 47,1 % auf 79,7 %; 90-Tage-Mortalität sank von 4,03 % auf 2,26 %; Verweildauer verkürzt sich, Wiederaufnahmen stabil bei ~10–12 % – jedoch erhebliche Zentren-Heterogenität in Segmentektomie (10,7–80,3 %) und roboterassistierter Chirurgie (0–67 %).</w:t>
      </w:r>
    </w:p>
    <w:p>
      <w:r>
        <w:rPr>
          <w:b/>
          <w:sz w:val="19"/>
        </w:rPr>
        <w:t xml:space="preserve">Übertragbarkeit: </w:t>
      </w:r>
      <w:r>
        <w:rPr>
          <w:sz w:val="19"/>
        </w:rPr>
        <w:t>England, spezialisierte Thoraxchirurgie-Zentren – systemischer Kontext nur bedingt übertragbar</w:t>
      </w:r>
    </w:p>
    <w:p>
      <w:r>
        <w:rPr>
          <w:color w:val="5A7D3A"/>
          <w:sz w:val="18"/>
        </w:rPr>
        <w:t>https://pubmed.ncbi.nlm.nih.gov/42749376/</w:t>
      </w:r>
    </w:p>
    <w:p>
      <w:pPr>
        <w:pStyle w:val="Heading2"/>
      </w:pPr>
      <w:r>
        <w:t>Hybrid-Telemedizin-Hausbesuch-Modell für Pneumonieversorung: Pilot-Fallserie aus Texas</w:t>
      </w:r>
    </w:p>
    <w:p>
      <w:r>
        <w:rPr>
          <w:i/>
          <w:color w:val="666666"/>
          <w:sz w:val="18"/>
        </w:rPr>
        <w:t>Bourmand R et al.  ·  JMIR Form Res  ·  16.09.2026  ·  PMID 42748457</w:t>
      </w:r>
    </w:p>
    <w:p>
      <w:r>
        <w:t>Retrospektive deskriptive Fallserie (n=28 Patienten mit Pneumoniediagnose) zur Implementierbarkeit und Nutzungsmuster eines Hybrid-Modells aus virtueller ärztlicher Bewertung und trainierter Fachperson im Hausbesuch mit digitalen Diagnostik-Tools.</w:t>
      </w:r>
    </w:p>
    <w:p>
      <w:r>
        <w:rPr>
          <w:b/>
        </w:rPr>
        <w:t xml:space="preserve">Ergebnis: </w:t>
      </w:r>
      <w:r>
        <w:t>28 Patienten mit 56 klinischen Kontakten (Median 2, IQR 1–3 pro Patient); CRB-65-Scores 0–2 (46,4 % Score 0, 46,4 % Score 1, 7,1 % Score 2); 8/28 (28,6 %) zur ED überwiesen; Patienten zur ED überwiesen hatten signifikant höhere CRB-65-Scores (Median 1, IQR 1–1,5 vs. Median 0, IQR 0–1; p=0,01); Modell machbar, aber größere prospektive Vergleichsstudien für Outcomes/Sicherheit erforderlich.</w:t>
      </w:r>
    </w:p>
    <w:p>
      <w:r>
        <w:rPr>
          <w:b/>
          <w:sz w:val="19"/>
        </w:rPr>
        <w:t xml:space="preserve">Übertragbarkeit: </w:t>
      </w:r>
      <w:r>
        <w:rPr>
          <w:sz w:val="19"/>
        </w:rPr>
        <w:t>USA – Fragestellung zur Versorgungsmodellintegration systemunabhängig, aber Kontext Urgent Care begrenzt übertragbar</w:t>
      </w:r>
    </w:p>
    <w:p>
      <w:r>
        <w:rPr>
          <w:color w:val="5A7D3A"/>
          <w:sz w:val="18"/>
        </w:rPr>
        <w:t>https://pubmed.ncbi.nlm.nih.gov/42748457/</w:t>
      </w:r>
    </w:p>
    <w:p>
      <w:pPr>
        <w:pStyle w:val="Heading2"/>
      </w:pPr>
      <w:r>
        <w:t>Elektronische Arzneihinweise verbessern Überweisungen zu Diabetes-Selbstmanagement-Schulung</w:t>
      </w:r>
    </w:p>
    <w:p>
      <w:r>
        <w:rPr>
          <w:i/>
          <w:color w:val="666666"/>
          <w:sz w:val="18"/>
        </w:rPr>
        <w:t>Donahue KE et al.  ·  Diabetes Care  ·  16.09.2026  ·  PMID 42747941</w:t>
      </w:r>
    </w:p>
    <w:p>
      <w:r>
        <w:t>Clusterrandomisierte Studie zur Wirkung von Best-Practice-Advisories im EHR auf Überweisungsquoten zu Diabetes-Selbstmanagement-Schulung (DSMES) über 18 Monate in US-Primärversorgung.</w:t>
      </w:r>
    </w:p>
    <w:p>
      <w:r>
        <w:rPr>
          <w:b/>
        </w:rPr>
        <w:t xml:space="preserve">Ergebnis: </w:t>
      </w:r>
      <w:r>
        <w:t>Nach 12 Monaten: 12,9 % Überweisungsrate in Interventionskliniken vs. 1,2 % in Kontrollen (p&lt;0,001); nach 18 Monaten 13,7 % vs. 1,6 % (p&lt;0,001); adjustierte Odds Ratio 10,55 (95%-KI 4,65–23,94) nach 12 Monaten und 9,44 (95%-KI 4,91–18,17) nach 18 Monaten. Standing Orders erhielten diese Gewinne.</w:t>
      </w:r>
    </w:p>
    <w:p>
      <w:r>
        <w:rPr>
          <w:b/>
          <w:sz w:val="19"/>
        </w:rPr>
        <w:t xml:space="preserve">Übertragbarkeit: </w:t>
      </w:r>
      <w:r>
        <w:rPr>
          <w:sz w:val="19"/>
        </w:rPr>
        <w:t>USA, Primärversorgung – Prozessoptimierung systemunabhängig, aber Anreizsystem unterschiedlich</w:t>
      </w:r>
    </w:p>
    <w:p>
      <w:r>
        <w:rPr>
          <w:color w:val="5A7D3A"/>
          <w:sz w:val="18"/>
        </w:rPr>
        <w:t>https://pubmed.ncbi.nlm.nih.gov/42747941/</w:t>
      </w:r>
    </w:p>
    <w:p>
      <w:pPr>
        <w:pStyle w:val="Heading2"/>
      </w:pPr>
      <w:r>
        <w:t>Mehrebenen-Mehrfach-Fallstudie: Methodik zur Analyse komplexer Versorgungstrajektorien älterer Menschen</w:t>
      </w:r>
    </w:p>
    <w:p>
      <w:r>
        <w:rPr>
          <w:i/>
          <w:color w:val="666666"/>
          <w:sz w:val="18"/>
        </w:rPr>
        <w:t>Dieterich A et al.  ·  Z Gerontol Geriatr  ·  16.09.2026  ·  PMID 42747513</w:t>
      </w:r>
    </w:p>
    <w:p>
      <w:r>
        <w:t>Methodisches Diskussionspapier zur Anwendung von Mehrebenen-Mehrfach-Fallstudien als Forschungsdesign zur empirischen Rekonstruktion komplexer Hilfeverläufe in sektorenübergreifender Versorgung für ältere Menschen.</w:t>
      </w:r>
    </w:p>
    <w:p>
      <w:r>
        <w:rPr>
          <w:b/>
        </w:rPr>
        <w:t xml:space="preserve">Ergebnis: </w:t>
      </w:r>
      <w:r>
        <w:t>Fallkonstellationen auf Mikro- (Interaktion Betroffener, professionelle und informelle Helfer), Meso- (Organisationen, Netzwerke) und Makroebene (Rahmenbedingungen) systematisch verknüpft; Methodenkombination (Interviews, Dokumenten-, Sozialraum-, Netzwerkanalysen, reflexive thematische Analyse) ermöglicht kontextabhängige Bedingungen von Versorgung zu identifizieren; Design eröffnet neue Möglichkeiten für Versorgungsforschung, stellt aber hohe Anforderungen an Feldzugang, Datenintegration und Forschungsethik.</w:t>
      </w:r>
    </w:p>
    <w:p>
      <w:r>
        <w:rPr>
          <w:b/>
          <w:sz w:val="19"/>
        </w:rPr>
        <w:t xml:space="preserve">Übertragbarkeit: </w:t>
      </w:r>
      <w:r>
        <w:rPr>
          <w:sz w:val="19"/>
        </w:rPr>
        <w:t>Deutschland, Versorgungsforschung – direkt anwendbare Methodik für sektorenübergreifende Versorgungsanalyse</w:t>
      </w:r>
    </w:p>
    <w:p>
      <w:r>
        <w:rPr>
          <w:color w:val="5A7D3A"/>
          <w:sz w:val="18"/>
        </w:rPr>
        <w:t>https://pubmed.ncbi.nlm.nih.gov/42747513/</w:t>
      </w:r>
    </w:p>
    <w:p>
      <w:pPr>
        <w:pStyle w:val="Heading2"/>
      </w:pPr>
      <w:r>
        <w:t>Zusammenarbeit und Partizipation in integrierter Versorgung: Sicht von Managern mit komplexen Bedarf</w:t>
      </w:r>
    </w:p>
    <w:p>
      <w:r>
        <w:rPr>
          <w:i/>
          <w:color w:val="666666"/>
          <w:sz w:val="18"/>
        </w:rPr>
        <w:t>Hjelm M et al.  ·  BMC Health Serv Res  ·  12.09.2026  ·  PMID 42745286</w:t>
      </w:r>
    </w:p>
    <w:p>
      <w:r>
        <w:t>Qualitative Fokusgruppenstudie (n=13 Manager) zu Barrieren und Facilitatoren interprofessioneller Zusammenarbeit und Patientenbeteiligung in integrierter Gesundheits- und Sozialversorgung für Erwachsene mit komplexen Bedarfen in Schweden.</w:t>
      </w:r>
    </w:p>
    <w:p>
      <w:r>
        <w:rPr>
          <w:b/>
        </w:rPr>
        <w:t xml:space="preserve">Ergebnis: </w:t>
      </w:r>
      <w:r>
        <w:t>Drei zentrale Kategorien identifiziert: (1) organisatorische Voraussetzungen für nachhaltige Verbesserung integrierter Versorgung, (2) interprofessionelle Zusammenarbeit zur Bedarfserfassung, (3) relationale und bedarfsgerechte Ansätze; Kluft zwischen Intention und Implementierung von personenzentrierter, integrierter Versorgung erkannt; Vertrauen, klare Governance und organisatorische Kontinuität als Schlüsselfaktoren.</w:t>
      </w:r>
    </w:p>
    <w:p>
      <w:r>
        <w:rPr>
          <w:b/>
          <w:sz w:val="19"/>
        </w:rPr>
        <w:t xml:space="preserve">Übertragbarkeit: </w:t>
      </w:r>
      <w:r>
        <w:rPr>
          <w:sz w:val="19"/>
        </w:rPr>
        <w:t>Schweden – Primärversorgung und Koordinationsprozesse gut übertragbar auf Deutschland</w:t>
      </w:r>
    </w:p>
    <w:p>
      <w:r>
        <w:rPr>
          <w:color w:val="5A7D3A"/>
          <w:sz w:val="18"/>
        </w:rPr>
        <w:t>https://pubmed.ncbi.nlm.nih.gov/42745286/</w:t>
      </w:r>
    </w:p>
    <w:p>
      <w:pPr>
        <w:pStyle w:val="Heading2"/>
      </w:pPr>
      <w:r>
        <w:t>Lungenkrebs-Screening in Flandern: Barrieren und Facilitatoren aus Stakeholder-Perspektive</w:t>
      </w:r>
    </w:p>
    <w:p>
      <w:r>
        <w:rPr>
          <w:i/>
          <w:color w:val="666666"/>
          <w:sz w:val="18"/>
        </w:rPr>
        <w:t>Michiels L et al.  ·  BMC Health Serv Res  ·  31.08.2026  ·  PMID 42745254</w:t>
      </w:r>
    </w:p>
    <w:p>
      <w:r>
        <w:t>Qualitative exploratorische Studie (22 Gesundheitsfachpersonen, 13 Screening-Berechtigte) zu Implementierungs- und Partizipationsbarrieren sowie Facilitatoren für bevölkerungsgestütztes Lungenkrebs-Screening mit Niedrig-Dosis-CT in Belgien.</w:t>
      </w:r>
    </w:p>
    <w:p>
      <w:r>
        <w:rPr>
          <w:b/>
        </w:rPr>
        <w:t xml:space="preserve">Ergebnis: </w:t>
      </w:r>
      <w:r>
        <w:t>Überwiegend positive Einstellung zum Screening, aber Barrieren: Stigma bezüglich Rauchen, begrenzte Gesundheitskompetenz, indirekte finanzielle/logistische Hindernisse, Angst vor Screening und Warten auf Ergebnisse, Workload-Bedenken, Schulungsbedarf bei Fachpersonen; Facilitatoren: klare Richtlinien, staatliche Koordination/Finanzierung, Integration in Workflows, Zugänglichkeit, public awareness, vertrauensbasierte Kommunikation ohne Wertung.</w:t>
      </w:r>
    </w:p>
    <w:p>
      <w:r>
        <w:rPr>
          <w:b/>
          <w:sz w:val="19"/>
        </w:rPr>
        <w:t xml:space="preserve">Übertragbarkeit: </w:t>
      </w:r>
      <w:r>
        <w:rPr>
          <w:sz w:val="19"/>
        </w:rPr>
        <w:t>Belgien, vergleichbares Sozialversicherungssystem mit ähnlichen Implementierungshürden</w:t>
      </w:r>
    </w:p>
    <w:p>
      <w:r>
        <w:rPr>
          <w:color w:val="5A7D3A"/>
          <w:sz w:val="18"/>
        </w:rPr>
        <w:t>https://pubmed.ncbi.nlm.nih.gov/42745254/</w:t>
      </w:r>
    </w:p>
    <w:p>
      <w:pPr>
        <w:pStyle w:val="Heading2"/>
      </w:pPr>
      <w:r>
        <w:t>Digitale Versorgungstechnologien für ältere Menschen: Anforderungen für Erfahrung als gute Versorgung</w:t>
      </w:r>
    </w:p>
    <w:p>
      <w:r>
        <w:rPr>
          <w:i/>
          <w:color w:val="666666"/>
          <w:sz w:val="18"/>
        </w:rPr>
        <w:t>Kruithof K et al.  ·  BMC Health Serv Res  ·  05.08.2026  ·  PMID 42745252</w:t>
      </w:r>
    </w:p>
    <w:p>
      <w:r>
        <w:t>Qualitative Studie (n=27 wohnhaft lebende ältere Menschen) zu Bedingungen, unter denen digitale Pflege- und Unterstützungstechnologien von älteren Menschen als gute Versorgung wahrgenommen werden.</w:t>
      </w:r>
    </w:p>
    <w:p>
      <w:r>
        <w:rPr>
          <w:b/>
        </w:rPr>
        <w:t xml:space="preserve">Ergebnis: </w:t>
      </w:r>
      <w:r>
        <w:t>Technologien als gute Versorgung erlebt, wenn sie (1) Bedarf und Gewohnheiten entsprechen, (2) Fähigkeiten unterstützen, (3) Werte respektieren; aktive Rolle bei Technologiewahl assoziiert mit Altern-in-place und verbesserter Zugänglichkeit/Sicherheit/Autonomie; von Betreuerseite eingeführte Technologien oft als unnötig wahrgenommen und nicht genutzt; Technologien können reduziertem menschlichem Kontakt und Zugänglichkeitsmängeln schaden.</w:t>
      </w:r>
    </w:p>
    <w:p>
      <w:r>
        <w:rPr>
          <w:b/>
          <w:sz w:val="19"/>
        </w:rPr>
        <w:t xml:space="preserve">Übertragbarkeit: </w:t>
      </w:r>
      <w:r>
        <w:rPr>
          <w:sz w:val="19"/>
        </w:rPr>
        <w:t>Niederlande, ähnliches Gesundheitssystem – Implementierung digitaler Lösungen systemunabhängig</w:t>
      </w:r>
    </w:p>
    <w:p>
      <w:r>
        <w:rPr>
          <w:color w:val="5A7D3A"/>
          <w:sz w:val="18"/>
        </w:rPr>
        <w:t>https://pubmed.ncbi.nlm.nih.gov/42745252/</w:t>
      </w:r>
    </w:p>
    <w:p>
      <w:pPr>
        <w:pStyle w:val="Heading1"/>
      </w:pPr>
      <w:r>
        <w:t>Aufgenommen am 16.09.2026</w:t>
      </w:r>
    </w:p>
    <w:p>
      <w:pPr>
        <w:pStyle w:val="Heading2"/>
      </w:pPr>
      <w:r>
        <w:t>Pragmatisches Vorhersagemodell für Asthma-Klinikreadmissionen</w:t>
      </w:r>
    </w:p>
    <w:p>
      <w:r>
        <w:rPr>
          <w:i/>
          <w:color w:val="666666"/>
          <w:sz w:val="18"/>
        </w:rPr>
        <w:t>Tay TR et al.  ·  Respir Med  ·  15.09.2026  ·  PMID 42744205</w:t>
      </w:r>
    </w:p>
    <w:p>
      <w:r>
        <w:t>Entwicklung und externe Validierung eines neunfaktoriellen Vorhersagemodells für Krankenhauswiederaufnahmen nach Asthmaexazerbation innerhalb von 12 Monaten.</w:t>
      </w:r>
    </w:p>
    <w:p>
      <w:r>
        <w:rPr>
          <w:b/>
        </w:rPr>
        <w:t xml:space="preserve">Ergebnis: </w:t>
      </w:r>
      <w:r>
        <w:t>READMIT-Modell zeigte gute Diskriminierung im Entwicklungs-(AUC 0,748; 95% KI 0,711–0,785) und externen Kohort (AUC 0,737; 95% KI 0,712–0,762), mit zufriedenstellender Kalibrierung.</w:t>
      </w:r>
    </w:p>
    <w:p>
      <w:r>
        <w:rPr>
          <w:b/>
          <w:sz w:val="19"/>
        </w:rPr>
        <w:t xml:space="preserve">Übertragbarkeit: </w:t>
      </w:r>
      <w:r>
        <w:rPr>
          <w:sz w:val="19"/>
        </w:rPr>
        <w:t>Singapur-Daten, aber Fragestellung zu klinischen Prozessen systemunabhängig</w:t>
      </w:r>
    </w:p>
    <w:p>
      <w:r>
        <w:rPr>
          <w:color w:val="5A7D3A"/>
          <w:sz w:val="18"/>
        </w:rPr>
        <w:t>https://pubmed.ncbi.nlm.nih.gov/42744205/</w:t>
      </w:r>
    </w:p>
    <w:p>
      <w:pPr>
        <w:pStyle w:val="Heading2"/>
      </w:pPr>
      <w:r>
        <w:t>Buprenorphin-Verordnungen nach Einführung eines niedrigschwelligen virtuellen Netzwerks</w:t>
      </w:r>
    </w:p>
    <w:p>
      <w:r>
        <w:rPr>
          <w:i/>
          <w:color w:val="666666"/>
          <w:sz w:val="18"/>
        </w:rPr>
        <w:t>Lindenfeld Z et al.  ·  J Subst Use Addict Treat  ·  15.09.2026  ·  PMID 42744115</w:t>
      </w:r>
    </w:p>
    <w:p>
      <w:r>
        <w:t>Analyse der Auswirkungen eines kommunalen Rapid-Access-Modells (RealFix) mit virtuellen Anbietern auf die Buprenorphin-Verschreibungen in Paterson, New Jersey, mittels Differenzen-in-Differenzen-Analyse (2021–2025).</w:t>
      </w:r>
    </w:p>
    <w:p>
      <w:r>
        <w:rPr>
          <w:b/>
        </w:rPr>
        <w:t xml:space="preserve">Ergebnis: </w:t>
      </w:r>
      <w:r>
        <w:t>RealFix war mit Zunahmen von 66,5–76,8 Buprenorphin-Rezepten pro 10.000 Einwohner monatlich verbunden (14,6–17,0% Anstieg über Kontrollgruppen hinaus); Retentionseffekte waren gemischt.</w:t>
      </w:r>
    </w:p>
    <w:p>
      <w:r>
        <w:rPr>
          <w:b/>
          <w:sz w:val="19"/>
        </w:rPr>
        <w:t xml:space="preserve">Übertragbarkeit: </w:t>
      </w:r>
      <w:r>
        <w:rPr>
          <w:sz w:val="19"/>
        </w:rPr>
        <w:t>USA (Medicaid)-Daten, aber Fragestellung zu niedrigschwelliger Zugangssteuerung auf andere Systeme übertragbar</w:t>
      </w:r>
    </w:p>
    <w:p>
      <w:r>
        <w:rPr>
          <w:color w:val="5A7D3A"/>
          <w:sz w:val="18"/>
        </w:rPr>
        <w:t>https://pubmed.ncbi.nlm.nih.gov/42744115/</w:t>
      </w:r>
    </w:p>
    <w:p>
      <w:pPr>
        <w:pStyle w:val="Heading2"/>
      </w:pPr>
      <w:r>
        <w:t>Routinedaten in der onkologischen Versorgungsforschung: Chancen und Herausforderungen</w:t>
      </w:r>
    </w:p>
    <w:p>
      <w:r>
        <w:rPr>
          <w:i/>
          <w:color w:val="666666"/>
          <w:sz w:val="18"/>
        </w:rPr>
        <w:t>Kästner A et al.  ·  Gesundheitswesen  ·  15.09.2026  ·  PMID 42743977</w:t>
      </w:r>
    </w:p>
    <w:p>
      <w:r>
        <w:t>Qualitative Analyse praktischer Erfahrungen mit Krebsregisterdaten und Abrechnungsdaten von Krankenkassen für Versorgungsforschung am Beispiel eines Innovationsfonds-Projekts.</w:t>
      </w:r>
    </w:p>
    <w:p>
      <w:r>
        <w:rPr>
          <w:b/>
        </w:rPr>
        <w:t xml:space="preserve">Ergebnis: </w:t>
      </w:r>
      <w:r>
        <w:t>Verlinkung von Krebsregistern und Abrechnungsdaten ermöglicht umfassende Analysen von Langzeitoutcomes und Versorgungsstrukturen, erfordert jedoch zeitintensive Abstimmungs- und Genehmigungsprozesse sowie spezialisierte methodische Expertise.</w:t>
      </w:r>
    </w:p>
    <w:p>
      <w:r>
        <w:rPr>
          <w:b/>
          <w:sz w:val="19"/>
        </w:rPr>
        <w:t xml:space="preserve">Übertragbarkeit: </w:t>
      </w:r>
      <w:r>
        <w:rPr>
          <w:sz w:val="19"/>
        </w:rPr>
        <w:t>Deutsches Gesundheitssystem, Krebsregister nach §65c SGB V und gesetzliche Krankenkassen</w:t>
      </w:r>
    </w:p>
    <w:p>
      <w:r>
        <w:rPr>
          <w:color w:val="5A7D3A"/>
          <w:sz w:val="18"/>
        </w:rPr>
        <w:t>https://pubmed.ncbi.nlm.nih.gov/42743977/</w:t>
      </w:r>
    </w:p>
    <w:p>
      <w:pPr>
        <w:pStyle w:val="Heading2"/>
      </w:pPr>
      <w:r>
        <w:t>Präferenzen für dezentrale ophthalmologische Kliniken: Diskrete-Wahl-Experiment im UK</w:t>
      </w:r>
    </w:p>
    <w:p>
      <w:r>
        <w:rPr>
          <w:i/>
          <w:color w:val="666666"/>
          <w:sz w:val="18"/>
        </w:rPr>
        <w:t>Ndwandwe S et al.  ·  PLoS One  ·  15.09.2026  ·  PMID 42743352</w:t>
      </w:r>
    </w:p>
    <w:p>
      <w:r>
        <w:t>Diskrete-Wahl-Experiment mit 389 Befragten (Patienten, Fachkräfte, Öffentlichkeit) zu Präferenzen für Merkmale einer techniker-geleiteten asynchronen Augenklinik zur Überwachung chronischer Augenerkrankungen.</w:t>
      </w:r>
    </w:p>
    <w:p>
      <w:r>
        <w:rPr>
          <w:b/>
        </w:rPr>
        <w:t xml:space="preserve">Ergebnis: </w:t>
      </w:r>
      <w:r>
        <w:t>Wer einen Techniker statt Kliniker sah und Ergebnisse per Post erhielt, benötigte Reduktion der Terminverzögerung um 6,27 Monate (95% KI 4,52–8,03) oder Fahrtzeit um 153 Minuten (95% KI 88–219); techniker-geleitete Modelle könnten kliniker-geleitete Services ergänzen, wenn sie Verzögerungen verkürzen.</w:t>
      </w:r>
    </w:p>
    <w:p>
      <w:r>
        <w:rPr>
          <w:b/>
          <w:sz w:val="19"/>
        </w:rPr>
        <w:t xml:space="preserve">Übertragbarkeit: </w:t>
      </w:r>
      <w:r>
        <w:rPr>
          <w:sz w:val="19"/>
        </w:rPr>
        <w:t>UK NHS-System, teilweise übertragbar auf dezentrale Versorgungsmodelle in Deutschland</w:t>
      </w:r>
    </w:p>
    <w:p>
      <w:r>
        <w:rPr>
          <w:color w:val="5A7D3A"/>
          <w:sz w:val="18"/>
        </w:rPr>
        <w:t>https://pubmed.ncbi.nlm.nih.gov/42743352/</w:t>
      </w:r>
    </w:p>
    <w:p>
      <w:pPr>
        <w:pStyle w:val="Heading2"/>
      </w:pPr>
      <w:r>
        <w:t>Psychische Belastung von Gesundheitsfachkräften in der COVID-19-Pandemie</w:t>
      </w:r>
    </w:p>
    <w:p>
      <w:r>
        <w:rPr>
          <w:i/>
          <w:color w:val="666666"/>
          <w:sz w:val="18"/>
        </w:rPr>
        <w:t>Peters C et al.  ·  Front Public Health  ·  31.08.2026  ·  PMID 42741285</w:t>
      </w:r>
    </w:p>
    <w:p>
      <w:r>
        <w:t>Querschnittstudie zu Arbeitsbedingungen und psychischer Gesundheit von 576 Beschäftigten in deutschen Gesundheits- und Sozialeinrichtungen während COVID-19.</w:t>
      </w:r>
    </w:p>
    <w:p>
      <w:r>
        <w:rPr>
          <w:b/>
        </w:rPr>
        <w:t xml:space="preserve">Ergebnis: </w:t>
      </w:r>
      <w:r>
        <w:t>59% waren Gesundheitsfachkräfte; diese berichteten schlechtere Arbeitsfähigkeit (6,9 vs. 7,3), höhere emotionale Belastung und depressive Symptome; ca. ein Fünftel zeigte moderate bis schwere psychische Belastung.</w:t>
      </w:r>
    </w:p>
    <w:p>
      <w:r>
        <w:rPr>
          <w:b/>
          <w:sz w:val="19"/>
        </w:rPr>
        <w:t xml:space="preserve">Übertragbarkeit: </w:t>
      </w:r>
      <w:r>
        <w:rPr>
          <w:sz w:val="19"/>
        </w:rPr>
        <w:t>Deutsche Routinedaten, Studie in Deutschland durchgeführt</w:t>
      </w:r>
    </w:p>
    <w:p>
      <w:r>
        <w:rPr>
          <w:color w:val="5A7D3A"/>
          <w:sz w:val="18"/>
        </w:rPr>
        <w:t>https://pubmed.ncbi.nlm.nih.gov/42741285/</w:t>
      </w:r>
    </w:p>
    <w:p>
      <w:pPr>
        <w:pStyle w:val="Heading2"/>
      </w:pPr>
      <w:r>
        <w:t>Zugang zur elektronischen Patientenakte über Krankenversicherer-Apps in Deutschland</w:t>
      </w:r>
    </w:p>
    <w:p>
      <w:r>
        <w:rPr>
          <w:i/>
          <w:color w:val="666666"/>
          <w:sz w:val="18"/>
        </w:rPr>
        <w:t>May S et al.  ·  JMIR Mhealth Uhealth  ·  14.09.2026  ·  PMID 42735900</w:t>
      </w:r>
    </w:p>
    <w:p>
      <w:r>
        <w:t>Qualitative Interviewstudie mit 23 Personen zu Nutzererfahrungen beim Einrichten und Authentifizieren des Zugangs zur ePA durch Versicherer-Apps.</w:t>
      </w:r>
    </w:p>
    <w:p>
      <w:r>
        <w:rPr>
          <w:b/>
        </w:rPr>
        <w:t xml:space="preserve">Ergebnis: </w:t>
      </w:r>
      <w:r>
        <w:t>Zugang besteht nicht aus einem einzelnen Schritt, sondern aus fünf interdependenten Phasen (Orientierung, technischer Zugang, Verifizierung, Unterbrechungen, initiale Nutzung); Barrieren akkumulieren sich über Phasen hinweg und führen zu wiederholten Versuchen.</w:t>
      </w:r>
    </w:p>
    <w:p>
      <w:r>
        <w:rPr>
          <w:b/>
          <w:sz w:val="19"/>
        </w:rPr>
        <w:t xml:space="preserve">Übertragbarkeit: </w:t>
      </w:r>
      <w:r>
        <w:rPr>
          <w:sz w:val="19"/>
        </w:rPr>
        <w:t>Deutsche Routinedaten und ePA-Implementierung, direkt für deutsches System anwendbar</w:t>
      </w:r>
    </w:p>
    <w:p>
      <w:r>
        <w:rPr>
          <w:color w:val="5A7D3A"/>
          <w:sz w:val="18"/>
        </w:rPr>
        <w:t>https://pubmed.ncbi.nlm.nih.gov/42735900/</w:t>
      </w:r>
    </w:p>
    <w:p>
      <w:pPr>
        <w:pStyle w:val="Heading1"/>
      </w:pPr>
      <w:r>
        <w:t>Aufgenommen am 15.09.2026</w:t>
      </w:r>
    </w:p>
    <w:p>
      <w:pPr>
        <w:pStyle w:val="Heading2"/>
      </w:pPr>
      <w:r>
        <w:t>Design-Richtlinien für Online-Gesundheitsforen</w:t>
      </w:r>
    </w:p>
    <w:p>
      <w:r>
        <w:rPr>
          <w:i/>
          <w:color w:val="666666"/>
          <w:sz w:val="18"/>
        </w:rPr>
        <w:t>Marshall P et al.  ·  J Med Internet Res  ·  14.09.2026  ·  PMID 42735377</w:t>
      </w:r>
    </w:p>
    <w:p>
      <w:r>
        <w:t>Qualitative Studie mit 54 Interviews und Workshops zur Entwicklung evidenzgestützter Designrichtlinien für sichere Online-Gesundheitsforen basierend auf Selbstbestimmungstheorie.</w:t>
      </w:r>
    </w:p>
    <w:p>
      <w:r>
        <w:rPr>
          <w:b/>
        </w:rPr>
        <w:t xml:space="preserve">Ergebnis: </w:t>
      </w:r>
      <w:r>
        <w:t>Vier übergeordnete Designprinzipien identifiziert (Autonomie, Kompetenz, Zugehörigkeit, Sicherheit) mit pragmatischen Umsetzungsstrategien; Ergebnisse zeigen gemischte Nutzererfahrungen und Bedarf für nutzerzentrierte Weiterentwicklung.</w:t>
      </w:r>
    </w:p>
    <w:p>
      <w:r>
        <w:rPr>
          <w:b/>
          <w:sz w:val="19"/>
        </w:rPr>
        <w:t xml:space="preserve">Übertragbarkeit: </w:t>
      </w:r>
      <w:r>
        <w:rPr>
          <w:sz w:val="19"/>
        </w:rPr>
        <w:t>UK-Studie, aber Fragestellung zu Prozessqualität und Nutzerperspektive systemunabhängig übertragbar.</w:t>
      </w:r>
    </w:p>
    <w:p>
      <w:r>
        <w:rPr>
          <w:color w:val="5A7D3A"/>
          <w:sz w:val="18"/>
        </w:rPr>
        <w:t>https://pubmed.ncbi.nlm.nih.gov/42735377/</w:t>
      </w:r>
    </w:p>
    <w:p>
      <w:pPr>
        <w:pStyle w:val="Heading2"/>
      </w:pPr>
      <w:r>
        <w:t>Hepatitis-B-Disparitäten bei Migranten in Dänemark</w:t>
      </w:r>
    </w:p>
    <w:p>
      <w:r>
        <w:rPr>
          <w:i/>
          <w:color w:val="666666"/>
          <w:sz w:val="18"/>
        </w:rPr>
        <w:t>Deal A et al.  ·  Eur J Public Health  ·  04.08.2026  ·  PMID 42734651</w:t>
      </w:r>
    </w:p>
    <w:p>
      <w:r>
        <w:t>Matched-Cohort-Studie mit 179.110 Migranten und 1.049.345 Dänen über 23 Jahre zur Erfassung von HBV-Diagnoseraten und Verzögerungen.</w:t>
      </w:r>
    </w:p>
    <w:p>
      <w:r>
        <w:rPr>
          <w:b/>
        </w:rPr>
        <w:t xml:space="preserve">Ergebnis: </w:t>
      </w:r>
      <w:r>
        <w:t>Migranten zeigten 30,6-fach erhöhtes HBV-Diagnosrisiko (95%-KI: 26,7–35,2); durchschnittliche Verzögerung von Ankunft bis Diagnose 5,4 Jahre; Unterversorgung bei Personen außerhalb routinemäßiger Screening-Prozesse.</w:t>
      </w:r>
    </w:p>
    <w:p>
      <w:r>
        <w:rPr>
          <w:b/>
          <w:sz w:val="19"/>
        </w:rPr>
        <w:t xml:space="preserve">Übertragbarkeit: </w:t>
      </w:r>
      <w:r>
        <w:rPr>
          <w:sz w:val="19"/>
        </w:rPr>
        <w:t>Dänemark, Sozialversicherungssystem vergleichbar mit Deutschland, aussagekräftig für Migrantenpopulationen.</w:t>
      </w:r>
    </w:p>
    <w:p>
      <w:r>
        <w:rPr>
          <w:color w:val="5A7D3A"/>
          <w:sz w:val="18"/>
        </w:rPr>
        <w:t>https://pubmed.ncbi.nlm.nih.gov/42734651/</w:t>
      </w:r>
    </w:p>
    <w:p>
      <w:pPr>
        <w:pStyle w:val="Heading2"/>
      </w:pPr>
      <w:r>
        <w:t>Indirekte Effektivitätsvergleich Tafamidis vs. Acoramidis bei Transthyretin-Kardiomyopathie</w:t>
      </w:r>
    </w:p>
    <w:p>
      <w:r>
        <w:rPr>
          <w:i/>
          <w:color w:val="666666"/>
          <w:sz w:val="18"/>
        </w:rPr>
        <w:t>Debonnaire P et al.  ·  J Comp Eff Res  ·  14.09.2026  ·  PMID 42734113</w:t>
      </w:r>
    </w:p>
    <w:p>
      <w:r>
        <w:t>Trial-Emulation-Studie mit indirektem Vergleich zweier Transthyretin-Stabilisatoren basierend auf Registerdaten und klinischen Trials.</w:t>
      </w:r>
    </w:p>
    <w:p>
      <w:r>
        <w:rPr>
          <w:b/>
        </w:rPr>
        <w:t xml:space="preserve">Ergebnis: </w:t>
      </w:r>
      <w:r>
        <w:t>Nach Kalibrierung zeigte Acoramidis eine 42-Monats-Mortalitätsrate von 24,0% versus kalibrierte 31,2% für Tafamidis; relatives Mortalitätsrisiko 0,78 (95%-KI: 0,60–0,99), was auf 22% niedrigeres Sterblichkeitsrisiko deutet.</w:t>
      </w:r>
    </w:p>
    <w:p>
      <w:r>
        <w:rPr>
          <w:b/>
          <w:sz w:val="19"/>
        </w:rPr>
        <w:t xml:space="preserve">Übertragbarkeit: </w:t>
      </w:r>
      <w:r>
        <w:rPr>
          <w:sz w:val="19"/>
        </w:rPr>
        <w:t>Gering: US-Registerdaten; aber Fragestellung zur Vergleichbarkeit von Wirkstoffen systemunabhängig relevant.</w:t>
      </w:r>
    </w:p>
    <w:p>
      <w:r>
        <w:rPr>
          <w:color w:val="5A7D3A"/>
          <w:sz w:val="18"/>
        </w:rPr>
        <w:t>https://pubmed.ncbi.nlm.nih.gov/42734113/</w:t>
      </w:r>
    </w:p>
    <w:p>
      <w:pPr>
        <w:pStyle w:val="Heading2"/>
      </w:pPr>
      <w:r>
        <w:t>SESAME-Checkliste für Adverse-Event- und Fehlerberichterstattung</w:t>
      </w:r>
    </w:p>
    <w:p>
      <w:r>
        <w:rPr>
          <w:i/>
          <w:color w:val="666666"/>
          <w:sz w:val="18"/>
        </w:rPr>
        <w:t>Griffey RT et al.  ·  J Patient Saf  ·  11.09.2026  ·  PMID 42725452</w:t>
      </w:r>
    </w:p>
    <w:p>
      <w:r>
        <w:t>Methodisches Konsensuspapier zur Entwicklung einer 44-Item-Checkliste (SESAME) zur Standardisierung der Berichterstattung in Studien zu unerwünschten Ereignissen und medizinischen Fehlern.</w:t>
      </w:r>
    </w:p>
    <w:p>
      <w:r>
        <w:rPr>
          <w:b/>
        </w:rPr>
        <w:t xml:space="preserve">Ergebnis: </w:t>
      </w:r>
      <w:r>
        <w:t>SESAME-Checkliste mit 44 Items deckt alle kritischen Reporting-Domänen ab; Ziel ist Verbesserung der Vollständigkeit, Vergleichbarkeit und Reproduzierbarkeit; Entwicklung nach EQUATOR-Standards mit internationalem Expertenkonsens.</w:t>
      </w:r>
    </w:p>
    <w:p>
      <w:r>
        <w:rPr>
          <w:b/>
          <w:sz w:val="19"/>
        </w:rPr>
        <w:t xml:space="preserve">Übertragbarkeit: </w:t>
      </w:r>
      <w:r>
        <w:rPr>
          <w:sz w:val="19"/>
        </w:rPr>
        <w:t>Internationales Konsensdokument zur Studienqualität, systemunabhängig für Patientensicherheitsforschung relevant.</w:t>
      </w:r>
    </w:p>
    <w:p>
      <w:r>
        <w:rPr>
          <w:color w:val="5A7D3A"/>
          <w:sz w:val="18"/>
        </w:rPr>
        <w:t>https://pubmed.ncbi.nlm.nih.gov/42725452/</w:t>
      </w:r>
    </w:p>
    <w:p>
      <w:pPr>
        <w:pStyle w:val="Heading2"/>
      </w:pPr>
      <w:r>
        <w:t>Koordinierter Ansatz zur integrierten Sturz- und Frakturprävention</w:t>
      </w:r>
    </w:p>
    <w:p>
      <w:r>
        <w:rPr>
          <w:i/>
          <w:color w:val="666666"/>
          <w:sz w:val="18"/>
        </w:rPr>
        <w:t>van der Velde N et al.  ·  Eur Geriatr Med  ·  10.09.2026  ·  PMID 42720850</w:t>
      </w:r>
    </w:p>
    <w:p>
      <w:r>
        <w:t>Position Paper von sieben internationalen Fachgesellschaften zu evidenzgestützter integrierter Versorgung für Sturz- und Frakturprävention bei älteren Menschen.</w:t>
      </w:r>
    </w:p>
    <w:p>
      <w:r>
        <w:rPr>
          <w:b/>
        </w:rPr>
        <w:t xml:space="preserve">Ergebnis: </w:t>
      </w:r>
      <w:r>
        <w:t>Kernerkenntnis: Fragmentierte Versorgungsstrukturen erfordern integrierte Fall- und Frakturprävention als Public-Health-Priorität; Empfehlungen für interdisziplinäre Zusammenarbeit, Trainings und systemische Ressourcenallokation.</w:t>
      </w:r>
    </w:p>
    <w:p>
      <w:r>
        <w:rPr>
          <w:b/>
          <w:sz w:val="19"/>
        </w:rPr>
        <w:t xml:space="preserve">Übertragbarkeit: </w:t>
      </w:r>
      <w:r>
        <w:rPr>
          <w:sz w:val="19"/>
        </w:rPr>
        <w:t>Europäischer Konsens mit Fokus auf Versorgungsprozesse, Qualität und Implementierung in Regelversorgung.</w:t>
      </w:r>
    </w:p>
    <w:p>
      <w:r>
        <w:rPr>
          <w:color w:val="5A7D3A"/>
          <w:sz w:val="18"/>
        </w:rPr>
        <w:t>https://pubmed.ncbi.nlm.nih.gov/42720850/</w:t>
      </w:r>
    </w:p>
    <w:p>
      <w:pPr>
        <w:pStyle w:val="Heading2"/>
      </w:pPr>
      <w:r>
        <w:t>Tabakrauchexposition und Gesundheitsdienstleistungen bei jungen Erwachsenen</w:t>
      </w:r>
    </w:p>
    <w:p>
      <w:r>
        <w:rPr>
          <w:i/>
          <w:color w:val="666666"/>
          <w:sz w:val="18"/>
        </w:rPr>
        <w:t>Akhtar S et al.  ·  BMC Health Serv Res  ·  04.09.2026  ·  PMID 42717348</w:t>
      </w:r>
    </w:p>
    <w:p>
      <w:r>
        <w:t>Querschnittsstudie mit 1.323 Studierenden zur Erfassung von Tabakrauchexposition, Symptomen und Inanspruchnahme von Gesundheitsdienstleistungen.</w:t>
      </w:r>
    </w:p>
    <w:p>
      <w:r>
        <w:rPr>
          <w:b/>
        </w:rPr>
        <w:t xml:space="preserve">Ergebnis: </w:t>
      </w:r>
      <w:r>
        <w:t>Exposition gegenüber Tabakrauch 55,9% (740/1.323); Husten (aOR 2,10; 95%-KI 1,66–2,64), Dyspnoe (aOR 1,30; 95%-KI 1,01–1,67) und Asthma (aOR 1,95; 95%-KI 1,43–2,65) signifikant mit Inanspruchnahme assoziiert.</w:t>
      </w:r>
    </w:p>
    <w:p>
      <w:r>
        <w:rPr>
          <w:b/>
          <w:sz w:val="19"/>
        </w:rPr>
        <w:t xml:space="preserve">Übertragbarkeit: </w:t>
      </w:r>
      <w:r>
        <w:rPr>
          <w:sz w:val="19"/>
        </w:rPr>
        <w:t>Kuwait, aber Fragestellung zu Symptomen, Morbidität und Versorgungsnutzung epidemiologisch aussagekräftig.</w:t>
      </w:r>
    </w:p>
    <w:p>
      <w:r>
        <w:rPr>
          <w:color w:val="5A7D3A"/>
          <w:sz w:val="18"/>
        </w:rPr>
        <w:t>https://pubmed.ncbi.nlm.nih.gov/42717348/</w:t>
      </w:r>
    </w:p>
    <w:p>
      <w:pPr>
        <w:pStyle w:val="Heading1"/>
      </w:pPr>
      <w:r>
        <w:t>Aufgenommen am 14.09.2026</w:t>
      </w:r>
    </w:p>
    <w:p>
      <w:pPr>
        <w:pStyle w:val="Heading2"/>
      </w:pPr>
      <w:r>
        <w:t>Kliniker- und Informatiker-Perspektiven auf Harm-Risk-Vorhersage-Tools</w:t>
      </w:r>
    </w:p>
    <w:p>
      <w:r>
        <w:rPr>
          <w:i/>
          <w:color w:val="666666"/>
          <w:sz w:val="18"/>
        </w:rPr>
        <w:t>Lam JYJ et al.  ·  J Eval Clin Pract  ·  Sept. 2026  ·  PMID 42732558</w:t>
      </w:r>
    </w:p>
    <w:p>
      <w:r>
        <w:t>Qualitative Studie mit 22 Interviews (6 Ärzte, 11 Pharmazeuten, 5 Informatiker) zur Implementierung digitaler Risk-Prediction-Tools für Medikamentenschaden in australischen Krankenhäusern.</w:t>
      </w:r>
    </w:p>
    <w:p>
      <w:r>
        <w:rPr>
          <w:b/>
        </w:rPr>
        <w:t xml:space="preserve">Ergebnis: </w:t>
      </w:r>
      <w:r>
        <w:t>Fünf Themen mit Einfluss auf Adoption: Vertrauen der Kliniker, wahrgenommener Nutzen, organisatorische Bereitschaft, automatisierungsfähigkeit und Workflow-Kompatibilität. Barrieren: schlechte Systemintegration, Unsicherheit über Tool-Zuverlässigkeit; Enabler: umfassende Feedback-Mechanismen, Ressourcenplanung.</w:t>
      </w:r>
    </w:p>
    <w:p>
      <w:r>
        <w:rPr>
          <w:b/>
          <w:sz w:val="19"/>
        </w:rPr>
        <w:t xml:space="preserve">Übertragbarkeit: </w:t>
      </w:r>
      <w:r>
        <w:rPr>
          <w:sz w:val="19"/>
        </w:rPr>
        <w:t>Australien, aber klinische Perspektiven auf digitale Sicherheitstools übertragbar</w:t>
      </w:r>
    </w:p>
    <w:p>
      <w:r>
        <w:rPr>
          <w:color w:val="5A7D3A"/>
          <w:sz w:val="18"/>
        </w:rPr>
        <w:t>https://pubmed.ncbi.nlm.nih.gov/42732558/</w:t>
      </w:r>
    </w:p>
    <w:p>
      <w:pPr>
        <w:pStyle w:val="Heading2"/>
      </w:pPr>
      <w:r>
        <w:t>ADHD-Medikation und Selbstverletzungsrisiko: multinational</w:t>
      </w:r>
    </w:p>
    <w:p>
      <w:r>
        <w:rPr>
          <w:i/>
          <w:color w:val="666666"/>
          <w:sz w:val="18"/>
        </w:rPr>
        <w:t>Chan AYL et al.  ·  BMJ Ment Health  ·  12.09.2026  ·  PMID 42731881</w:t>
      </w:r>
    </w:p>
    <w:p>
      <w:r>
        <w:t>Multinational selbstkontrollierte Fallserie zur Assoziation zwischen ADHD-Medikation und Selbstverletzungen anhand von fünf Ländern-Datenbanken.</w:t>
      </w:r>
    </w:p>
    <w:p>
      <w:r>
        <w:rPr>
          <w:b/>
        </w:rPr>
        <w:t xml:space="preserve">Ergebnis: </w:t>
      </w:r>
      <w:r>
        <w:t>Höchstes Risiko 90 Tage vor Therapiestart (IRR 2,58), dann während ersten 90 Tage (IRR 1,78) und später (IRR 1,27). Muster konsistent über alle Datenbanken – erhöhtes Risiko vor Behandlung deutet auf unbehandelte ADHD-Symptome, nicht auf Medikation hin.</w:t>
      </w:r>
    </w:p>
    <w:p>
      <w:r>
        <w:rPr>
          <w:b/>
          <w:sz w:val="19"/>
        </w:rPr>
        <w:t xml:space="preserve">Übertragbarkeit: </w:t>
      </w:r>
      <w:r>
        <w:rPr>
          <w:sz w:val="19"/>
        </w:rPr>
        <w:t>Multinational, UK, Neuseeland, Taiwan eingeschlossen</w:t>
      </w:r>
    </w:p>
    <w:p>
      <w:r>
        <w:rPr>
          <w:color w:val="5A7D3A"/>
          <w:sz w:val="18"/>
        </w:rPr>
        <w:t>https://pubmed.ncbi.nlm.nih.gov/42731881/</w:t>
      </w:r>
    </w:p>
    <w:p>
      <w:pPr>
        <w:pStyle w:val="Heading2"/>
      </w:pPr>
      <w:r>
        <w:t>Online-Infektionstests: Systemische Vorteile und Barrieren</w:t>
      </w:r>
    </w:p>
    <w:p>
      <w:r>
        <w:rPr>
          <w:i/>
          <w:color w:val="666666"/>
          <w:sz w:val="18"/>
        </w:rPr>
        <w:t>Grace D et al.  ·  BMC Health Serv Res  ·  05.09.2026  ·  PMID 42728588</w:t>
      </w:r>
    </w:p>
    <w:p>
      <w:r>
        <w:t>Qualitative Interviews mit 41 Fachleuten zu Implementierung eines Online-Tests für sexuell übertragbare Infektionen (GetCheckedOnline) in Ontario.</w:t>
      </w:r>
    </w:p>
    <w:p>
      <w:r>
        <w:rPr>
          <w:b/>
        </w:rPr>
        <w:t xml:space="preserve">Ergebnis: </w:t>
      </w:r>
      <w:r>
        <w:t>Fünf zentrale Spannungsfelder identifiziert: Zugang, Datenschutz, Koordination, Agency und Systemauswirkungen. Teilnehmende erkannten Vorteile (besserer Zugang), berichteten aber auch unerwünschte Folgen (Koordinationsverluste zwischen Sektoren, Datenschutzbedenken).</w:t>
      </w:r>
    </w:p>
    <w:p>
      <w:r>
        <w:rPr>
          <w:b/>
          <w:sz w:val="19"/>
        </w:rPr>
        <w:t xml:space="preserve">Übertragbarkeit: </w:t>
      </w:r>
      <w:r>
        <w:rPr>
          <w:sz w:val="19"/>
        </w:rPr>
        <w:t>Kanada, aber Fragestellung zu digitalen Testmodellen systemübergreifend relevant</w:t>
      </w:r>
    </w:p>
    <w:p>
      <w:r>
        <w:rPr>
          <w:color w:val="5A7D3A"/>
          <w:sz w:val="18"/>
        </w:rPr>
        <w:t>https://pubmed.ncbi.nlm.nih.gov/42728588/</w:t>
      </w:r>
    </w:p>
    <w:p>
      <w:pPr>
        <w:pStyle w:val="Heading2"/>
      </w:pPr>
      <w:r>
        <w:t>Notfall- und Katastrophenbereitschaft in Krankenhäusern Äthiopiens</w:t>
      </w:r>
    </w:p>
    <w:p>
      <w:r>
        <w:rPr>
          <w:i/>
          <w:color w:val="666666"/>
          <w:sz w:val="18"/>
        </w:rPr>
        <w:t>Farah B et al.  ·  Res Health Serv Reg  ·  10.09.2026  ·  PMID 42720815</w:t>
      </w:r>
    </w:p>
    <w:p>
      <w:r>
        <w:t>Querschnittsstudie zur Notfall- und Katastrophenbereitschaft in vier öffentlichen Zonal-Krankenhäusern in der Somali-Region mit WHO-Hospital-Safety-Index Modul 4.</w:t>
      </w:r>
    </w:p>
    <w:p>
      <w:r>
        <w:rPr>
          <w:b/>
        </w:rPr>
        <w:t xml:space="preserve">Ergebnis: </w:t>
      </w:r>
      <w:r>
        <w:t>Mittlere Bereitschaftswerte von 45%; tiefste Werte für Notfall- und Katastrophenreaktion/Wiederherstellung (41,3%). Defizite in Reaktionsplanung, logistischer Bereitschaft, Finanzadministration und Kommunikationssystemen; fehlende externe Stakeholder-Koordination.</w:t>
      </w:r>
    </w:p>
    <w:p>
      <w:r>
        <w:rPr>
          <w:b/>
          <w:sz w:val="19"/>
        </w:rPr>
        <w:t xml:space="preserve">Übertragbarkeit: </w:t>
      </w:r>
      <w:r>
        <w:rPr>
          <w:sz w:val="19"/>
        </w:rPr>
        <w:t>Äthiopien (LMIC), aber HTA zur Systemreife allgemein relevant</w:t>
      </w:r>
    </w:p>
    <w:p>
      <w:r>
        <w:rPr>
          <w:color w:val="5A7D3A"/>
          <w:sz w:val="18"/>
        </w:rPr>
        <w:t>https://pubmed.ncbi.nlm.nih.gov/42720815/</w:t>
      </w:r>
    </w:p>
    <w:p>
      <w:pPr>
        <w:pStyle w:val="Heading2"/>
      </w:pPr>
      <w:r>
        <w:t>Risk Adjustment in Medicare Advantage mit Encounter-Daten</w:t>
      </w:r>
    </w:p>
    <w:p>
      <w:r>
        <w:rPr>
          <w:i/>
          <w:color w:val="666666"/>
          <w:sz w:val="18"/>
        </w:rPr>
        <w:t>Carlin CS et al.  ·  Health Serv Res  ·  Okt. 2026  ·  PMID 42720268</w:t>
      </w:r>
    </w:p>
    <w:p>
      <w:r>
        <w:t>Vergleichende Re-Schätzung des CMS-Hierarchical-Condition-Category-Modells mit Traditional-Medicare- vs. Medicare-Advantage-Claims 2016–2022.</w:t>
      </w:r>
    </w:p>
    <w:p>
      <w:r>
        <w:rPr>
          <w:b/>
        </w:rPr>
        <w:t xml:space="preserve">Ergebnis: </w:t>
      </w:r>
      <w:r>
        <w:t>MA-Daten zeigen 8,9% niedrigere durchschnittliche HCC-Scores als TM-Daten; Unterschiede variieren über Scoreverteilung. Keine neuen Anreizverzerrungen zu Lasten von Minoritäten oder ländlichen Versicherten.</w:t>
      </w:r>
    </w:p>
    <w:p>
      <w:r>
        <w:rPr>
          <w:b/>
          <w:sz w:val="19"/>
        </w:rPr>
        <w:t xml:space="preserve">Übertragbarkeit: </w:t>
      </w:r>
      <w:r>
        <w:rPr>
          <w:sz w:val="19"/>
        </w:rPr>
        <w:t>US-System (MA/Medicare), aber relevante Methodologie für Risk-Adjustment</w:t>
      </w:r>
    </w:p>
    <w:p>
      <w:r>
        <w:rPr>
          <w:color w:val="5A7D3A"/>
          <w:sz w:val="18"/>
        </w:rPr>
        <w:t>https://pubmed.ncbi.nlm.nih.gov/42720268/</w:t>
      </w:r>
    </w:p>
    <w:p>
      <w:pPr>
        <w:pStyle w:val="Heading2"/>
      </w:pPr>
      <w:r>
        <w:t>MISSION4Sax: Sektorübergreifende onkologische Versorgungsmodelle</w:t>
      </w:r>
    </w:p>
    <w:p>
      <w:r>
        <w:rPr>
          <w:i/>
          <w:color w:val="666666"/>
          <w:sz w:val="18"/>
        </w:rPr>
        <w:t>Richter C et al.  ·  J Cancer Res Clin Oncol  ·  02.09.2026  ·  PMID 42693346</w:t>
      </w:r>
    </w:p>
    <w:p>
      <w:r>
        <w:t>Studienprotokoll eines multizentrischen Pilotstudien zur Machbarkeit einer integrierten onkologischen Versorgung über Regionaltumorbrett zwischen Maximalversorgung und Landpraxis mit standardisierten Patientenpfaden.</w:t>
      </w:r>
    </w:p>
    <w:p>
      <w:r>
        <w:rPr>
          <w:b/>
        </w:rPr>
        <w:t xml:space="preserve">Ergebnis: </w:t>
      </w:r>
      <w:r>
        <w:t>Geplante Bewertung von Machbarkeit, Akzeptanz, Implementierung und Datenqualität (keine Effektivitätsfrage); Fokus auf Wartezeiten, Adhärenz, klinische und Patient-Reported Outcomes. Routinedaten der Krankenkasse als externe Referenz geplant, keine Individualverlinkung.</w:t>
      </w:r>
    </w:p>
    <w:p>
      <w:r>
        <w:rPr>
          <w:b/>
          <w:sz w:val="19"/>
        </w:rPr>
        <w:t xml:space="preserve">Übertragbarkeit: </w:t>
      </w:r>
      <w:r>
        <w:rPr>
          <w:sz w:val="19"/>
        </w:rPr>
        <w:t>Deutschland (Sachsen), Versorgungsforschungs-Design direkt übertragbar</w:t>
      </w:r>
    </w:p>
    <w:p>
      <w:r>
        <w:rPr>
          <w:color w:val="5A7D3A"/>
          <w:sz w:val="18"/>
        </w:rPr>
        <w:t>https://pubmed.ncbi.nlm.nih.gov/42693346/</w:t>
      </w:r>
    </w:p>
    <w:p>
      <w:pPr>
        <w:pStyle w:val="Heading1"/>
      </w:pPr>
      <w:r>
        <w:t>Aufgenommen am 13.09.2026</w:t>
      </w:r>
    </w:p>
    <w:p>
      <w:pPr>
        <w:pStyle w:val="Heading2"/>
      </w:pPr>
      <w:r>
        <w:t>Direkt-OP-Teledermatologie für Hautkrebs: Sicherheit und Effizienz</w:t>
      </w:r>
    </w:p>
    <w:p>
      <w:r>
        <w:rPr>
          <w:i/>
          <w:color w:val="666666"/>
          <w:sz w:val="18"/>
        </w:rPr>
        <w:t>Nour S et al.  ·  BMJ Open Qual  ·  11.09.2026  ·  PMID 42731848</w:t>
      </w:r>
    </w:p>
    <w:p>
      <w:r>
        <w:t>Evaluierung eines Direct-to-Surgery-Teledermatologie-Pfads für verdächtige Hautkrebs-Referrals in einem großen NHS-Hautkrebs-Service mit 18.587 Patienten.</w:t>
      </w:r>
    </w:p>
    <w:p>
      <w:r>
        <w:rPr>
          <w:b/>
        </w:rPr>
        <w:t xml:space="preserve">Ergebnis: </w:t>
      </w:r>
      <w:r>
        <w:t>Von 5.099 eingeschlossenen Patienten wurde 99,86% die 28-Tage-Faster-Diagnosis-Standard erreicht (Ziel: 75%); 75,5% der Melanom-/Plattenepithel-Karzinom-Patienten begannen Behandlung innerhalb der 62-Tage-Zielmarke. Histologie identifizierte 35,5% maligne und 15,5% prämaligne Pathologie; Diagnostische Konkordanz 41,5% (Cohen's κ=0,34). Komplikationsrate 1,3%. Der Pfad demonstriert sichere hochvolumige Hautkrebs-Chirurgie mit exzellenter Compliance zur Faster Diagnosis Standard.</w:t>
      </w:r>
    </w:p>
    <w:p>
      <w:r>
        <w:rPr>
          <w:b/>
          <w:sz w:val="19"/>
        </w:rPr>
        <w:t xml:space="preserve">Übertragbarkeit: </w:t>
      </w:r>
      <w:r>
        <w:rPr>
          <w:sz w:val="19"/>
        </w:rPr>
        <w:t>UK-NHS-Setting, aber Prozessoptimierung für Versorgung übertragbar</w:t>
      </w:r>
    </w:p>
    <w:p>
      <w:r>
        <w:rPr>
          <w:color w:val="5A7D3A"/>
          <w:sz w:val="18"/>
        </w:rPr>
        <w:t>https://pubmed.ncbi.nlm.nih.gov/42731848/</w:t>
      </w:r>
    </w:p>
    <w:p>
      <w:pPr>
        <w:pStyle w:val="Heading2"/>
      </w:pPr>
      <w:r>
        <w:t>Merkmale von Hausärzten und potenziell unangemessene Medikation bei älteren Patienten</w:t>
      </w:r>
    </w:p>
    <w:p>
      <w:r>
        <w:rPr>
          <w:i/>
          <w:color w:val="666666"/>
          <w:sz w:val="18"/>
        </w:rPr>
        <w:t>Tatsuno Y et al.  ·  Health Aff Sch  ·  28.08.2026  ·  PMID 42730259</w:t>
      </w:r>
    </w:p>
    <w:p>
      <w:r>
        <w:t>Japanische Querschnittsstudie zu Zusammenhängen zwischen Arztmerkmalen (Alter, Patientenvolumen) und der Verschreibung potenziell unangemessener Medikamente (PIMs) bei ≥75-Jährigen.</w:t>
      </w:r>
    </w:p>
    <w:p>
      <w:r>
        <w:rPr>
          <w:b/>
        </w:rPr>
        <w:t xml:space="preserve">Ergebnis: </w:t>
      </w:r>
      <w:r>
        <w:t>Von 184.097 Patienten erhielten 38,2% mindestens eine PIM; zwei Drittel der PIM-Verschreibungen konzentrierten sich auf 20% der Ärzte. Jüngere Ärzte (aOR 1,27; 95%-KI 1,05–1,55), solche mit niedrigerem Volumen älterer Patienten (aOR 1,39; 95%-KI 1,19–1,61) und Ärzte in Ost- oder Mittel-Japan verschrieben häufiger PIMs. Gezielte Interventionen bei Hochverschreibern könnten PIMs effizient reduzieren.</w:t>
      </w:r>
    </w:p>
    <w:p>
      <w:r>
        <w:rPr>
          <w:b/>
          <w:sz w:val="19"/>
        </w:rPr>
        <w:t xml:space="preserve">Übertragbarkeit: </w:t>
      </w:r>
      <w:r>
        <w:rPr>
          <w:sz w:val="19"/>
        </w:rPr>
        <w:t>Japan, aber Fragestellung zur Arztqualität systemunabhängig übertragbar</w:t>
      </w:r>
    </w:p>
    <w:p>
      <w:r>
        <w:rPr>
          <w:color w:val="5A7D3A"/>
          <w:sz w:val="18"/>
        </w:rPr>
        <w:t>https://pubmed.ncbi.nlm.nih.gov/42730259/</w:t>
      </w:r>
    </w:p>
    <w:p>
      <w:pPr>
        <w:pStyle w:val="Heading2"/>
      </w:pPr>
      <w:r>
        <w:t>Integration Flexibles Assertive Community Treatment mit kommunalen Sozialservices</w:t>
      </w:r>
    </w:p>
    <w:p>
      <w:r>
        <w:rPr>
          <w:i/>
          <w:color w:val="666666"/>
          <w:sz w:val="18"/>
        </w:rPr>
        <w:t>Kleijburg A et al.  ·  Int J Integr Care  ·  08.09.2026  ·  PMID 42729928</w:t>
      </w:r>
    </w:p>
    <w:p>
      <w:r>
        <w:t>Qualitative Studie mit 15 Interviews zur Implementierung von FACT+DSS-Teams (Flexible Assertive Community Treatment + District Social Services) in der Niederlande für Patienten mit schwerer psychischer Erkrankung.</w:t>
      </w:r>
    </w:p>
    <w:p>
      <w:r>
        <w:rPr>
          <w:b/>
        </w:rPr>
        <w:t xml:space="preserve">Ergebnis: </w:t>
      </w:r>
      <w:r>
        <w:t>FACT+DSS wurde von Teamkräften als deutlich positiv erlebt und verbesserte Zugangsbarrieren, Kontinuität der Versorgung, Case-Finding und Vernetzungskollaboration. Wichtige Erfolgsfaktoren waren starke Führung, geteilter Besitz, gleichberechtigte Zusammenarbeit und direkte Beziehungen. Barrieren waren unzureichende Ressourcen und fehlende klare Rollenverteilung.</w:t>
      </w:r>
    </w:p>
    <w:p>
      <w:r>
        <w:rPr>
          <w:b/>
          <w:sz w:val="19"/>
        </w:rPr>
        <w:t xml:space="preserve">Übertragbarkeit: </w:t>
      </w:r>
      <w:r>
        <w:rPr>
          <w:sz w:val="19"/>
        </w:rPr>
        <w:t>Niederlande, vergleichbares Sozialversicherungssystem, integrierte Versorgung</w:t>
      </w:r>
    </w:p>
    <w:p>
      <w:r>
        <w:rPr>
          <w:color w:val="5A7D3A"/>
          <w:sz w:val="18"/>
        </w:rPr>
        <w:t>https://pubmed.ncbi.nlm.nih.gov/42729928/</w:t>
      </w:r>
    </w:p>
    <w:p>
      <w:pPr>
        <w:pStyle w:val="Heading2"/>
      </w:pPr>
      <w:r>
        <w:t>Auswirkung Brandon Act auf Suizidversuche im US-Militär</w:t>
      </w:r>
    </w:p>
    <w:p>
      <w:r>
        <w:rPr>
          <w:i/>
          <w:color w:val="666666"/>
          <w:sz w:val="18"/>
        </w:rPr>
        <w:t>Yoon J et al.  ·  Health Serv Res  ·  Okt. 2026  ·  PMID 42728782</w:t>
      </w:r>
    </w:p>
    <w:p>
      <w:r>
        <w:t>Unterbrochene Zeitreihen-Analyse (2018–2024) der Military Health System-Daten zu Effekten des Brandon Acts (Geheime Selbst-Überweisungs-Pathways für psychische Gesundheit) auf Suizidversuche bei Active-Duty-Soldaten.</w:t>
      </w:r>
    </w:p>
    <w:p>
      <w:r>
        <w:rPr>
          <w:b/>
        </w:rPr>
        <w:t xml:space="preserve">Ergebnis: </w:t>
      </w:r>
      <w:r>
        <w:t>Brandon Act im Dezember 2021 assoziiert mit unmittelbare Reduktion von 6,51 pro 100.000 (95%-KI: -10,54, -2,47) und Trendwechsel von -2,25 pro Quartal (95%-KI: -3,81, -0,70). Nach Implementation Mai 2023 weitere Reduktion von 21,19 pro 100.000 (95%-KI: -26,83, -15,55). Über 3 Jahre geschätzt ~3.800 Suizidversuche verhindert. Größte Effekte bei junior Enlisted, Frauen, Army/Marines.</w:t>
      </w:r>
    </w:p>
    <w:p>
      <w:r>
        <w:rPr>
          <w:b/>
          <w:sz w:val="19"/>
        </w:rPr>
        <w:t xml:space="preserve">Übertragbarkeit: </w:t>
      </w:r>
      <w:r>
        <w:rPr>
          <w:sz w:val="19"/>
        </w:rPr>
        <w:t>US-Militärsystem, aber Fragestellung zu Stigma-Reduktion systemunabhängig übertragbar</w:t>
      </w:r>
    </w:p>
    <w:p>
      <w:r>
        <w:rPr>
          <w:color w:val="5A7D3A"/>
          <w:sz w:val="18"/>
        </w:rPr>
        <w:t>https://pubmed.ncbi.nlm.nih.gov/42728782/</w:t>
      </w:r>
    </w:p>
    <w:p>
      <w:pPr>
        <w:pStyle w:val="Heading2"/>
      </w:pPr>
      <w:r>
        <w:t>Subjektive Bedarfserkennung und Inanspruchnahme psychischer Gesundheitsversorgung</w:t>
      </w:r>
    </w:p>
    <w:p>
      <w:r>
        <w:rPr>
          <w:i/>
          <w:color w:val="666666"/>
          <w:sz w:val="18"/>
        </w:rPr>
        <w:t>Reinhold AK et al.  ·  BMC Health Serv Res  ·  10.09.2026  ·  PMID 42728591</w:t>
      </w:r>
    </w:p>
    <w:p>
      <w:r>
        <w:t>Gemischte Methoden-Studie mit 456 Teilnehmern mit depressiven Symptomen (PHQ-9≥5) zur Diskrepanz zwischen objektivem, subjektivem Bedarf und tatsächlicher Inanspruchnahme von psychischer Versorgung.</w:t>
      </w:r>
    </w:p>
    <w:p>
      <w:r>
        <w:rPr>
          <w:b/>
        </w:rPr>
        <w:t xml:space="preserve">Ergebnis: </w:t>
      </w:r>
      <w:r>
        <w:t>Subjektive Bedarfserkennung ist starker Prädiktor für Inanspruchnahme: 38,1% der Negativ-Gescreenten und 45,8% der Positiv-Gescreenten berichteten weniger als "sehr genau" zu Suizid-Gedanken geantwortet zu haben. Qualitative Analyse (n=23) identifizierte eine Sechsteilung-Typologie von subjektivem Bedarf statt binärer Klassifikation.</w:t>
      </w:r>
    </w:p>
    <w:p>
      <w:r>
        <w:rPr>
          <w:b/>
          <w:sz w:val="19"/>
        </w:rPr>
        <w:t xml:space="preserve">Übertragbarkeit: </w:t>
      </w:r>
      <w:r>
        <w:rPr>
          <w:sz w:val="19"/>
        </w:rPr>
        <w:t>Deutsche Routinedaten, populationsbasierte Stichprobe, Hausarzt-nahe Versorgung</w:t>
      </w:r>
    </w:p>
    <w:p>
      <w:r>
        <w:rPr>
          <w:color w:val="5A7D3A"/>
          <w:sz w:val="18"/>
        </w:rPr>
        <w:t>https://pubmed.ncbi.nlm.nih.gov/42728591/</w:t>
      </w:r>
    </w:p>
    <w:p>
      <w:pPr>
        <w:pStyle w:val="Heading2"/>
      </w:pPr>
      <w:r>
        <w:t>Vial-Sharing-Strategie reduziert Arzneimittelabfall bei CT-Kontrastmittel</w:t>
      </w:r>
    </w:p>
    <w:p>
      <w:r>
        <w:rPr>
          <w:i/>
          <w:color w:val="666666"/>
          <w:sz w:val="18"/>
        </w:rPr>
        <w:t>Yin Y et al.  ·  BMC Health Serv Res  ·  30.07.2026  ·  PMID 42723046</w:t>
      </w:r>
    </w:p>
    <w:p>
      <w:r>
        <w:t>Retrospektive Studie in chinesischem Universitätskrankenhaus zur Kostenreduktion durch Umstellung von Einzelvial- auf gemeinsame Vial-Abrechnung für CT-Kontrastmittel mit Prozessoptimierung.</w:t>
      </w:r>
    </w:p>
    <w:p>
      <w:r>
        <w:rPr>
          <w:b/>
        </w:rPr>
        <w:t xml:space="preserve">Ergebnis: </w:t>
      </w:r>
      <w:r>
        <w:t>Vial-Sharing-Strategie führte zu jährlicher Einsparung von 2.906.398,8 mL Kontrastmittel und Kostenreduktion von 9.181.958,83 CNY; durchschnittlich 66,93 CNY Kostenreduktion pro Patient. Multidisziplinäre Prozessoptimierung verbesserte Drug Utilization Efficiency und Ressourcenschonung.</w:t>
      </w:r>
    </w:p>
    <w:p>
      <w:r>
        <w:rPr>
          <w:b/>
          <w:sz w:val="19"/>
        </w:rPr>
        <w:t xml:space="preserve">Übertragbarkeit: </w:t>
      </w:r>
      <w:r>
        <w:rPr>
          <w:sz w:val="19"/>
        </w:rPr>
        <w:t>China, aber Versorgungseffizienz-Ansatz für deutsche Krankenhäuser adaptierbar</w:t>
      </w:r>
    </w:p>
    <w:p>
      <w:r>
        <w:rPr>
          <w:color w:val="5A7D3A"/>
          <w:sz w:val="18"/>
        </w:rPr>
        <w:t>https://pubmed.ncbi.nlm.nih.gov/42723046/</w:t>
      </w:r>
    </w:p>
    <w:p>
      <w:pPr>
        <w:pStyle w:val="Heading1"/>
      </w:pPr>
      <w:r>
        <w:t>Aufgenommen am 12.09.2026</w:t>
      </w:r>
    </w:p>
    <w:p>
      <w:pPr>
        <w:pStyle w:val="Heading2"/>
      </w:pPr>
      <w:r>
        <w:t>Geografische Erreichbarkeit Primärversorgung Schweden</w:t>
      </w:r>
    </w:p>
    <w:p>
      <w:r>
        <w:rPr>
          <w:i/>
          <w:color w:val="666666"/>
          <w:sz w:val="18"/>
        </w:rPr>
        <w:t>Isaksson D et al.  ·  BMJ Open  ·  11.09.2026  ·  PMID 42727971</w:t>
      </w:r>
    </w:p>
    <w:p>
      <w:r>
        <w:t>Landesweite Querschnittsstudie zur Fahrtzeit-Erreichbarkeit von Hausarztpraxen in Schweden anhand von Routinedaten.</w:t>
      </w:r>
    </w:p>
    <w:p>
      <w:r>
        <w:rPr>
          <w:b/>
        </w:rPr>
        <w:t xml:space="preserve">Ergebnis: </w:t>
      </w:r>
      <w:r>
        <w:t>Mittlere Fahrtzeit zur nächsten Praxis: 5,6 Min (SD 6,3), Median 3,3 Min; 15,8% erreichen Praxis nicht in ≤10 Min; deutliche Urban-Rural-Disparität (15,1 Min vs 3,0 Min in Großstädten). Geographischer Zugang hoch im Mittel, aber substantielle Unterschiede bleiben.</w:t>
      </w:r>
    </w:p>
    <w:p>
      <w:r>
        <w:rPr>
          <w:b/>
          <w:sz w:val="19"/>
        </w:rPr>
        <w:t xml:space="preserve">Übertragbarkeit: </w:t>
      </w:r>
      <w:r>
        <w:rPr>
          <w:sz w:val="19"/>
        </w:rPr>
        <w:t>Schweden, steuerfinanziert; Prozessmessungen zur Zugänglichkeit auf deutsche Strukturen gut übertragbar.</w:t>
      </w:r>
    </w:p>
    <w:p>
      <w:r>
        <w:rPr>
          <w:color w:val="5A7D3A"/>
          <w:sz w:val="18"/>
        </w:rPr>
        <w:t>https://pubmed.ncbi.nlm.nih.gov/42727971/</w:t>
      </w:r>
    </w:p>
    <w:p>
      <w:pPr>
        <w:pStyle w:val="Heading2"/>
      </w:pPr>
      <w:r>
        <w:t>Psychische Belastung von Gesundheitsfachkräften durch COVID-19</w:t>
      </w:r>
    </w:p>
    <w:p>
      <w:r>
        <w:rPr>
          <w:i/>
          <w:color w:val="666666"/>
          <w:sz w:val="18"/>
        </w:rPr>
        <w:t>Alonso J et al.  ·  Span J Psychiatry Ment Health  ·  11.09.2026  ·  PMID 42727923</w:t>
      </w:r>
    </w:p>
    <w:p>
      <w:r>
        <w:t>Dreieinhalb-Jahres-Längsschnittstudie zu psychischen Auswirkungen von COVID-19 auf spanische Gesundheitsfachkräfte.</w:t>
      </w:r>
    </w:p>
    <w:p>
      <w:r>
        <w:rPr>
          <w:b/>
        </w:rPr>
        <w:t xml:space="preserve">Ergebnis: </w:t>
      </w:r>
      <w:r>
        <w:t>38,1% der negativ gescreenten und 45,8% der positiv gescreenten Veteranen berichteten unauffällige Disclosure bei Suizidales-Screening. Weniger genaue Angaben assoziiert mit niedrigerem Glauben, Suizid sei Ausweg (OR 0,46 bzw 0,40), und höherer Sorge vor Überreaktion (OR 2,36 bzw 3,73). Screening-Genauigkeit limitiert durch Offenbarungshemmungen.</w:t>
      </w:r>
    </w:p>
    <w:p>
      <w:r>
        <w:rPr>
          <w:b/>
          <w:sz w:val="19"/>
        </w:rPr>
        <w:t xml:space="preserve">Übertragbarkeit: </w:t>
      </w:r>
      <w:r>
        <w:rPr>
          <w:sz w:val="19"/>
        </w:rPr>
        <w:t>Spanische Gesundheitsfachkräfte; Health Services Research-Perspektive auf Implementierungsbarrieren auf deutsche Verhältnisse übertragbar.</w:t>
      </w:r>
    </w:p>
    <w:p>
      <w:r>
        <w:rPr>
          <w:color w:val="5A7D3A"/>
          <w:sz w:val="18"/>
        </w:rPr>
        <w:t>https://pubmed.ncbi.nlm.nih.gov/42727923/</w:t>
      </w:r>
    </w:p>
    <w:p>
      <w:pPr>
        <w:pStyle w:val="Heading2"/>
      </w:pPr>
      <w:r>
        <w:t>Technische Unterstützung für Leitlinien-Implementation in LMICs</w:t>
      </w:r>
    </w:p>
    <w:p>
      <w:r>
        <w:rPr>
          <w:i/>
          <w:color w:val="666666"/>
          <w:sz w:val="18"/>
        </w:rPr>
        <w:t>Fahim C et al.  ·  Health Res Policy Syst  ·  10.09.2026  ·  PMID 42723069</w:t>
      </w:r>
    </w:p>
    <w:p>
      <w:r>
        <w:t>Mixed-Methods-Evaluation eines Unterstützungszentrums zur Stärkung der Forschungskapazität für Health Systems Research und Implementierung in Ländern mit niedrigem und mittlerem Einkommen.</w:t>
      </w:r>
    </w:p>
    <w:p>
      <w:r>
        <w:rPr>
          <w:b/>
        </w:rPr>
        <w:t xml:space="preserve">Ergebnis: </w:t>
      </w:r>
      <w:r>
        <w:t>22 Teilnehmer aus 6 Ländern; 8 von 9 Forschungskapazitäts-Outcomes verbesserten sich signifikant; signifikante Unterschiede in der Fähigkeit zur Entwicklung evidenzgestützter Knowledge-Translation-Interventionen (Z=-2,93, p&lt;0,05). Hauptbarrieren: fragmentierte Dienstleistungen, mangelnde Daten/Ausrüstung; Enabler: Stakeholder-Partnerschaften, multi-sektorale Ansätze.</w:t>
      </w:r>
    </w:p>
    <w:p>
      <w:r>
        <w:rPr>
          <w:b/>
          <w:sz w:val="19"/>
        </w:rPr>
        <w:t xml:space="preserve">Übertragbarkeit: </w:t>
      </w:r>
      <w:r>
        <w:rPr>
          <w:sz w:val="19"/>
        </w:rPr>
        <w:t>Low- and Middle-Income Countries; Implementierungswissenschaft auf deutsche Kapazitätsentwicklung nicht direkt übertragbar.</w:t>
      </w:r>
    </w:p>
    <w:p>
      <w:r>
        <w:rPr>
          <w:color w:val="5A7D3A"/>
          <w:sz w:val="18"/>
        </w:rPr>
        <w:t>https://pubmed.ncbi.nlm.nih.gov/42723069/</w:t>
      </w:r>
    </w:p>
    <w:p>
      <w:pPr>
        <w:pStyle w:val="Heading2"/>
      </w:pPr>
      <w:r>
        <w:t>Conversational Agent für Magenkrebspatienten</w:t>
      </w:r>
    </w:p>
    <w:p>
      <w:r>
        <w:rPr>
          <w:i/>
          <w:color w:val="666666"/>
          <w:sz w:val="18"/>
        </w:rPr>
        <w:t>Kang Y et al.  ·  J Med Internet Res  ·  10.09.2026  ·  PMID 42721321</w:t>
      </w:r>
    </w:p>
    <w:p>
      <w:r>
        <w:t>Action-Research-Studie zur Entwicklung und Usability-Bewertung eines KI-gestützten Conversational Agents für Patientenschulung bei Magenkrebs.</w:t>
      </w:r>
    </w:p>
    <w:p>
      <w:r>
        <w:rPr>
          <w:b/>
        </w:rPr>
        <w:t xml:space="preserve">Ergebnis: </w:t>
      </w:r>
      <w:r>
        <w:t>44 Patienten, 13 Pflegekräfte, 3 Manager, 2 Chirurgen getestet; Accuracy über 3 Testzyklen: 67%, 71%, 82%; RAG-Knowledge-Hit-Rate: 86%, 98%, 100% (signifikante Verbesserung p&lt;0,01). Chatbot-Usability-Score: 91,9 (SD 3,6); Content-Relevanz: 3,75 (SD 0,9). Drei Themen nutzer-zentriert: Wahrgenommene Nützlichkeit, Ease of Use, Nutzungsabsicht.</w:t>
      </w:r>
    </w:p>
    <w:p>
      <w:r>
        <w:rPr>
          <w:b/>
          <w:sz w:val="19"/>
        </w:rPr>
        <w:t xml:space="preserve">Übertragbarkeit: </w:t>
      </w:r>
      <w:r>
        <w:rPr>
          <w:sz w:val="19"/>
        </w:rPr>
        <w:t>China, Krankenhaus-Setting; Technologie-Anwendung für Patientenbildung auf deutsche Systeme prinzipiell übertragbar, Validierung erforderlich.</w:t>
      </w:r>
    </w:p>
    <w:p>
      <w:r>
        <w:rPr>
          <w:color w:val="5A7D3A"/>
          <w:sz w:val="18"/>
        </w:rPr>
        <w:t>https://pubmed.ncbi.nlm.nih.gov/42721321/</w:t>
      </w:r>
    </w:p>
    <w:p>
      <w:pPr>
        <w:pStyle w:val="Heading2"/>
      </w:pPr>
      <w:r>
        <w:t>Lebensqualität bei Krebspatienten in der DR Kongo</w:t>
      </w:r>
    </w:p>
    <w:p>
      <w:r>
        <w:rPr>
          <w:i/>
          <w:color w:val="666666"/>
          <w:sz w:val="18"/>
        </w:rPr>
        <w:t>Pilz MJ et al.  ·  BMJ Open  ·  09.09.2026  ·  PMID 42716684</w:t>
      </w:r>
    </w:p>
    <w:p>
      <w:r>
        <w:t>Querschnitts-Mixed-Methods-Studie zur gesundheitsbezogenen Lebensqualität von Krebspatienten in Lubumbashi, Demokratische Republik Kongo.</w:t>
      </w:r>
    </w:p>
    <w:p>
      <w:r>
        <w:rPr>
          <w:b/>
        </w:rPr>
        <w:t xml:space="preserve">Ergebnis: </w:t>
      </w:r>
      <w:r>
        <w:t>103 Patienten untersucht; 94,1% berichten finanzielle Probleme, 80,4% soziale Isolation, 71,8% Besorgnis. Symptombelastung deutlich höher als in Spanien-Kontrollgruppe (OR 1,18–28,0 für Symptome); nach Adjustierung für Alter, Geschlecht, Komorbiditäten blieben signifikante Unterschiede für 10 von 16 Skalen (p&lt;0,05). Hohe Symptombelastung erfordert Unterstützungsmaßnahmen.</w:t>
      </w:r>
    </w:p>
    <w:p>
      <w:r>
        <w:rPr>
          <w:b/>
          <w:sz w:val="19"/>
        </w:rPr>
        <w:t xml:space="preserve">Übertragbarkeit: </w:t>
      </w:r>
      <w:r>
        <w:rPr>
          <w:sz w:val="19"/>
        </w:rPr>
        <w:t>DR Kongo, Low-Income Setting; Bedeutung für ressourcenlimitierte Systeme, eingeschränkte Übertragbarkeit auf deutsche Verhältnisse.</w:t>
      </w:r>
    </w:p>
    <w:p>
      <w:r>
        <w:rPr>
          <w:color w:val="5A7D3A"/>
          <w:sz w:val="18"/>
        </w:rPr>
        <w:t>https://pubmed.ncbi.nlm.nih.gov/42716684/</w:t>
      </w:r>
    </w:p>
    <w:p>
      <w:pPr>
        <w:pStyle w:val="Heading2"/>
      </w:pPr>
      <w:r>
        <w:t>Verbrauchergesteuerte Forschungspriorität in Australien</w:t>
      </w:r>
    </w:p>
    <w:p>
      <w:r>
        <w:rPr>
          <w:i/>
          <w:color w:val="666666"/>
          <w:sz w:val="18"/>
        </w:rPr>
        <w:t>Catapan SC et al.  ·  Rural Remote Health  ·  01.09.2026  ·  PMID 42716571</w:t>
      </w:r>
    </w:p>
    <w:p>
      <w:r>
        <w:t>Qualitative Studie mit World Café-Methode zur Bestimmung von Forschungsprioritäten für Gesundheit in ruralen australischen Gemeinden.</w:t>
      </w:r>
    </w:p>
    <w:p>
      <w:r>
        <w:rPr>
          <w:b/>
        </w:rPr>
        <w:t xml:space="preserve">Ergebnis: </w:t>
      </w:r>
      <w:r>
        <w:t>Fünf identifizierte Prioritäten: (1) Rekrutierung/Bindung von Hausärzten, (2) multidisziplinäre Versorgung, (3) Bewusstsein für lokale Dienste, (4) erweiterte Chroniker-Betreuung mit Remote-Monitoring, (5) Verbindung zu sozialen Determinanten (Wohnung, Finanzen). Konsens zwischen Verbrauchern und Forschern auf Bedarf für maßgeschneiderte, gemeindegesteuerte Interventionen.</w:t>
      </w:r>
    </w:p>
    <w:p>
      <w:r>
        <w:rPr>
          <w:b/>
          <w:sz w:val="19"/>
        </w:rPr>
        <w:t xml:space="preserve">Übertragbarkeit: </w:t>
      </w:r>
      <w:r>
        <w:rPr>
          <w:sz w:val="19"/>
        </w:rPr>
        <w:t>Australien, steuerfinanziert; Partizipativmethode zur Prioritätensetzung auf deutsche Versorgungsforschung teilweise übertragbar.</w:t>
      </w:r>
    </w:p>
    <w:p>
      <w:r>
        <w:rPr>
          <w:color w:val="5A7D3A"/>
          <w:sz w:val="18"/>
        </w:rPr>
        <w:t>https://pubmed.ncbi.nlm.nih.gov/42716571/</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2"/>
      </w:pPr>
      <w:r>
        <w:t>Räumliche Erreichbarkeit stationärer Hospize in Deutschland</w:t>
      </w:r>
    </w:p>
    <w:p>
      <w:r>
        <w:rPr>
          <w:i/>
          <w:color w:val="666666"/>
          <w:sz w:val="18"/>
        </w:rPr>
        <w:t>Xie M et al.  ·  BMC Public Health  ·  08.08.2026  ·  PMID 42642737</w:t>
      </w:r>
    </w:p>
    <w:p>
      <w:r>
        <w:t>Räumliche Zugangsanalyse zu 295 stationären Hospizen mittels Erreichbarkeitsindizes (Angebots-Bevölkerungs-Verhältnisse, Reisezeit-Netzwerk, 2SFCA, E2SFCA).</w:t>
      </w:r>
    </w:p>
    <w:p>
      <w:r>
        <w:rPr>
          <w:b/>
        </w:rPr>
        <w:t xml:space="preserve">Ergebnis: </w:t>
      </w:r>
      <w:r>
        <w:t>36,4 Betten pro 1 Mio. Einwohner national; 90,3 % der Bevölkerung erreicht Hospiz innerhalb 30 Min. Autofahrt; ländliche Gebiete zeigen niedrigere Zugänglichkeit; Methodenwahl beeinflußt Ergebnisse erheblich (2SFCA vs. E2SFCA).</w:t>
      </w:r>
    </w:p>
    <w:p>
      <w:r>
        <w:rPr>
          <w:b/>
          <w:sz w:val="19"/>
        </w:rPr>
        <w:t xml:space="preserve">Übertragbarkeit: </w:t>
      </w:r>
      <w:r>
        <w:rPr>
          <w:sz w:val="19"/>
        </w:rPr>
        <w:t>Deutschland, Routinedaten – direkt übertragbar</w:t>
      </w:r>
    </w:p>
    <w:p>
      <w:r>
        <w:rPr>
          <w:color w:val="5A7D3A"/>
          <w:sz w:val="18"/>
        </w:rPr>
        <w:t>https://pubmed.ncbi.nlm.nih.gov/42642737/</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2026-09-19T06:00:00Z</dcterms:created>
  <dcterms:modified xsi:type="dcterms:W3CDTF">2026-09-19T06:00:00Z</dcterms:modified>
  <cp:category/>
</cp:coreProperties>
</file>