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12.10.2026  |  6 Studien  |  wissen.m-vf.de</w:t>
      </w:r>
    </w:p>
    <w:p>
      <w:pPr>
        <w:pStyle w:val="Heading1"/>
      </w:pPr>
      <w:r>
        <w:t>Aufgenommen am 12.10.2026</w:t>
      </w:r>
    </w:p>
    <w:p>
      <w:pPr>
        <w:pStyle w:val="Heading2"/>
      </w:pPr>
      <w:r>
        <w:t>Operative Wartezeiten bei Nierenzellkarzinom in England</w:t>
      </w:r>
    </w:p>
    <w:p>
      <w:r>
        <w:rPr>
          <w:i/>
          <w:color w:val="666666"/>
          <w:sz w:val="18"/>
        </w:rPr>
        <w:t>Varma R et al.  ·  BJU Int  ·  11.10.2026  ·  PMID 42860314</w:t>
      </w:r>
    </w:p>
    <w:p>
      <w:r>
        <w:t>Studie zu Wartezeiten auf operative Behandlung bei Patienten mit hochrisiko- und niedrigrisiko-Nierenzellkarzinom in England, 2019–2023.</w:t>
      </w:r>
    </w:p>
    <w:p>
      <w:r>
        <w:rPr>
          <w:b/>
        </w:rPr>
        <w:t xml:space="preserve">Ergebnis: </w:t>
      </w:r>
      <w:r>
        <w:t>Anteil zeitnaher Operationen (≤31 Tage) sank bei hochrisiko-RCC von 83,7% (2019) auf 64,8% (2023), bei niedrigrisiko-RCC von 71,3% auf 47,6%. Verlängerte Verzögerungen (&gt;62 Tage) verdoppelten sich von 3,9% auf 9,4%. Hochrisiko-Patienten wurden bevorzugt (73,6% vs. 58,2%, adjustierte RR 1,26, KI 1,22–1,31).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NHS-System mit anderen Zugangsstrukturen, aber versorgungsnahe Frage zur chirurgischen Kapazität</w:t>
      </w:r>
    </w:p>
    <w:p>
      <w:r>
        <w:rPr>
          <w:color w:val="5A7D3A"/>
          <w:sz w:val="18"/>
        </w:rPr>
        <w:t>https://pubmed.ncbi.nlm.nih.gov/42860314/</w:t>
      </w:r>
    </w:p>
    <w:p>
      <w:pPr>
        <w:pStyle w:val="Heading2"/>
      </w:pPr>
      <w:r>
        <w:t>Palliativbetreuung in der ambulanten Nephrologie: Wissen und Kommunikation</w:t>
      </w:r>
    </w:p>
    <w:p>
      <w:r>
        <w:rPr>
          <w:i/>
          <w:color w:val="666666"/>
          <w:sz w:val="18"/>
        </w:rPr>
        <w:t>Joshi M et al.  ·  BMC Nephrol  ·  09.10.2026  ·  PMID 42859148</w:t>
      </w:r>
    </w:p>
    <w:p>
      <w:r>
        <w:t>Qualitative und quantitative Studie zu Integration von Palliativbetreuung in deutschen Nephologie-Ambulanzen mittels Befragung und Interviews von 52 Fachkräften sowie 13 Tiefeninterviews.</w:t>
      </w:r>
    </w:p>
    <w:p>
      <w:r>
        <w:rPr>
          <w:b/>
        </w:rPr>
        <w:t xml:space="preserve">Ergebnis: </w:t>
      </w:r>
      <w:r>
        <w:t>Nur etwa die Hälfte der Fachkräfte äußerte Konfidenz in der Identifikation von Patienten mit Palliativbedarf. Gespräche über Behandlungspräferenzen und Vorausplanung fanden inkonsistent statt; Diskussionen über Sterbeort waren selten. Schulung erhöhte das Bewusstsein, strukturelle Barrieren (Zeitdruck, Behandlungsfokus) behinderten aber die Umsetzung.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Studie, ambulante Nephrologiepraxen und Krankenhausambulanzen</w:t>
      </w:r>
    </w:p>
    <w:p>
      <w:r>
        <w:rPr>
          <w:color w:val="5A7D3A"/>
          <w:sz w:val="18"/>
        </w:rPr>
        <w:t>https://pubmed.ncbi.nlm.nih.gov/42859148/</w:t>
      </w:r>
    </w:p>
    <w:p>
      <w:pPr>
        <w:pStyle w:val="Heading2"/>
      </w:pPr>
      <w:r>
        <w:t>Epidemiologie entzündlicher rheumatischer Erkrankungen in Deutschland</w:t>
      </w:r>
    </w:p>
    <w:p>
      <w:r>
        <w:rPr>
          <w:i/>
          <w:color w:val="666666"/>
          <w:sz w:val="18"/>
        </w:rPr>
        <w:t>Albrecht K et al.  ·  EULAR Rheumatol Open  ·  09.07.2026  ·  PMID 42857317</w:t>
      </w:r>
    </w:p>
    <w:p>
      <w:r>
        <w:t>Systematische Übersicht zur Prävalenz und Inzidenz von 11 entzündlichen rheumatischen Erkrankungen in Deutschland und Europa (2013–aktuell) für Personalbedarfsplanung.</w:t>
      </w:r>
    </w:p>
    <w:p>
      <w:r>
        <w:rPr>
          <w:b/>
        </w:rPr>
        <w:t xml:space="preserve">Ergebnis: </w:t>
      </w:r>
      <w:r>
        <w:t>Geschätzte Prävalenz pro 100.000: rheumatoide Arthritis 1.000, Polymyalgia rheumatica 600 (&gt;50 Jahre), axiale Spondylarthritis 300, psoriasis-Arthritis 300, Riesenzellarteriitis 146 (&gt;50 Jahre), primäres Sjögren 70, systemischer Lupus erythematodes 56, systemische Sklerose 35, idiopathische entzündliche Myopathien 17, ANCA-assoziierte Vaskulitiden 26, Behçet 4,7. Gesamtprävalenz entzündlicher rheumatischer Erkrankungen in Deutschland: 2,6% (1,8 Mio. Erwachsene), jährliche Inzidenz 0,2% (130.000 Erwachsene).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mit deutschen Daten und Schätzungen, direkt anwendbar für Versorgungsplanung</w:t>
      </w:r>
    </w:p>
    <w:p>
      <w:r>
        <w:rPr>
          <w:color w:val="5A7D3A"/>
          <w:sz w:val="18"/>
        </w:rPr>
        <w:t>https://pubmed.ncbi.nlm.nih.gov/42857317/</w:t>
      </w:r>
    </w:p>
    <w:p>
      <w:pPr>
        <w:pStyle w:val="Heading2"/>
      </w:pPr>
      <w:r>
        <w:t>Rolle von Ernährungsfachkräften in Langzeitpflegeeinrichtungen</w:t>
      </w:r>
    </w:p>
    <w:p>
      <w:r>
        <w:rPr>
          <w:i/>
          <w:color w:val="666666"/>
          <w:sz w:val="18"/>
        </w:rPr>
        <w:t>Bartrim K et al.  ·  Health Policy  ·  20.09.2026  ·  PMID 42849156</w:t>
      </w:r>
    </w:p>
    <w:p>
      <w:r>
        <w:t>Dokumentenanalyse der Rolle von Ernährungsfachkräften in Langzeitpflegeangeboten in 68 Ländern basierend auf Regelwerke, Standards und Leitlinien.</w:t>
      </w:r>
    </w:p>
    <w:p>
      <w:r>
        <w:rPr>
          <w:b/>
        </w:rPr>
        <w:t xml:space="preserve">Ergebnis: </w:t>
      </w:r>
      <w:r>
        <w:t>Von 68 Ländern hatten 37 (54%) mindestens ein Dokument zu Ernährungsfachkräften in Langzeitpflege. Japan war einziges Land mit allen vier Dokumenttypen; Australien, Türkiye und Nordirland hatten je drei. 14 Themenbereiche identifiziert, u.a. Ernährungsscreening, Speiseplanung, multiprofessionelle Zusammenarbeit. Große globale Unterschiede in Regelungen und anerkannten Rollen.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Vergleichende Analyse, auf Deutschland begrenzt übertragbar, aufgrund von Unterschieden in Regulierung und Systemstruktur</w:t>
      </w:r>
    </w:p>
    <w:p>
      <w:r>
        <w:rPr>
          <w:color w:val="5A7D3A"/>
          <w:sz w:val="18"/>
        </w:rPr>
        <w:t>https://pubmed.ncbi.nlm.nih.gov/42849156/</w:t>
      </w:r>
    </w:p>
    <w:p>
      <w:pPr>
        <w:pStyle w:val="Heading2"/>
      </w:pPr>
      <w:r>
        <w:t>Kardio-metabole Ergebnisse eines Wellness-Programms auf dem Land</w:t>
      </w:r>
    </w:p>
    <w:p>
      <w:r>
        <w:rPr>
          <w:i/>
          <w:color w:val="666666"/>
          <w:sz w:val="18"/>
        </w:rPr>
        <w:t>Baus A et al.  ·  J Prim Care Community Health  ·  08.10.2026  ·  PMID 42849056</w:t>
      </w:r>
    </w:p>
    <w:p>
      <w:r>
        <w:t>Retrospektive Evaluation eines krankenhausgestützten Wellness-Programms in West Virginia mit 585 aktiven Teilnehmern zur Kardio-metabolischen Gesundheit.</w:t>
      </w:r>
    </w:p>
    <w:p>
      <w:r>
        <w:rPr>
          <w:b/>
        </w:rPr>
        <w:t xml:space="preserve">Ergebnis: </w:t>
      </w:r>
      <w:r>
        <w:t>Bei gepaarten Analysen: Taillenumfang reduziert um 0,19 Inch (KI −0,34 bis −0,03; p=0,0174), diastolischer Blutdruck um 3,38 mmHg (KI −4,54 bis −2,21; p&lt;0,0001). Bei 56 Diabetespatienten mit HbA1c-Messungen: Reduktion um 0,25 Prozentpunkte (KI −0,44 bis −0,06; p=0,0106), bei initial HbA1c ≥7,0% (n=23) um 0,65 Punkte (KI −1,00 bis −0,29; p=0,0010).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ländliches Setting, aber Fragestellung zu lokalen Wellness-Modellen systemunabhängig relevant</w:t>
      </w:r>
    </w:p>
    <w:p>
      <w:r>
        <w:rPr>
          <w:color w:val="5A7D3A"/>
          <w:sz w:val="18"/>
        </w:rPr>
        <w:t>https://pubmed.ncbi.nlm.nih.gov/42849056/</w:t>
      </w:r>
    </w:p>
    <w:p>
      <w:pPr>
        <w:pStyle w:val="Heading2"/>
      </w:pPr>
      <w:r>
        <w:t>Einzelitemmessungen zu Nebenwirkungsbelastung bei Krebspatienten</w:t>
      </w:r>
    </w:p>
    <w:p>
      <w:r>
        <w:rPr>
          <w:i/>
          <w:color w:val="666666"/>
          <w:sz w:val="18"/>
        </w:rPr>
        <w:t>Jones T et al.  ·  Eur J Cancer  ·  04.10.2026  ·  PMID 42843209</w:t>
      </w:r>
    </w:p>
    <w:p>
      <w:r>
        <w:t>Systematische Übersichtsarbeit zu Einsatz, psychometrischen Eigenschaften und klinischer Validität von Einzelitemmessungen der wahrgenommenen Nebenwirkungsbelastung in Krebsstudien (67 Publikationen, 74 Studienregistrierungen).</w:t>
      </w:r>
    </w:p>
    <w:p>
      <w:r>
        <w:rPr>
          <w:b/>
        </w:rPr>
        <w:t xml:space="preserve">Ergebnis: </w:t>
      </w:r>
      <w:r>
        <w:t>EORTC Q168 konzentriert auf Pankreas- und Gallenwegskrebs; FACIT GP5 breiter eingesetzt. Für FACIT GP5 lagen 27 Publikationen vor mit Befunden zu Inhalts-, Konstrukt- und Diskriminanzvalidität; für Q168 nur 2 Publikationen. Inhaltliche Limitationen bleiben, besonders beim Attributieren von Symptomen zur Behandlung versus Erkrankung oder andere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Übersichtsarbeit über klinische Krebsforschung, international übertragbar für Instrumentenanwendung</w:t>
      </w:r>
    </w:p>
    <w:p>
      <w:r>
        <w:rPr>
          <w:color w:val="5A7D3A"/>
          <w:sz w:val="18"/>
        </w:rPr>
        <w:t>https://pubmed.ncbi.nlm.nih.gov/42843209/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2026-10-12T06:00:00Z</dcterms:created>
  <dcterms:modified xsi:type="dcterms:W3CDTF">2026-10-12T06:00:00Z</dcterms:modified>
  <cp:category/>
</cp:coreProperties>
</file>