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12.10.2026  |  350 Studien  |  wissen.m-vf.de</w:t>
      </w:r>
    </w:p>
    <w:p>
      <w:pPr>
        <w:pStyle w:val="Heading1"/>
      </w:pPr>
      <w:r>
        <w:t>Aufgenommen am 12.10.2026</w:t>
      </w:r>
    </w:p>
    <w:p>
      <w:pPr>
        <w:pStyle w:val="Heading2"/>
      </w:pPr>
      <w:r>
        <w:t>Operative Wartezeiten bei Nierenzellkarzinom in England</w:t>
      </w:r>
    </w:p>
    <w:p>
      <w:r>
        <w:rPr>
          <w:i/>
          <w:color w:val="666666"/>
          <w:sz w:val="18"/>
        </w:rPr>
        <w:t>Varma R et al.  ·  BJU Int  ·  11.10.2026  ·  PMID 42860314</w:t>
      </w:r>
    </w:p>
    <w:p>
      <w:r>
        <w:t>Studie zu Wartezeiten auf operative Behandlung bei Patienten mit hochrisiko- und niedrigrisiko-Nierenzellkarzinom in England, 2019–2023.</w:t>
      </w:r>
    </w:p>
    <w:p>
      <w:r>
        <w:rPr>
          <w:b/>
        </w:rPr>
        <w:t xml:space="preserve">Ergebnis: </w:t>
      </w:r>
      <w:r>
        <w:t>Anteil zeitnaher Operationen (≤31 Tage) sank bei hochrisiko-RCC von 83,7% (2019) auf 64,8% (2023), bei niedrigrisiko-RCC von 71,3% auf 47,6%. Verlängerte Verzögerungen (&gt;62 Tage) verdoppelten sich von 3,9% auf 9,4%. Hochrisiko-Patienten wurden bevorzugt (73,6% vs. 58,2%, adjustierte RR 1,26, KI 1,22–1,31).</w:t>
      </w:r>
    </w:p>
    <w:p>
      <w:r>
        <w:rPr>
          <w:b/>
          <w:sz w:val="19"/>
        </w:rPr>
        <w:t xml:space="preserve">Übertragbarkeit: </w:t>
      </w:r>
      <w:r>
        <w:rPr>
          <w:sz w:val="19"/>
        </w:rPr>
        <w:t>England, NHS-System mit anderen Zugangsstrukturen, aber versorgungsnahe Frage zur chirurgischen Kapazität</w:t>
      </w:r>
    </w:p>
    <w:p>
      <w:r>
        <w:rPr>
          <w:color w:val="5A7D3A"/>
          <w:sz w:val="18"/>
        </w:rPr>
        <w:t>https://pubmed.ncbi.nlm.nih.gov/42860314/</w:t>
      </w:r>
    </w:p>
    <w:p>
      <w:pPr>
        <w:pStyle w:val="Heading2"/>
      </w:pPr>
      <w:r>
        <w:t>Palliativbetreuung in der ambulanten Nephrologie: Wissen und Kommunikation</w:t>
      </w:r>
    </w:p>
    <w:p>
      <w:r>
        <w:rPr>
          <w:i/>
          <w:color w:val="666666"/>
          <w:sz w:val="18"/>
        </w:rPr>
        <w:t>Joshi M et al.  ·  BMC Nephrol  ·  09.10.2026  ·  PMID 42859148</w:t>
      </w:r>
    </w:p>
    <w:p>
      <w:r>
        <w:t>Qualitative und quantitative Studie zu Integration von Palliativbetreuung in deutschen Nephologie-Ambulanzen mittels Befragung und Interviews von 52 Fachkräften sowie 13 Tiefeninterviews.</w:t>
      </w:r>
    </w:p>
    <w:p>
      <w:r>
        <w:rPr>
          <w:b/>
        </w:rPr>
        <w:t xml:space="preserve">Ergebnis: </w:t>
      </w:r>
      <w:r>
        <w:t>Nur etwa die Hälfte der Fachkräfte äußerte Konfidenz in der Identifikation von Patienten mit Palliativbedarf. Gespräche über Behandlungspräferenzen und Vorausplanung fanden inkonsistent statt; Diskussionen über Sterbeort waren selten. Schulung erhöhte das Bewusstsein, strukturelle Barrieren (Zeitdruck, Behandlungsfokus) behinderten aber die Umsetzung.</w:t>
      </w:r>
    </w:p>
    <w:p>
      <w:r>
        <w:rPr>
          <w:b/>
          <w:sz w:val="19"/>
        </w:rPr>
        <w:t xml:space="preserve">Übertragbarkeit: </w:t>
      </w:r>
      <w:r>
        <w:rPr>
          <w:sz w:val="19"/>
        </w:rPr>
        <w:t>Deutsche Studie, ambulante Nephrologiepraxen und Krankenhausambulanzen</w:t>
      </w:r>
    </w:p>
    <w:p>
      <w:r>
        <w:rPr>
          <w:color w:val="5A7D3A"/>
          <w:sz w:val="18"/>
        </w:rPr>
        <w:t>https://pubmed.ncbi.nlm.nih.gov/42859148/</w:t>
      </w:r>
    </w:p>
    <w:p>
      <w:pPr>
        <w:pStyle w:val="Heading2"/>
      </w:pPr>
      <w:r>
        <w:t>Epidemiologie entzündlicher rheumatischer Erkrankungen in Deutschland</w:t>
      </w:r>
    </w:p>
    <w:p>
      <w:r>
        <w:rPr>
          <w:i/>
          <w:color w:val="666666"/>
          <w:sz w:val="18"/>
        </w:rPr>
        <w:t>Albrecht K et al.  ·  EULAR Rheumatol Open  ·  09.07.2026  ·  PMID 42857317</w:t>
      </w:r>
    </w:p>
    <w:p>
      <w:r>
        <w:t>Systematische Übersicht zur Prävalenz und Inzidenz von 11 entzündlichen rheumatischen Erkrankungen in Deutschland und Europa (2013–aktuell) für Personalbedarfsplanung.</w:t>
      </w:r>
    </w:p>
    <w:p>
      <w:r>
        <w:rPr>
          <w:b/>
        </w:rPr>
        <w:t xml:space="preserve">Ergebnis: </w:t>
      </w:r>
      <w:r>
        <w:t>Geschätzte Prävalenz pro 100.000: rheumatoide Arthritis 1.000, Polymyalgia rheumatica 600 (&gt;50 Jahre), axiale Spondylarthritis 300, psoriasis-Arthritis 300, Riesenzellarteriitis 146 (&gt;50 Jahre), primäres Sjögren 70, systemischer Lupus erythematodes 56, systemische Sklerose 35, idiopathische entzündliche Myopathien 17, ANCA-assoziierte Vaskulitiden 26, Behçet 4,7. Gesamtprävalenz entzündlicher rheumatischer Erkrankungen in Deutschland: 2,6% (1,8 Mio. Erwachsene), jährliche Inzidenz 0,2% (130.000 Erwachsene).</w:t>
      </w:r>
    </w:p>
    <w:p>
      <w:r>
        <w:rPr>
          <w:b/>
          <w:sz w:val="19"/>
        </w:rPr>
        <w:t xml:space="preserve">Übertragbarkeit: </w:t>
      </w:r>
      <w:r>
        <w:rPr>
          <w:sz w:val="19"/>
        </w:rPr>
        <w:t>Deutsche Studie mit deutschen Daten und Schätzungen, direkt anwendbar für Versorgungsplanung</w:t>
      </w:r>
    </w:p>
    <w:p>
      <w:r>
        <w:rPr>
          <w:color w:val="5A7D3A"/>
          <w:sz w:val="18"/>
        </w:rPr>
        <w:t>https://pubmed.ncbi.nlm.nih.gov/42857317/</w:t>
      </w:r>
    </w:p>
    <w:p>
      <w:pPr>
        <w:pStyle w:val="Heading2"/>
      </w:pPr>
      <w:r>
        <w:t>Rolle von Ernährungsfachkräften in Langzeitpflegeeinrichtungen</w:t>
      </w:r>
    </w:p>
    <w:p>
      <w:r>
        <w:rPr>
          <w:i/>
          <w:color w:val="666666"/>
          <w:sz w:val="18"/>
        </w:rPr>
        <w:t>Bartrim K et al.  ·  Health Policy  ·  20.09.2026  ·  PMID 42849156</w:t>
      </w:r>
    </w:p>
    <w:p>
      <w:r>
        <w:t>Dokumentenanalyse der Rolle von Ernährungsfachkräften in Langzeitpflegeangeboten in 68 Ländern basierend auf Regelwerke, Standards und Leitlinien.</w:t>
      </w:r>
    </w:p>
    <w:p>
      <w:r>
        <w:rPr>
          <w:b/>
        </w:rPr>
        <w:t xml:space="preserve">Ergebnis: </w:t>
      </w:r>
      <w:r>
        <w:t>Von 68 Ländern hatten 37 (54%) mindestens ein Dokument zu Ernährungsfachkräften in Langzeitpflege. Japan war einziges Land mit allen vier Dokumenttypen; Australien, Türkiye und Nordirland hatten je drei. 14 Themenbereiche identifiziert, u.a. Ernährungsscreening, Speiseplanung, multiprofessionelle Zusammenarbeit. Große globale Unterschiede in Regelungen und anerkannten Rollen.</w:t>
      </w:r>
    </w:p>
    <w:p>
      <w:r>
        <w:rPr>
          <w:b/>
          <w:sz w:val="19"/>
        </w:rPr>
        <w:t xml:space="preserve">Übertragbarkeit: </w:t>
      </w:r>
      <w:r>
        <w:rPr>
          <w:sz w:val="19"/>
        </w:rPr>
        <w:t>Vergleichende Analyse, auf Deutschland begrenzt übertragbar, aufgrund von Unterschieden in Regulierung und Systemstruktur</w:t>
      </w:r>
    </w:p>
    <w:p>
      <w:r>
        <w:rPr>
          <w:color w:val="5A7D3A"/>
          <w:sz w:val="18"/>
        </w:rPr>
        <w:t>https://pubmed.ncbi.nlm.nih.gov/42849156/</w:t>
      </w:r>
    </w:p>
    <w:p>
      <w:pPr>
        <w:pStyle w:val="Heading2"/>
      </w:pPr>
      <w:r>
        <w:t>Kardio-metabole Ergebnisse eines Wellness-Programms auf dem Land</w:t>
      </w:r>
    </w:p>
    <w:p>
      <w:r>
        <w:rPr>
          <w:i/>
          <w:color w:val="666666"/>
          <w:sz w:val="18"/>
        </w:rPr>
        <w:t>Baus A et al.  ·  J Prim Care Community Health  ·  08.10.2026  ·  PMID 42849056</w:t>
      </w:r>
    </w:p>
    <w:p>
      <w:r>
        <w:t>Retrospektive Evaluation eines krankenhausgestützten Wellness-Programms in West Virginia mit 585 aktiven Teilnehmern zur Kardio-metabolischen Gesundheit.</w:t>
      </w:r>
    </w:p>
    <w:p>
      <w:r>
        <w:rPr>
          <w:b/>
        </w:rPr>
        <w:t xml:space="preserve">Ergebnis: </w:t>
      </w:r>
      <w:r>
        <w:t>Bei gepaarten Analysen: Taillenumfang reduziert um 0,19 Inch (KI −0,34 bis −0,03; p=0,0174), diastolischer Blutdruck um 3,38 mmHg (KI −4,54 bis −2,21; p&lt;0,0001). Bei 56 Diabetespatienten mit HbA1c-Messungen: Reduktion um 0,25 Prozentpunkte (KI −0,44 bis −0,06; p=0,0106), bei initial HbA1c ≥7,0% (n=23) um 0,65 Punkte (KI −1,00 bis −0,29; p=0,0010).</w:t>
      </w:r>
    </w:p>
    <w:p>
      <w:r>
        <w:rPr>
          <w:b/>
          <w:sz w:val="19"/>
        </w:rPr>
        <w:t xml:space="preserve">Übertragbarkeit: </w:t>
      </w:r>
      <w:r>
        <w:rPr>
          <w:sz w:val="19"/>
        </w:rPr>
        <w:t>USA, ländliches Setting, aber Fragestellung zu lokalen Wellness-Modellen systemunabhängig relevant</w:t>
      </w:r>
    </w:p>
    <w:p>
      <w:r>
        <w:rPr>
          <w:color w:val="5A7D3A"/>
          <w:sz w:val="18"/>
        </w:rPr>
        <w:t>https://pubmed.ncbi.nlm.nih.gov/42849056/</w:t>
      </w:r>
    </w:p>
    <w:p>
      <w:pPr>
        <w:pStyle w:val="Heading2"/>
      </w:pPr>
      <w:r>
        <w:t>Einzelitemmessungen zu Nebenwirkungsbelastung bei Krebspatienten</w:t>
      </w:r>
    </w:p>
    <w:p>
      <w:r>
        <w:rPr>
          <w:i/>
          <w:color w:val="666666"/>
          <w:sz w:val="18"/>
        </w:rPr>
        <w:t>Jones T et al.  ·  Eur J Cancer  ·  04.10.2026  ·  PMID 42843209</w:t>
      </w:r>
    </w:p>
    <w:p>
      <w:r>
        <w:t>Systematische Übersichtsarbeit zu Einsatz, psychometrischen Eigenschaften und klinischer Validität von Einzelitemmessungen der wahrgenommenen Nebenwirkungsbelastung in Krebsstudien (67 Publikationen, 74 Studienregistrierungen).</w:t>
      </w:r>
    </w:p>
    <w:p>
      <w:r>
        <w:rPr>
          <w:b/>
        </w:rPr>
        <w:t xml:space="preserve">Ergebnis: </w:t>
      </w:r>
      <w:r>
        <w:t>EORTC Q168 konzentriert auf Pankreas- und Gallenwegskrebs; FACIT GP5 breiter eingesetzt. Für FACIT GP5 lagen 27 Publikationen vor mit Befunden zu Inhalts-, Konstrukt- und Diskriminanzvalidität; für Q168 nur 2 Publikationen. Inhaltliche Limitationen bleiben, besonders beim Attributieren von Symptomen zur Behandlung versus Erkrankung oder andere Faktoren.</w:t>
      </w:r>
    </w:p>
    <w:p>
      <w:r>
        <w:rPr>
          <w:b/>
          <w:sz w:val="19"/>
        </w:rPr>
        <w:t xml:space="preserve">Übertragbarkeit: </w:t>
      </w:r>
      <w:r>
        <w:rPr>
          <w:sz w:val="19"/>
        </w:rPr>
        <w:t>Übersichtsarbeit über klinische Krebsforschung, international übertragbar für Instrumentenanwendung</w:t>
      </w:r>
    </w:p>
    <w:p>
      <w:r>
        <w:rPr>
          <w:color w:val="5A7D3A"/>
          <w:sz w:val="18"/>
        </w:rPr>
        <w:t>https://pubmed.ncbi.nlm.nih.gov/42843209/</w:t>
      </w:r>
    </w:p>
    <w:p>
      <w:pPr>
        <w:pStyle w:val="Heading1"/>
      </w:pPr>
      <w:r>
        <w:t>Aufgenommen am 11.10.2026</w:t>
      </w:r>
    </w:p>
    <w:p>
      <w:pPr>
        <w:pStyle w:val="Heading2"/>
      </w:pPr>
      <w:r>
        <w:t>Transitional Care-Erfahrungen ruraler Patientinnen: Qualitativ</w:t>
      </w:r>
    </w:p>
    <w:p>
      <w:r>
        <w:rPr>
          <w:i/>
          <w:color w:val="666666"/>
          <w:sz w:val="18"/>
        </w:rPr>
        <w:t>Randolph SB et al.  ·  J Rural Health  ·  Sept. 2026  ·  PMID 42855931</w:t>
      </w:r>
    </w:p>
    <w:p>
      <w:r>
        <w:t>Qualitative Analyse von Krankenakten von 200 Veteranen (100 rural, 100 urban), die innerhalb 30 Tagen nach Krankenhausentlassung starben.</w:t>
      </w:r>
    </w:p>
    <w:p>
      <w:r>
        <w:rPr>
          <w:b/>
        </w:rPr>
        <w:t xml:space="preserve">Ergebnis: </w:t>
      </w:r>
      <w:r>
        <w:t>Drei zentrale Themen für rurale Patienten: geografische Entfernungen (längere Fahrtzeiten), Ablehnung von Homecare-Services und hohe Belastung der Betreuer. Diese Faktoren führten zu Diskordanz und Unsicherheit zwischen Patient, Team und Angehörigen.</w:t>
      </w:r>
    </w:p>
    <w:p>
      <w:r>
        <w:rPr>
          <w:b/>
          <w:sz w:val="19"/>
        </w:rPr>
        <w:t xml:space="preserve">Übertragbarkeit: </w:t>
      </w:r>
      <w:r>
        <w:rPr>
          <w:sz w:val="19"/>
        </w:rPr>
        <w:t>USA-Veteranensystem; Erkenntnisse zu Übergangsversorgung aber systemübergreifend relevant</w:t>
      </w:r>
    </w:p>
    <w:p>
      <w:r>
        <w:rPr>
          <w:color w:val="5A7D3A"/>
          <w:sz w:val="18"/>
        </w:rPr>
        <w:t>https://pubmed.ncbi.nlm.nih.gov/42855931/</w:t>
      </w:r>
    </w:p>
    <w:p>
      <w:pPr>
        <w:pStyle w:val="Heading2"/>
      </w:pPr>
      <w:r>
        <w:t>Employment instability und katastrophale Gesundheitsausgaben in Südkorea</w:t>
      </w:r>
    </w:p>
    <w:p>
      <w:r>
        <w:rPr>
          <w:i/>
          <w:color w:val="666666"/>
          <w:sz w:val="18"/>
        </w:rPr>
        <w:t>Yang JM et al.  ·  BMC Health Serv Res  ·  19.08.2026  ·  PMID 42855683</w:t>
      </w:r>
    </w:p>
    <w:p>
      <w:r>
        <w:t>Längsschnittstudie zur Assoziation zwischen Beschäftigungsstabilität und katastrophalen Gesundheitsausgaben bei koreanischen Erwachsenen ab 50 Jahren.</w:t>
      </w:r>
    </w:p>
    <w:p>
      <w:r>
        <w:rPr>
          <w:b/>
        </w:rPr>
        <w:t xml:space="preserve">Ergebnis: </w:t>
      </w:r>
      <w:r>
        <w:t>Persistierende Arbeitslosigkeit erhöhte die Odds für katastrophale Ausgaben um das 1,26-1,34-Fache (p&lt;0,05). Berufliche Übergänge in Arbeitslosigkeit zeigten ähnliche Effekte. Effekt nur in der Altersgruppe ≥50 Jahre signifikant.</w:t>
      </w:r>
    </w:p>
    <w:p>
      <w:r>
        <w:rPr>
          <w:b/>
          <w:sz w:val="19"/>
        </w:rPr>
        <w:t xml:space="preserve">Übertragbarkeit: </w:t>
      </w:r>
      <w:r>
        <w:rPr>
          <w:sz w:val="19"/>
        </w:rPr>
        <w:t>Südkorea, gesetzliche Krankenversicherung, direkter Vergleich möglich</w:t>
      </w:r>
    </w:p>
    <w:p>
      <w:r>
        <w:rPr>
          <w:color w:val="5A7D3A"/>
          <w:sz w:val="18"/>
        </w:rPr>
        <w:t>https://pubmed.ncbi.nlm.nih.gov/42855683/</w:t>
      </w:r>
    </w:p>
    <w:p>
      <w:pPr>
        <w:pStyle w:val="Heading2"/>
      </w:pPr>
      <w:r>
        <w:t>Klimabewusstsein und Öko-Angst bei Gesundheitspersonal</w:t>
      </w:r>
    </w:p>
    <w:p>
      <w:r>
        <w:rPr>
          <w:i/>
          <w:color w:val="666666"/>
          <w:sz w:val="18"/>
        </w:rPr>
        <w:t>Özdemir T et al.  ·  BMC Health Serv Res  ·  01.10.2026  ·  PMID 42850626</w:t>
      </w:r>
    </w:p>
    <w:p>
      <w:r>
        <w:t>Querschnittsstudie bei 460 Fachkräften im Gesundheitswesen zu Zusammenhängen zwischen Klimabewusstsein, Öko-Angst und Umweltsensibilität.</w:t>
      </w:r>
    </w:p>
    <w:p>
      <w:r>
        <w:rPr>
          <w:b/>
        </w:rPr>
        <w:t xml:space="preserve">Ergebnis: </w:t>
      </w:r>
      <w:r>
        <w:t>Moderate Ausprägung bei Klimabewusstsein und Umweltsensibilität; moderate Öko-Angst. Klimabewusstsein, Pflegefachkräfte-Status, Alter ≥45 Jahre und Mitgliedschaft in Umweltorganisationen waren signifikante Prädiktoren (p&lt;0,05). Ruminations-Subdimension marginal nicht-signifikant (p=0,064).</w:t>
      </w:r>
    </w:p>
    <w:p>
      <w:r>
        <w:rPr>
          <w:b/>
          <w:sz w:val="19"/>
        </w:rPr>
        <w:t xml:space="preserve">Übertragbarkeit: </w:t>
      </w:r>
      <w:r>
        <w:rPr>
          <w:sz w:val="19"/>
        </w:rPr>
        <w:t>Türkei, Gesundheitssystem mit Versorger-fokussiertem Ansatz, Health Services Research</w:t>
      </w:r>
    </w:p>
    <w:p>
      <w:r>
        <w:rPr>
          <w:color w:val="5A7D3A"/>
          <w:sz w:val="18"/>
        </w:rPr>
        <w:t>https://pubmed.ncbi.nlm.nih.gov/42850626/</w:t>
      </w:r>
    </w:p>
    <w:p>
      <w:pPr>
        <w:pStyle w:val="Heading2"/>
      </w:pPr>
      <w:r>
        <w:t>Wearable-Sensoren zur Bewegungskontrolle in geriatrischer Rehabilitation</w:t>
      </w:r>
    </w:p>
    <w:p>
      <w:r>
        <w:rPr>
          <w:i/>
          <w:color w:val="666666"/>
          <w:sz w:val="18"/>
        </w:rPr>
        <w:t>Debeij SM et al.  ·  Eur Geriatr Med  ·  06.10.2026  ·  PMID 42839204</w:t>
      </w:r>
    </w:p>
    <w:p>
      <w:r>
        <w:t>Mixed-Methods-Studie zur Nutzerfreundlichkeit und Machbarkeit eines Sensorsystems mit Rückmeldung zur Sedentarität bei geriatrischen Patienten (stationär und ambulant).</w:t>
      </w:r>
    </w:p>
    <w:p>
      <w:r>
        <w:rPr>
          <w:b/>
        </w:rPr>
        <w:t xml:space="preserve">Ergebnis: </w:t>
      </w:r>
      <w:r>
        <w:t>Machbarkeit ausreichend (hohe Adhärenz), Nutzerfreundlichkeit begrenzt. Technische Probleme (Messergenauigkeit) und Implementierungshürden (fehlende Individualisierung, unklarer Mehrwert). Teilnehmer: 26 Patienten, 9 Fachkräfte; 22 Interviews durchgeführt.</w:t>
      </w:r>
    </w:p>
    <w:p>
      <w:r>
        <w:rPr>
          <w:b/>
          <w:sz w:val="19"/>
        </w:rPr>
        <w:t xml:space="preserve">Übertragbarkeit: </w:t>
      </w:r>
      <w:r>
        <w:rPr>
          <w:sz w:val="19"/>
        </w:rPr>
        <w:t>Niederlande, Sozialversicherung, gute Übertragbarkeit auf deutsches Gesundheitswesen</w:t>
      </w:r>
    </w:p>
    <w:p>
      <w:r>
        <w:rPr>
          <w:color w:val="5A7D3A"/>
          <w:sz w:val="18"/>
        </w:rPr>
        <w:t>https://pubmed.ncbi.nlm.nih.gov/42839204/</w:t>
      </w:r>
    </w:p>
    <w:p>
      <w:pPr>
        <w:pStyle w:val="Heading2"/>
      </w:pPr>
      <w:r>
        <w:t>Rotavirus-Impfung in Vietnam: Effektivität und Kosteneffektivität</w:t>
      </w:r>
    </w:p>
    <w:p>
      <w:r>
        <w:rPr>
          <w:i/>
          <w:color w:val="666666"/>
          <w:sz w:val="18"/>
        </w:rPr>
        <w:t>Dang HTT et al.  ·  Vaccine  ·  06.10.2026  ·  PMID 42837896</w:t>
      </w:r>
    </w:p>
    <w:p>
      <w:r>
        <w:t>Modellierungsstudie zur Auswirkung und Kosteneffektivität der Rotavirus-Impfung (ROTAVIN) bei Kindern unter fünf Jahren in Vietnam.</w:t>
      </w:r>
    </w:p>
    <w:p>
      <w:r>
        <w:rPr>
          <w:b/>
        </w:rPr>
        <w:t xml:space="preserve">Ergebnis: </w:t>
      </w:r>
      <w:r>
        <w:t>Über 10 Jahre würde Impfung 97.776 Hospitalisierungen (KI 72.722–342.311) und 433 Todesfälle (KI 330–1300) verhindern. Kosten von 39,5 Mio. USD für zehn Kohorten. ICER von 982 USD pro vermiedenem DALY (Staatsperspektive); kostensparen aus Gesellschaftsperspektive mit 99% Wahrscheinlichkeit.</w:t>
      </w:r>
    </w:p>
    <w:p>
      <w:r>
        <w:rPr>
          <w:b/>
          <w:sz w:val="19"/>
        </w:rPr>
        <w:t xml:space="preserve">Übertragbarkeit: </w:t>
      </w:r>
      <w:r>
        <w:rPr>
          <w:sz w:val="19"/>
        </w:rPr>
        <w:t>Vietnams Gesundheitssystem, Sozialversicherung, hohe Übertragbarkeit auf ähnliche Kontexte</w:t>
      </w:r>
    </w:p>
    <w:p>
      <w:r>
        <w:rPr>
          <w:color w:val="5A7D3A"/>
          <w:sz w:val="18"/>
        </w:rPr>
        <w:t>https://pubmed.ncbi.nlm.nih.gov/42837896/</w:t>
      </w:r>
    </w:p>
    <w:p>
      <w:pPr>
        <w:pStyle w:val="Heading1"/>
      </w:pPr>
      <w:r>
        <w:t>Aufgenommen am 10.10.2026</w:t>
      </w:r>
    </w:p>
    <w:p>
      <w:pPr>
        <w:pStyle w:val="Heading2"/>
      </w:pPr>
      <w:r>
        <w:t>Transition in rheumatology: Versorgungslücken beim Übergang ins Erwachsenenalter</w:t>
      </w:r>
    </w:p>
    <w:p>
      <w:r>
        <w:rPr>
          <w:i/>
          <w:color w:val="666666"/>
          <w:sz w:val="18"/>
        </w:rPr>
        <w:t>Milatz F et al.  ·  Z Rheumatol  ·  09.10.2026  ·  PMID 42853413</w:t>
      </w:r>
    </w:p>
    <w:p>
      <w:r>
        <w:t>Querschnittsbefragung von 269 jungen Erwachsenen mit juveniler idiopathischer Arthritis zur Versorgungskontinuität beim Übergang von der Kinder- in die internistische Rheumatologie.</w:t>
      </w:r>
    </w:p>
    <w:p>
      <w:r>
        <w:rPr>
          <w:b/>
        </w:rPr>
        <w:t xml:space="preserve">Ergebnis: </w:t>
      </w:r>
      <w:r>
        <w:t>45% der jungen Erwachsenen erhielten fachspezifische rheumatologische Betreuung; Transitionskompetenz bei Versorgten höher (22,7 vs. 19,0; p&lt;0,001); 35% erhielten keinen zusammenfassenden Arztbericht; durchschnittlich 9,9 Monate zwischen letzter Kinder- und erster Erwachsenenvorstellung; Nicht-Versorgte erhielten seltener Basistherapie (18% vs. 63%); ~20% berichteten relevante depressive Symptome.</w:t>
      </w:r>
    </w:p>
    <w:p>
      <w:r>
        <w:rPr>
          <w:b/>
          <w:sz w:val="19"/>
        </w:rPr>
        <w:t xml:space="preserve">Übertragbarkeit: </w:t>
      </w:r>
      <w:r>
        <w:rPr>
          <w:sz w:val="19"/>
        </w:rPr>
        <w:t>Deutsche Routinedaten, gesetzlich Versicherte (Barmer)</w:t>
      </w:r>
    </w:p>
    <w:p>
      <w:r>
        <w:rPr>
          <w:color w:val="5A7D3A"/>
          <w:sz w:val="18"/>
        </w:rPr>
        <w:t>https://pubmed.ncbi.nlm.nih.gov/42853413/</w:t>
      </w:r>
    </w:p>
    <w:p>
      <w:pPr>
        <w:pStyle w:val="Heading2"/>
      </w:pPr>
      <w:r>
        <w:t>Finanzielle Anreize erhöhen Screening-Quote bei Darmkrebs</w:t>
      </w:r>
    </w:p>
    <w:p>
      <w:r>
        <w:rPr>
          <w:i/>
          <w:color w:val="666666"/>
          <w:sz w:val="18"/>
        </w:rPr>
        <w:t>Perry LM et al.  ·  Health Serv Res  ·  22.07.2025  ·  PMID 42853034</w:t>
      </w:r>
    </w:p>
    <w:p>
      <w:r>
        <w:t>Pilotversuch zur Effektivität von finanziellen Anreizen für Darmkrebsvorsorge-Screening in ländlicher US-Primärversorgung.</w:t>
      </w:r>
    </w:p>
    <w:p>
      <w:r>
        <w:rPr>
          <w:b/>
        </w:rPr>
        <w:t xml:space="preserve">Ergebnis: </w:t>
      </w:r>
      <w:r>
        <w:t>68% der Interventionsgruppe vs. 32% der Kontrollgruppe absolvierten CRC-Screening (p=0,02); 57% der interessierten Personen waren berechtigt; 94% der Berechtigten nahmen teil; durchschnittliche Teilnehmerin 52,4 Jahre alt, 70% weiblich, 42% schwarz, 24% unversichert.</w:t>
      </w:r>
    </w:p>
    <w:p>
      <w:r>
        <w:rPr>
          <w:b/>
          <w:sz w:val="19"/>
        </w:rPr>
        <w:t xml:space="preserve">Übertragbarkeit: </w:t>
      </w:r>
      <w:r>
        <w:rPr>
          <w:sz w:val="19"/>
        </w:rPr>
        <w:t>Nur bedingt: US-fragmentiertes Versicherungssystem, anderer Zugangskontext</w:t>
      </w:r>
    </w:p>
    <w:p>
      <w:r>
        <w:rPr>
          <w:color w:val="5A7D3A"/>
          <w:sz w:val="18"/>
        </w:rPr>
        <w:t>https://pubmed.ncbi.nlm.nih.gov/42853034/</w:t>
      </w:r>
    </w:p>
    <w:p>
      <w:pPr>
        <w:pStyle w:val="Heading2"/>
      </w:pPr>
      <w:r>
        <w:t>Wespenart beeinflusst Erfolg von Wespengiftimmuntherapie-Provokationen</w:t>
      </w:r>
    </w:p>
    <w:p>
      <w:r>
        <w:rPr>
          <w:i/>
          <w:color w:val="666666"/>
          <w:sz w:val="18"/>
        </w:rPr>
        <w:t>Oppel E et al.  ·  Allergol Select  ·  25.09.2026  ·  PMID 42852156</w:t>
      </w:r>
    </w:p>
    <w:p>
      <w:r>
        <w:t>Retrospektive Analyse von 1.163 Patienten unter Wespengiftimmuntherapie hinsichtlich Einflussfaktoren auf Toleranz gegenüber künstlichen Stichproben.</w:t>
      </w:r>
    </w:p>
    <w:p>
      <w:r>
        <w:rPr>
          <w:b/>
        </w:rPr>
        <w:t xml:space="preserve">Ergebnis: </w:t>
      </w:r>
      <w:r>
        <w:t>Stichproben wurden von 1.141 Patienten (98,1%) toleriert; Vespula-Arten zeigten signifikant höhere Toleranzrate als Dolichovespula-Arten (OR 7,69, 95% CI 2,66–20,43); Hauttest-Konversion (positiv→negativ bei 10 µg/mL) zeigte Trend zu verbesserter Toleranz (OR 2,26, 95% CI 0,68–11,53); in 53,2±38,5 Monaten Follow-up: 6 Systemreaktionen nach Feldstichen, keine aus Dolichovespula-Gruppe.</w:t>
      </w:r>
    </w:p>
    <w:p>
      <w:r>
        <w:rPr>
          <w:b/>
          <w:sz w:val="19"/>
        </w:rPr>
        <w:t xml:space="preserve">Übertragbarkeit: </w:t>
      </w:r>
      <w:r>
        <w:rPr>
          <w:sz w:val="19"/>
        </w:rPr>
        <w:t>Deutschland, vergleichbare allergologische Standardversorgung</w:t>
      </w:r>
    </w:p>
    <w:p>
      <w:r>
        <w:rPr>
          <w:color w:val="5A7D3A"/>
          <w:sz w:val="18"/>
        </w:rPr>
        <w:t>https://pubmed.ncbi.nlm.nih.gov/42852156/</w:t>
      </w:r>
    </w:p>
    <w:p>
      <w:pPr>
        <w:pStyle w:val="Heading2"/>
      </w:pPr>
      <w:r>
        <w:t>Patientenbeteiligung bei Leitlinienentwicklung: Erfahrungen in Deutschland</w:t>
      </w:r>
    </w:p>
    <w:p>
      <w:r>
        <w:rPr>
          <w:i/>
          <w:color w:val="666666"/>
          <w:sz w:val="18"/>
        </w:rPr>
        <w:t>Orduhan C et al.  ·  Clin Public Health Guidel  ·  10.08.2026  ·  PMID 42808020</w:t>
      </w:r>
    </w:p>
    <w:p>
      <w:r>
        <w:t>Qualitative Interviewstudie mit 23 Patientenvertretern, die an deutscher Leitlinienentwicklung partizipierten, zu Erfahrungen und Herausforderungen.</w:t>
      </w:r>
    </w:p>
    <w:p>
      <w:r>
        <w:rPr>
          <w:b/>
        </w:rPr>
        <w:t xml:space="preserve">Ergebnis: </w:t>
      </w:r>
      <w:r>
        <w:t>Aktive Mitgliedschaft in Leitliniengruppen war dominante Beteiligungsstrategie; positive Einflussfaktoren: Vorbereitungstraining, andere Patientenvertreter, Wertschätzung (häufig benannt); Herausforderungen: Rekrutierung, Mangel an Inklusion und Diversität; Mehrheit war mit Beteiligungsform zufrieden, identifizierte aber ungedeckte Bedarfe; Vorbereitungsaktivitäten als essentiell für effektive Partizipation.</w:t>
      </w:r>
    </w:p>
    <w:p>
      <w:r>
        <w:rPr>
          <w:b/>
          <w:sz w:val="19"/>
        </w:rPr>
        <w:t xml:space="preserve">Übertragbarkeit: </w:t>
      </w:r>
      <w:r>
        <w:rPr>
          <w:sz w:val="19"/>
        </w:rPr>
        <w:t>Deutsche Kontextdaten zur Leitlinienmitgestaltung</w:t>
      </w:r>
    </w:p>
    <w:p>
      <w:r>
        <w:rPr>
          <w:color w:val="5A7D3A"/>
          <w:sz w:val="18"/>
        </w:rPr>
        <w:t>https://pubmed.ncbi.nlm.nih.gov/42808020/</w:t>
      </w:r>
    </w:p>
    <w:p>
      <w:pPr>
        <w:pStyle w:val="Heading2"/>
      </w:pPr>
      <w:r>
        <w:t>Geschlechtsspezifische Unterschiede in Selbsteinschätzung dermatologischer Kompetenzen</w:t>
      </w:r>
    </w:p>
    <w:p>
      <w:r>
        <w:rPr>
          <w:i/>
          <w:color w:val="666666"/>
          <w:sz w:val="18"/>
        </w:rPr>
        <w:t>Heinen I et al.  ·  GMS J Med Educ  ·  15.09.2026  ·  PMID 42807627</w:t>
      </w:r>
    </w:p>
    <w:p>
      <w:r>
        <w:t>Quasi-experimentelle Prä-Post-Befragung von 142 Medizinstudierenden zur Selbsteinschätzung dermatologischer Kenntnisse vor und nach Seminar zu Hauterkrankungen bei Skin of Color.</w:t>
      </w:r>
    </w:p>
    <w:p>
      <w:r>
        <w:rPr>
          <w:b/>
        </w:rPr>
        <w:t xml:space="preserve">Ergebnis: </w:t>
      </w:r>
      <w:r>
        <w:t>Studentinnen schätzten anfangs Kenntnisse zu anatomischen/physiologischen Unterschieden (p&lt;0,001, η²=0,078) und Hauttyp-Skalen (p&lt;0,001, η²=0,085) sowie diagnostische Fähigkeiten signifikant schlechter ein als Studenten (p&lt;0,001, η²=0,075), obwohl objektive MC-Testergebnisse nicht differierten (p=0,905); nach Seminar keine geschlechtsspezifischen Unterschiede mehr vorhanden.</w:t>
      </w:r>
    </w:p>
    <w:p>
      <w:r>
        <w:rPr>
          <w:b/>
          <w:sz w:val="19"/>
        </w:rPr>
        <w:t xml:space="preserve">Übertragbarkeit: </w:t>
      </w:r>
      <w:r>
        <w:rPr>
          <w:sz w:val="19"/>
        </w:rPr>
        <w:t>Deutschland, medizinische Hochschulausbildung vergleichbar</w:t>
      </w:r>
    </w:p>
    <w:p>
      <w:r>
        <w:rPr>
          <w:color w:val="5A7D3A"/>
          <w:sz w:val="18"/>
        </w:rPr>
        <w:t>https://pubmed.ncbi.nlm.nih.gov/42807627/</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