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23.09.2026  |  7 Studien  |  wissen.m-vf.de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Einkommensvolatilität und Mortalität bei Depression</w:t>
      </w:r>
    </w:p>
    <w:p>
      <w:r>
        <w:rPr>
          <w:i/>
          <w:color w:val="666666"/>
          <w:sz w:val="18"/>
        </w:rPr>
        <w:t>Cho H et al.  ·  J Korean Med Sci  ·  21.09.2026  ·  PMID 42773077</w:t>
      </w:r>
    </w:p>
    <w:p>
      <w:r>
        <w:t>Koreanische Kohortenstudie an 735.922 Personen mit Depression, die Zusammenhang zwischen Einkommensvolatilität und all-cause-Mortalität sowie Hospitalisierungen untersuchte.</w:t>
      </w:r>
    </w:p>
    <w:p>
      <w:r>
        <w:rPr>
          <w:b/>
        </w:rPr>
        <w:t xml:space="preserve">Ergebnis: </w:t>
      </w:r>
      <w:r>
        <w:t>Höhere Einkommensvolatilität assoziiert mit erhöhtem Mortalitätsrisiko (HR 1,18; 95%-KI 1,16–1,19) und Hospitalisierungen (IRR 1,07; 1,06–1,08). Bei Männern stärker ausgeprägt (HR 1,26 vs. 1,12 bei Frauen). Besonders hohe Risiken für Bluterkrankungen (IRR 1,47), endokrine Erkrankungen (1,40) und psychische Störungen (1,26).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– begrenzte Übertragbarkeit auf deutsches System mit anderer Sozialstruktur</w:t>
      </w:r>
    </w:p>
    <w:p>
      <w:r>
        <w:rPr>
          <w:color w:val="5A7D3A"/>
          <w:sz w:val="18"/>
        </w:rPr>
        <w:t>https://pubmed.ncbi.nlm.nih.gov/42773077/</w:t>
      </w:r>
    </w:p>
    <w:p>
      <w:pPr>
        <w:pStyle w:val="Heading2"/>
      </w:pPr>
      <w:r>
        <w:t>Ultra-verarbeitete Lebensmittel und chronische Erkrankungen</w:t>
      </w:r>
    </w:p>
    <w:p>
      <w:r>
        <w:rPr>
          <w:i/>
          <w:color w:val="666666"/>
          <w:sz w:val="18"/>
        </w:rPr>
        <w:t>Liu X et al.  ·  Fam Med Community Health  ·  22.09.2026  ·  PMID 42773062</w:t>
      </w:r>
    </w:p>
    <w:p>
      <w:r>
        <w:t>Metaanalyse von 51 prospektiven Kohortenstudien mit 8,8 Mio. Teilnehmern zu Risiken ultra-verarbeiteter Lebensmittel.</w:t>
      </w:r>
    </w:p>
    <w:p>
      <w:r>
        <w:rPr>
          <w:b/>
        </w:rPr>
        <w:t xml:space="preserve">Ergebnis: </w:t>
      </w:r>
      <w:r>
        <w:t>Ultra-verarbeitete Lebensmittel assoziiert mit kardiovaskulären Ereignissen (HR 1,24), Krebs (HR 1,12), Adipositas (HR 1,23), Diabetes (HR 1,24), Depression/Angststörung (HR 1,27), Verdauungserkrankungen (HR 1,31) und all-cause-Mortalität (HR 1,18). Pro 100 g/Tag zusätzlich: kardiovaskuläre Ereignisse HR 1,14.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 – Fragestellung systemunabhängig, für Public-Health-Empfehlungen universell übertragbar</w:t>
      </w:r>
    </w:p>
    <w:p>
      <w:r>
        <w:rPr>
          <w:color w:val="5A7D3A"/>
          <w:sz w:val="18"/>
        </w:rPr>
        <w:t>https://pubmed.ncbi.nlm.nih.gov/42773062/</w:t>
      </w:r>
    </w:p>
    <w:p>
      <w:pPr>
        <w:pStyle w:val="Heading2"/>
      </w:pPr>
      <w:r>
        <w:t>Kardiovaskuläre Autonome Neuropathie und Diabeteskomplikationen</w:t>
      </w:r>
    </w:p>
    <w:p>
      <w:r>
        <w:rPr>
          <w:i/>
          <w:color w:val="666666"/>
          <w:sz w:val="18"/>
        </w:rPr>
        <w:t>Ignacy P et al.  ·  Clin Ther  ·  22.09.2026  ·  PMID 42773037</w:t>
      </w:r>
    </w:p>
    <w:p>
      <w:r>
        <w:t>Polnische Querschnittsstudie mit 728 Diabetespatienten zur Assoziation zwischen mikrovaskulären/makrovaskulären Komplikationen und kardiovaskulärer autonomer Neuropathie.</w:t>
      </w:r>
    </w:p>
    <w:p>
      <w:r>
        <w:rPr>
          <w:b/>
        </w:rPr>
        <w:t xml:space="preserve">Ergebnis: </w:t>
      </w:r>
      <w:r>
        <w:t>Kardiovaskuläre autonome Neuropathie bei 48,2% (davon definit 15,8%). Unabhängig assoziiert mit diabetischer Retinopathie (OR 2,26; 95%-KI 1,25–4,19; p=0,008); borderline mit CKD (OR 1,57; p=0,049). Keine signifikante Assoziation mit ASCVD.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– ähnliches Sozialversicherungssystem, gute Übertragbarkeit auf Deutschland</w:t>
      </w:r>
    </w:p>
    <w:p>
      <w:r>
        <w:rPr>
          <w:color w:val="5A7D3A"/>
          <w:sz w:val="18"/>
        </w:rPr>
        <w:t>https://pubmed.ncbi.nlm.nih.gov/42773037/</w:t>
      </w:r>
    </w:p>
    <w:p>
      <w:pPr>
        <w:pStyle w:val="Heading2"/>
      </w:pPr>
      <w:r>
        <w:t>Persona-Methode in partizipativer Versorgungsforschung</w:t>
      </w:r>
    </w:p>
    <w:p>
      <w:r>
        <w:rPr>
          <w:i/>
          <w:color w:val="666666"/>
          <w:sz w:val="18"/>
        </w:rPr>
        <w:t>Dittmer K et al.  ·  Z Evid Fortbild Qual Gesundhwes  ·  22.09.2026  ·  PMID 42773021</w:t>
      </w:r>
    </w:p>
    <w:p>
      <w:r>
        <w:t>Deutschsprachiger Methodenbericht zur Anwendung der Persona-Methode bei partizipativer Versorgungsforschung mit Fokusgruppen und Expert*innen.</w:t>
      </w:r>
    </w:p>
    <w:p>
      <w:r>
        <w:rPr>
          <w:b/>
        </w:rPr>
        <w:t xml:space="preserve">Ergebnis: </w:t>
      </w:r>
      <w:r>
        <w:t>Personas integrieren Erfahrungswissen mehrerer Experten anonym, ohne persönliche Daten preiszugeben; ideal für vulnerable Gruppen. Risiken: Stereotypisierung; Mitigation durch reflektive Entwicklungsprozesse. Reflexionsfragen zur Bias-Reduktion werden 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Projekt – direkt übertragbar auf deutsche Versorgungsforschung</w:t>
      </w:r>
    </w:p>
    <w:p>
      <w:r>
        <w:rPr>
          <w:color w:val="5A7D3A"/>
          <w:sz w:val="18"/>
        </w:rPr>
        <w:t>https://pubmed.ncbi.nlm.nih.gov/42773021/</w:t>
      </w:r>
    </w:p>
    <w:p>
      <w:pPr>
        <w:pStyle w:val="Heading2"/>
      </w:pPr>
      <w:r>
        <w:t>Mobile Screening-Einheit für Barretts Ösophagus in England</w:t>
      </w:r>
    </w:p>
    <w:p>
      <w:r>
        <w:rPr>
          <w:i/>
          <w:color w:val="666666"/>
          <w:sz w:val="18"/>
        </w:rPr>
        <w:t>Landy R et al.  ·  BMJ Open Gastroenterol  ·  22.09.2026  ·  PMID 42772946</w:t>
      </w:r>
    </w:p>
    <w:p>
      <w:r>
        <w:t>Implementierungsstudie in England mit mobiler Einheit zur Kapselschwamm-Testung bei Refluxpatienten; Vergleich Hausarzt-Rekrutierung vs. Selbstmeldung.</w:t>
      </w:r>
    </w:p>
    <w:p>
      <w:r>
        <w:rPr>
          <w:b/>
        </w:rPr>
        <w:t xml:space="preserve">Ergebnis: </w:t>
      </w:r>
      <w:r>
        <w:t>Bei GP-Einladung: 50% Antwortquote, 59,6% interessiert, 66,3% elegibel, 532 teilgenommen; 15% aller Eingeladenen erfolgreich getestet. Bei Selbstmeldung: 39,6% erfolgreich getestet. Barretts-Prävalenz 4,2% (GP-invitiert) vs. 3,4% (Selbstmeldung). Akzeptanz &gt;99%.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– ähnliche Primärversorgungsstruktur, begrenzte Übertragbarkeit (steuerfinanziert)</w:t>
      </w:r>
    </w:p>
    <w:p>
      <w:r>
        <w:rPr>
          <w:color w:val="5A7D3A"/>
          <w:sz w:val="18"/>
        </w:rPr>
        <w:t>https://pubmed.ncbi.nlm.nih.gov/42772946/</w:t>
      </w:r>
    </w:p>
    <w:p>
      <w:pPr>
        <w:pStyle w:val="Heading2"/>
      </w:pPr>
      <w:r>
        <w:t>Forschungsprioritäten in Hebammentätigkeit und Geburtshilfe</w:t>
      </w:r>
    </w:p>
    <w:p>
      <w:r>
        <w:rPr>
          <w:i/>
          <w:color w:val="666666"/>
          <w:sz w:val="18"/>
        </w:rPr>
        <w:t>Field J et al.  ·  BMJ Open  ·  21.09.2026  ·  PMID 42767736</w:t>
      </w:r>
    </w:p>
    <w:p>
      <w:r>
        <w:t>UK James-Lind-Alliance Priority-Setting Partnership mit 977 Befragten (Hebammen, Eltern, schwangere Personen) zur Identifikation von Forschungslücken in Geburtshilfe.</w:t>
      </w:r>
    </w:p>
    <w:p>
      <w:r>
        <w:rPr>
          <w:b/>
        </w:rPr>
        <w:t xml:space="preserve">Ergebnis: </w:t>
      </w:r>
      <w:r>
        <w:t>68 Priority-Topics identifiziert, nach evidenzbasierter Prüfung auf 67 reduziert, dann von 548 Befragten gereiht. 10 Top-Prioritäten durch Konsens vereinbart; umfassen klinische Versorgung, Personalwohlbefinden und Ausbildung.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– methodisch stark, bedingt übertragbar auf deutsches Hebammensystem</w:t>
      </w:r>
    </w:p>
    <w:p>
      <w:r>
        <w:rPr>
          <w:color w:val="5A7D3A"/>
          <w:sz w:val="18"/>
        </w:rPr>
        <w:t>https://pubmed.ncbi.nlm.nih.gov/42767736/</w:t>
      </w:r>
    </w:p>
    <w:p>
      <w:pPr>
        <w:pStyle w:val="Heading2"/>
      </w:pPr>
      <w:r>
        <w:t>FeNO und Blut-Eosinophile zur Asthmadiagnose bei Kindern und Erwachsenen</w:t>
      </w:r>
    </w:p>
    <w:p>
      <w:r>
        <w:rPr>
          <w:i/>
          <w:color w:val="666666"/>
          <w:sz w:val="18"/>
        </w:rPr>
        <w:t>Roy MA et al.  ·  Lancet Respir Med  ·  15.09.2026  ·  PMID 42743935</w:t>
      </w:r>
    </w:p>
    <w:p>
      <w:r>
        <w:t>Metaanalyse von 30 diagnostischen Studien (22 bei Erwachsenen, 9 bei Kindern) zur Genauigkeit von FeNO und Blut-Eosinophilen gegenüber Bronchialprovokationstests.</w:t>
      </w:r>
    </w:p>
    <w:p>
      <w:r>
        <w:rPr>
          <w:b/>
        </w:rPr>
        <w:t xml:space="preserve">Ergebnis: </w:t>
      </w:r>
      <w:r>
        <w:t>FeNO diagnostische Genauigkeit: Erwachsene AUC 0,80, Kinder AUC 0,75. Bei Erwachsenen FeNO≥65 ppb: positive Vorhersagekraft 80%, &lt;20 ppb: negative VK 93%. Blut-Eosinophile schwache Leistung (AUC 0,65). Prospektive Validierung in DIVE-Kohorte (n=123) bestätigte Ergebnisse (FeNO AUC 0,77).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 mit prospektiver Primärversorgungsvalidierung – Diagnostik systemunabhängig</w:t>
      </w:r>
    </w:p>
    <w:p>
      <w:r>
        <w:rPr>
          <w:color w:val="5A7D3A"/>
          <w:sz w:val="18"/>
        </w:rPr>
        <w:t>https://pubmed.ncbi.nlm.nih.gov/42743935/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