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22.09.2026  |  6 Studien  |  wissen.m-vf.de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Teletherapy-Einsatz in der Physiotherapie: deutsche Versorgungsforschung zu Barrieren und Förderfaktoren</w:t>
      </w:r>
    </w:p>
    <w:p>
      <w:r>
        <w:rPr>
          <w:i/>
          <w:color w:val="666666"/>
          <w:sz w:val="18"/>
        </w:rPr>
        <w:t>Michels T et al.  ·  JMIR Form Res  ·  21.09.2026  ·  PMID 42766842</w:t>
      </w:r>
    </w:p>
    <w:p>
      <w:r>
        <w:t>Querschnittsstudie von 458 Physiotherapeuten in Deutschland, die Barrieren und Förderfaktoren für die Implementierung von Teletherapie in der Praxis erfasste.</w:t>
      </w:r>
    </w:p>
    <w:p>
      <w:r>
        <w:rPr>
          <w:b/>
        </w:rPr>
        <w:t xml:space="preserve">Ergebnis: </w:t>
      </w:r>
      <w:r>
        <w:t>Nur 6,6 % der Teilnehmer hatten Teletherapie-Erfahrung; 87,3 % hielten Teletherapie für sinnvoll, aber nur 15,5 % fühlten sich ausreichend informiert. Häufigste Barrieren: Integration in Praxisroutinen, unzureichende Informationen zu rechtlichen Rahmenbedingungen und digitale Infrastruktur (Nennungen nicht weiter spezifiziert). Die Ergebnisse zeigen hohe Akzeptanz bei niedriger Nutzung und Informationsdefiziten.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aus der Physiotherapie; direkt auf das System übertragbar.</w:t>
      </w:r>
    </w:p>
    <w:p>
      <w:r>
        <w:rPr>
          <w:color w:val="5A7D3A"/>
          <w:sz w:val="18"/>
        </w:rPr>
        <w:t>https://pubmed.ncbi.nlm.nih.gov/42766842/</w:t>
      </w:r>
    </w:p>
    <w:p>
      <w:pPr>
        <w:pStyle w:val="Heading2"/>
      </w:pPr>
      <w:r>
        <w:t>Implementierung der elektronischen Patientenakte (ePA) in deutschen Arztpraxen: qualitative Frühevaluierung</w:t>
      </w:r>
    </w:p>
    <w:p>
      <w:r>
        <w:rPr>
          <w:i/>
          <w:color w:val="666666"/>
          <w:sz w:val="18"/>
        </w:rPr>
        <w:t>May S et al.  ·  J Med Internet Res  ·  21.09.2026  ·  PMID 42766713</w:t>
      </w:r>
    </w:p>
    <w:p>
      <w:r>
        <w:t>Qualitative Studie mit 49 semistrukturierten Interviews zu Implementierungsbarrieren und -förderfaktoren der ePA in ambulanten Praxen nach dem Rollout im Januar 2025.</w:t>
      </w:r>
    </w:p>
    <w:p>
      <w:r>
        <w:rPr>
          <w:b/>
        </w:rPr>
        <w:t xml:space="preserve">Ergebnis: </w:t>
      </w:r>
      <w:r>
        <w:t>Erleichterer: Führungsengagement, interne Kommunikation und Lernklima. Barrieren: technische Instabilität, heterogene Funktionalität von Praxismanagementsystemen, begrenzte Sektorübergreifung, unzureichendes Patientenbewusstsein. Implementierung stark abhängig von Organisationskapazität und Infrastrukturstabilität, nicht von professionellem Widerstand.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zur ePA-Implementierung; hochgradig systemrelevant für deutsches Versorgungssystem.</w:t>
      </w:r>
    </w:p>
    <w:p>
      <w:r>
        <w:rPr>
          <w:color w:val="5A7D3A"/>
          <w:sz w:val="18"/>
        </w:rPr>
        <w:t>https://pubmed.ncbi.nlm.nih.gov/42766713/</w:t>
      </w:r>
    </w:p>
    <w:p>
      <w:pPr>
        <w:pStyle w:val="Heading2"/>
      </w:pPr>
      <w:r>
        <w:t>Framework für klinische Bewertung von Large Language Models in der Patientenedukation</w:t>
      </w:r>
    </w:p>
    <w:p>
      <w:r>
        <w:rPr>
          <w:i/>
          <w:color w:val="666666"/>
          <w:sz w:val="18"/>
        </w:rPr>
        <w:t>Austria D et al.  ·  JMIR Form Res  ·  21.09.2026  ·  PMID 42766478</w:t>
      </w:r>
    </w:p>
    <w:p>
      <w:r>
        <w:t>Positions- und konzeptionelle Arbeit, die ein kliniker-zentriertes Evaluierungsframework (TAM-MCRS) für LLM-generierte Patientenedukation integriert Technology Acceptance Model und Medical Condition Regard Scale.</w:t>
      </w:r>
    </w:p>
    <w:p>
      <w:r>
        <w:rPr>
          <w:b/>
        </w:rPr>
        <w:t xml:space="preserve">Ergebnis: </w:t>
      </w:r>
      <w:r>
        <w:t>Das Framework kombiniert Usefulness/Completeness mit Ease of Use/Appropriateness und erfasst dabei Evaluator-Attitudinalvarianz durch MCRS als Kovariate. Ziel ist objektive, klinisch realistische und disparity-responsive Evidenz zur Qualität von LLM-generierten Unterlagen für Patientenbildung.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Theoretischer Ansatz systemunabhängig, aber Methodenentwicklung US-fokussiert; nur bedingt übertragbar.</w:t>
      </w:r>
    </w:p>
    <w:p>
      <w:r>
        <w:rPr>
          <w:color w:val="5A7D3A"/>
          <w:sz w:val="18"/>
        </w:rPr>
        <w:t>https://pubmed.ncbi.nlm.nih.gov/42766478/</w:t>
      </w:r>
    </w:p>
    <w:p>
      <w:pPr>
        <w:pStyle w:val="Heading2"/>
      </w:pPr>
      <w:r>
        <w:t>Kontextfaktoren und Lernbedarfe bei Leitlinienentwicklung: qualitative Multiplenfall-Studie</w:t>
      </w:r>
    </w:p>
    <w:p>
      <w:r>
        <w:rPr>
          <w:i/>
          <w:color w:val="666666"/>
          <w:sz w:val="18"/>
        </w:rPr>
        <w:t>de Mortier CA et al.  ·  Med Teach  ·  21.09.2026  ·  PMID 42766408</w:t>
      </w:r>
    </w:p>
    <w:p>
      <w:r>
        <w:t>Qualitative Längsschnittstudie mit 18 Panelmitgliedern und 10 Projektleitern in 5 niederländischen Leitlinienprojekten; Analyse, welche kontextuellen Faktoren die Lernbedarfe in der Guideline-Entwicklung prägen.</w:t>
      </w:r>
    </w:p>
    <w:p>
      <w:r>
        <w:rPr>
          <w:b/>
        </w:rPr>
        <w:t xml:space="preserve">Ergebnis: </w:t>
      </w:r>
      <w:r>
        <w:t>Drei interaktive Themen beeinflussen Lernbedarfe: Leitlinienthema (Zusammensetzung, Methodik, Evidenzunsicherheit), Partizipationsdynamiken (Hierarchie, Sicherheit), Aufgabenverteilung. Methodische Kompetenz allein genügt nicht; Lernbedarfe entstehen aus Kombination aller drei Faktoren. Empfehlung: flexible, kontextsensitive und rollenpezifische Bildungsinitiativen.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Versorgungsforschungs-Setting; gut übertragbar auf deutsches System zur Leitlinienentwicklung.</w:t>
      </w:r>
    </w:p>
    <w:p>
      <w:r>
        <w:rPr>
          <w:color w:val="5A7D3A"/>
          <w:sz w:val="18"/>
        </w:rPr>
        <w:t>https://pubmed.ncbi.nlm.nih.gov/42766408/</w:t>
      </w:r>
    </w:p>
    <w:p>
      <w:pPr>
        <w:pStyle w:val="Heading2"/>
      </w:pPr>
      <w:r>
        <w:t>Länderverglichende Forschungsinfrastruktur für Diabetes-Versorgung im ländlichen Raum</w:t>
      </w:r>
    </w:p>
    <w:p>
      <w:r>
        <w:rPr>
          <w:i/>
          <w:color w:val="666666"/>
          <w:sz w:val="18"/>
        </w:rPr>
        <w:t>Murfet G et al.  ·  Glob Health Action  ·  21.09.2026  ·  PMID 42765135</w:t>
      </w:r>
    </w:p>
    <w:p>
      <w:r>
        <w:t>Konzeptuelle Positionspapier, das ein neues International Consortium for Rural Diabetes Research (ICRDR) vorstellt, um fragmentierte Diabetes-Forschung in ländlichen Regionen zu koordinieren.</w:t>
      </w:r>
    </w:p>
    <w:p>
      <w:r>
        <w:rPr>
          <w:b/>
        </w:rPr>
        <w:t xml:space="preserve">Ergebnis: </w:t>
      </w:r>
      <w:r>
        <w:t>Kernaussage: Ländliche Diabetes-Versorgungsforschung bleibt isoliert und stützt sich auf urbane Evidenz; koordinierte internationale Infrastruktur mit gemeinsamen Prioritäten, Methoden und Outcome-Maßstäben ist erforderlich. Das ICRDR adressiert Zugangsbarrien (Fachkräftemangel, Isolation, fragmentierte Services) durch Multicentre-Studien und Kapazitätsaufbau.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Konzeptionell und methodisch international orientiert; hilft deutschem System, Evidenzlücken in ländlichen Regionen zu schließen.</w:t>
      </w:r>
    </w:p>
    <w:p>
      <w:r>
        <w:rPr>
          <w:color w:val="5A7D3A"/>
          <w:sz w:val="18"/>
        </w:rPr>
        <w:t>https://pubmed.ncbi.nlm.nih.gov/42765135/</w:t>
      </w:r>
    </w:p>
    <w:p>
      <w:pPr>
        <w:pStyle w:val="Heading2"/>
      </w:pPr>
      <w:r>
        <w:t>Kernoutcome-Set für Shared-Decision-Making-Interventionen: Entwicklungsprotokoll</w:t>
      </w:r>
    </w:p>
    <w:p>
      <w:r>
        <w:rPr>
          <w:i/>
          <w:color w:val="666666"/>
          <w:sz w:val="18"/>
        </w:rPr>
        <w:t>Hoffmann C et al.  ·  BMJ Open  ·  15.09.2026  ·  PMID 42744360</w:t>
      </w:r>
    </w:p>
    <w:p>
      <w:r>
        <w:t>Studienprotokoll zur Entwicklung eines Core Outcome Set (COS) für die Evaluation von Shared-Decision-Making-Interventionen mittels Delphi-Survey und Konsensuskonferenz.</w:t>
      </w:r>
    </w:p>
    <w:p>
      <w:r>
        <w:rPr>
          <w:b/>
        </w:rPr>
        <w:t xml:space="preserve">Ergebnis: </w:t>
      </w:r>
      <w:r>
        <w:t>Geplante Struktur: Schritt 1: Erstellung einer langen Kandidaten-Outcome-Liste durch Literaturanalyse und qualitative Interviews (mind. 20 Stakeholder). Schritt 2: Delphi-Survey mit mind. 150 internationalen Teilnehmern (Profis, Patienten) in zwei Runden zur Priorisierung. Schritt 3: Konsensus per modified nominal group technique. Laufzeit Juni 2025 bis September 2026; Ergebnisse erwartungsgemäß für standardisierte Evaluationspraxis verfügbar.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Studienkoordination; Shared Decision Making ist international etabliertes Konzept; methodisch auf deutsche SDM-Forschung anwendbar.</w:t>
      </w:r>
    </w:p>
    <w:p>
      <w:r>
        <w:rPr>
          <w:color w:val="5A7D3A"/>
          <w:sz w:val="18"/>
        </w:rPr>
        <w:t>https://pubmed.ncbi.nlm.nih.gov/42744360/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2026-09-22T06:00:00Z</dcterms:created>
  <dcterms:modified xsi:type="dcterms:W3CDTF">2026-09-22T06:00:00Z</dcterms:modified>
  <cp:category/>
</cp:coreProperties>
</file>