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03.09.2026  |  7 Studien  |  wissen.m-vf.de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Auswirkungen außervertraglicher Notfallkliniken auf folgende Spezialistennutzung</w:t>
      </w:r>
    </w:p>
    <w:p>
      <w:r>
        <w:rPr>
          <w:i/>
          <w:color w:val="666666"/>
          <w:sz w:val="18"/>
        </w:rPr>
        <w:t>Kuwonza FM et al.  ·  Health Serv Res  ·  Okt. 2026  ·  PMID 42683654</w:t>
      </w:r>
    </w:p>
    <w:p>
      <w:r>
        <w:t>Retrospektive Kohortenstudie zur Auswirkung von außervertraglichen Notfallkliniken auf nachfolgende Spezialistenversorgung bei US-Veteranen unter Verwendung von Instrumentalvariablen-Methoden.</w:t>
      </w:r>
    </w:p>
    <w:p>
      <w:r>
        <w:rPr>
          <w:b/>
        </w:rPr>
        <w:t xml:space="preserve">Ergebnis: </w:t>
      </w:r>
      <w:r>
        <w:t>Von 111.898 Veteranen hatten 90.651 (81%) Notfallversorgung in der Veterans Health Administration, 21.247 (19%) in nicht-VA-Kliniken. Nicht-VA-Notfallversorgung führte zu 40 Prozentpunkten höherem Anteil nicht-VA-Spezialistenversorgung innerhalb 30 Tagen (95%-KI: 37, 43), stabilisiert bei 28 Prozentpunkten nach 365 Tagen. Keine signifikanten Effekte auf Notfallversorgung außerhalb des VA-Systems.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- aber Fragestellung zur Care Coordination bei ausgelagerter Akutversorgung systemunabhängig relevant</w:t>
      </w:r>
    </w:p>
    <w:p>
      <w:r>
        <w:rPr>
          <w:color w:val="5A7D3A"/>
          <w:sz w:val="18"/>
        </w:rPr>
        <w:t>https://pubmed.ncbi.nlm.nih.gov/42683654/</w:t>
      </w:r>
    </w:p>
    <w:p>
      <w:pPr>
        <w:pStyle w:val="Heading2"/>
      </w:pPr>
      <w:r>
        <w:t>Patientenberichte zur Kontinuität von GLP-1-Rezeptoragonisten-Therapie</w:t>
      </w:r>
    </w:p>
    <w:p>
      <w:r>
        <w:rPr>
          <w:i/>
          <w:color w:val="666666"/>
          <w:sz w:val="18"/>
        </w:rPr>
        <w:t>Chen Y et al.  ·  Obes Sci Pract  ·  01.09.2026  ·  PMID 42683049</w:t>
      </w:r>
    </w:p>
    <w:p>
      <w:r>
        <w:t>Querschnittsstudie zu Patientenerfahrungen bei der GLP-1-Therapie mit Fokus auf Versorgungskontinuität und Barrieren im Behandlungsverlauf.</w:t>
      </w:r>
    </w:p>
    <w:p>
      <w:r>
        <w:rPr>
          <w:b/>
        </w:rPr>
        <w:t xml:space="preserve">Ergebnis: </w:t>
      </w:r>
      <w:r>
        <w:t>261 von 4.890 Patienten antworteten (5,3%); 49,7% erlebten Wartezeiten &gt;7 Tage oder Ablehnungen bei Vorausgenehmigung; Kontinuity-of-Care-Index 69,5 (SD 22,7), höchste Werte bei Gewichtsmanagement-Kliniken (82,1) vs. Hausarzt (60,7); 89,5% der Patienten wünschten sich integriertes Tracking.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US-Daten, aber Versorgungsfragmentierung und Patientenperspektive systemunabhängig bedeutsam</w:t>
      </w:r>
    </w:p>
    <w:p>
      <w:r>
        <w:rPr>
          <w:color w:val="5A7D3A"/>
          <w:sz w:val="18"/>
        </w:rPr>
        <w:t>https://pubmed.ncbi.nlm.nih.gov/42683049/</w:t>
      </w:r>
    </w:p>
    <w:p>
      <w:pPr>
        <w:pStyle w:val="Heading2"/>
      </w:pPr>
      <w:r>
        <w:t>Schwangerschaftsausgaben und Nutzung postpartaler Versorgung bei kommerziell Versicherten</w:t>
      </w:r>
    </w:p>
    <w:p>
      <w:r>
        <w:rPr>
          <w:i/>
          <w:color w:val="666666"/>
          <w:sz w:val="18"/>
        </w:rPr>
        <w:t>Gourevitch RA et al.  ·  Health Serv Res  ·  Okt. 2026  ·  PMID 42682189</w:t>
      </w:r>
    </w:p>
    <w:p>
      <w:r>
        <w:t>Instrumentalvariablen-Analyse der Auswirkung von Zuzahlungen während Schwangerschaft und Geburt auf nachfolgende postpartale Versorgungsnutzung.</w:t>
      </w:r>
    </w:p>
    <w:p>
      <w:r>
        <w:rPr>
          <w:b/>
        </w:rPr>
        <w:t xml:space="preserve">Ergebnis: </w:t>
      </w:r>
      <w:r>
        <w:t>Frauen mit Geburt zu Jahresanfang vs. Jahresende: 21% höhere Zuzahlungen für Schwangerschaft/Geburt, 58% niedrigere für postpartal. 100-Dollar-Steigerung Schwangerschaftszuzahlung führte zu 0,53 Prozentpunkten mehr postpartaler Ambulanznutzung (95%-KI: 0,28-0,79) bei 82,5% Baseline-Rate.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Zuzahlungseffekt auf Inanspruchnahme systemunabhängig; Interpretation für deutsches System begrenzt</w:t>
      </w:r>
    </w:p>
    <w:p>
      <w:r>
        <w:rPr>
          <w:color w:val="5A7D3A"/>
          <w:sz w:val="18"/>
        </w:rPr>
        <w:t>https://pubmed.ncbi.nlm.nih.gov/42682189/</w:t>
      </w:r>
    </w:p>
    <w:p>
      <w:pPr>
        <w:pStyle w:val="Heading2"/>
      </w:pPr>
      <w:r>
        <w:t>Retention und Abgang von Heilpraktikern der Chinesischen Medizin in Australien</w:t>
      </w:r>
    </w:p>
    <w:p>
      <w:r>
        <w:rPr>
          <w:i/>
          <w:color w:val="666666"/>
          <w:sz w:val="18"/>
        </w:rPr>
        <w:t>Lathlean T et al.  ·  BMC Health Serv Res  ·  27.08.2026  ·  PMID 42681634</w:t>
      </w:r>
    </w:p>
    <w:p>
      <w:r>
        <w:t>Umfrage und registrierungsbasierte Analyse von Retentions- und Abgangsmustern bei Praktikern der Chinesischen Medizin in Australien 2014-2024.</w:t>
      </w:r>
    </w:p>
    <w:p>
      <w:r>
        <w:rPr>
          <w:b/>
        </w:rPr>
        <w:t xml:space="preserve">Ergebnis: </w:t>
      </w:r>
      <w:r>
        <w:t>79,4% der 1.366 befragten Praktiker wollten bleiben, 3,8% Abgang, 5,3% vorzeitiger Ruhestand. Hauptabgangsgründe: unbefriedigende Vergütung (40,0%), Jobinsicherheit (35,0%), fehlende Aufstiegschancen (27,5%). Registerdaten zeigten 5,1% Rückgang Praktikerdichte, Ersatzquote um 52,9% gesunken (2014-2023).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- Workforce-Retention generisch übertragbar, aber Spezifika australischer Regulierung begrenzen direkte Anwendbarkeit</w:t>
      </w:r>
    </w:p>
    <w:p>
      <w:r>
        <w:rPr>
          <w:color w:val="5A7D3A"/>
          <w:sz w:val="18"/>
        </w:rPr>
        <w:t>https://pubmed.ncbi.nlm.nih.gov/42681634/</w:t>
      </w:r>
    </w:p>
    <w:p>
      <w:pPr>
        <w:pStyle w:val="Heading2"/>
      </w:pPr>
      <w:r>
        <w:t>Patientenpräferenzen bei postoperativen Übungen nach Hüft- und Kniegelenksersatz</w:t>
      </w:r>
    </w:p>
    <w:p>
      <w:r>
        <w:rPr>
          <w:i/>
          <w:color w:val="666666"/>
          <w:sz w:val="18"/>
        </w:rPr>
        <w:t>Wang Y et al.  ·  BMC Health Serv Res  ·  25.07.2026  ·  PMID 42681632</w:t>
      </w:r>
    </w:p>
    <w:p>
      <w:r>
        <w:t>Discrete Choice Experiment mit 295 Patienten nach Hüft- oder Kniegelenksersatz zur Erfassung von Rehabilitationspräferenzen.</w:t>
      </w:r>
    </w:p>
    <w:p>
      <w:r>
        <w:rPr>
          <w:b/>
        </w:rPr>
        <w:t xml:space="preserve">Ergebnis: </w:t>
      </w:r>
      <w:r>
        <w:t>Schmerzintensität während Reha war wichtigster Einflussfaktor; Patienten bevorzugten milde/moderate Schmerzen (OR: 2,41 bzw. 3,84 vs. schwer). Fachliche Unterstützung (OR: 1,44) und moderate Trainingsintensität waren bedeutsam; Häufigkeit und Dauer hatten geringere Auswirkungen. Konsistente Muster über Geschlecht und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Erhebung patientenzentrierter Rehabilitationspräferenzen methodisch und inhaltlich übertragbar</w:t>
      </w:r>
    </w:p>
    <w:p>
      <w:r>
        <w:rPr>
          <w:color w:val="5A7D3A"/>
          <w:sz w:val="18"/>
        </w:rPr>
        <w:t>https://pubmed.ncbi.nlm.nih.gov/42681632/</w:t>
      </w:r>
    </w:p>
    <w:p>
      <w:pPr>
        <w:pStyle w:val="Heading2"/>
      </w:pPr>
      <w:r>
        <w:t>Nurse-led Intervention gegen sprachliche Migrationsbarrieren in der Krebsbetreuung</w:t>
      </w:r>
    </w:p>
    <w:p>
      <w:r>
        <w:rPr>
          <w:i/>
          <w:color w:val="666666"/>
          <w:sz w:val="18"/>
        </w:rPr>
        <w:t>Höckelmann C et al.  ·  BMJ Open  ·  01.09.2026  ·  PMID 42680490</w:t>
      </w:r>
    </w:p>
    <w:p>
      <w:r>
        <w:t>Protokoll für kontrollierte vorher-nachher Studie mit prozess- und ökonomischer Evaluation einer pflege-geführten Komplexintervention (Informationen, Telefoninterpreter, mehrsprachige Materialien) für Krebspatienten mit Migrationshintergrund.</w:t>
      </w:r>
    </w:p>
    <w:p>
      <w:r>
        <w:rPr>
          <w:b/>
        </w:rPr>
        <w:t xml:space="preserve">Ergebnis: </w:t>
      </w:r>
      <w:r>
        <w:t>Geplant: 126 Teilnehmer (84 Intervention, 42 Kontrolle). Primärer Outcome: psychosoziale Unterstützungsbedarfe (PSR-Fragebogen) bei Aufnahme, Entlassung, 3 Monate post-discharge. Sekundär: Wissensstand, Lebensqualität, Angst, Zufriedenheit. Powered: d=0,5, 80%, einseitig α=5%.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- Migrationshintergrund (30,4% Bevölkerung), onkologische Versorgung, Sprachbarrieren hochrelevant für deutsches System</w:t>
      </w:r>
    </w:p>
    <w:p>
      <w:r>
        <w:rPr>
          <w:color w:val="5A7D3A"/>
          <w:sz w:val="18"/>
        </w:rPr>
        <w:t>https://pubmed.ncbi.nlm.nih.gov/42680490/</w:t>
      </w:r>
    </w:p>
    <w:p>
      <w:pPr>
        <w:pStyle w:val="Heading2"/>
      </w:pPr>
      <w:r>
        <w:t>Drohnen im Gesundheitswesen sub-Sahara-Afrikas: Rapid Scoping Review</w:t>
      </w:r>
    </w:p>
    <w:p>
      <w:r>
        <w:rPr>
          <w:i/>
          <w:color w:val="666666"/>
          <w:sz w:val="18"/>
        </w:rPr>
        <w:t>Adjei-Banuah NY et al.  ·  Glob Health Action  ·  01.09.2026  ·  PMID 42676300</w:t>
      </w:r>
    </w:p>
    <w:p>
      <w:r>
        <w:t>Rapid Scoping Review zur aktuellen und potenziellen Nutzung von Drohnen für Gesundheitsversorgung in 12 sub-saharischen Ländern (Fokus Ghana).</w:t>
      </w:r>
    </w:p>
    <w:p>
      <w:r>
        <w:rPr>
          <w:b/>
        </w:rPr>
        <w:t xml:space="preserve">Ergebnis: </w:t>
      </w:r>
      <w:r>
        <w:t>29 Arbeiten eingeschlossen. Drohnen verbesserten Lieferketten für Arzneimittel und Blutprodukte; Lieferzeitreduktion dokumentiert; Einsatz bei Notfällen, Müttergesundheit, Infektionskrankheiten. Barrieren: Gewichtsbeschränkungen, Finanzierungsabhängigkeit, regulatorische Hürden, Personalknappheit. Skalierungspotenzial für Nicht-Infektionskrankheiten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Sub-Sahara-Afrika - Technologie-Transferpotenzial für deutsche Versorgung gering, aber Health Services Research-Erkenntnisse zu Logistik-Hürden relevant</w:t>
      </w:r>
    </w:p>
    <w:p>
      <w:r>
        <w:rPr>
          <w:color w:val="5A7D3A"/>
          <w:sz w:val="18"/>
        </w:rPr>
        <w:t>https://pubmed.ncbi.nlm.nih.gov/42676300/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