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14.09.2026  |  6 Studien  |  wissen.m-vf.de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Kliniker- und Informatiker-Perspektiven auf Harm-Risk-Vorhersage-Tools</w:t>
      </w:r>
    </w:p>
    <w:p>
      <w:r>
        <w:rPr>
          <w:i/>
          <w:color w:val="666666"/>
          <w:sz w:val="18"/>
        </w:rPr>
        <w:t>Lam JYJ et al.  ·  J Eval Clin Pract  ·  Sept. 2026  ·  PMID 42732558</w:t>
      </w:r>
    </w:p>
    <w:p>
      <w:r>
        <w:t>Qualitative Studie mit 22 Interviews (6 Ärzte, 11 Pharmazeuten, 5 Informatiker) zur Implementierung digitaler Risk-Prediction-Tools für Medikamentenschaden in australischen Krankenhäusern.</w:t>
      </w:r>
    </w:p>
    <w:p>
      <w:r>
        <w:rPr>
          <w:b/>
        </w:rPr>
        <w:t xml:space="preserve">Ergebnis: </w:t>
      </w:r>
      <w:r>
        <w:t>Fünf Themen mit Einfluss auf Adoption: Vertrauen der Kliniker, wahrgenommener Nutzen, organisatorische Bereitschaft, automatisierungsfähigkeit und Workflow-Kompatibilität. Barrieren: schlechte Systemintegration, Unsicherheit über Tool-Zuverlässigkeit; Enabler: umfassende Feedback-Mechanismen, Ressourcenplanung.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klinische Perspektiven auf digitale Sicherheitstools übertragbar</w:t>
      </w:r>
    </w:p>
    <w:p>
      <w:r>
        <w:rPr>
          <w:color w:val="5A7D3A"/>
          <w:sz w:val="18"/>
        </w:rPr>
        <w:t>https://pubmed.ncbi.nlm.nih.gov/42732558/</w:t>
      </w:r>
    </w:p>
    <w:p>
      <w:pPr>
        <w:pStyle w:val="Heading2"/>
      </w:pPr>
      <w:r>
        <w:t>ADHD-Medikation und Selbstverletzungsrisiko: multinational</w:t>
      </w:r>
    </w:p>
    <w:p>
      <w:r>
        <w:rPr>
          <w:i/>
          <w:color w:val="666666"/>
          <w:sz w:val="18"/>
        </w:rPr>
        <w:t>Chan AYL et al.  ·  BMJ Ment Health  ·  12.09.2026  ·  PMID 42731881</w:t>
      </w:r>
    </w:p>
    <w:p>
      <w:r>
        <w:t>Multinational selbstkontrollierte Fallserie zur Assoziation zwischen ADHD-Medikation und Selbstverletzungen anhand von fünf Ländern-Datenbanken.</w:t>
      </w:r>
    </w:p>
    <w:p>
      <w:r>
        <w:rPr>
          <w:b/>
        </w:rPr>
        <w:t xml:space="preserve">Ergebnis: </w:t>
      </w:r>
      <w:r>
        <w:t>Höchstes Risiko 90 Tage vor Therapiestart (IRR 2,58), dann während ersten 90 Tage (IRR 1,78) und später (IRR 1,27). Muster konsistent über alle Datenbanken – erhöhtes Risiko vor Behandlung deutet auf unbehandelte ADHD-Symptome, nicht auf Medikation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UK, Neuseeland, Taiwan eingeschlossen</w:t>
      </w:r>
    </w:p>
    <w:p>
      <w:r>
        <w:rPr>
          <w:color w:val="5A7D3A"/>
          <w:sz w:val="18"/>
        </w:rPr>
        <w:t>https://pubmed.ncbi.nlm.nih.gov/42731881/</w:t>
      </w:r>
    </w:p>
    <w:p>
      <w:pPr>
        <w:pStyle w:val="Heading2"/>
      </w:pPr>
      <w:r>
        <w:t>Online-Infektionstests: Systemische Vorteile und Barrieren</w:t>
      </w:r>
    </w:p>
    <w:p>
      <w:r>
        <w:rPr>
          <w:i/>
          <w:color w:val="666666"/>
          <w:sz w:val="18"/>
        </w:rPr>
        <w:t>Grace D et al.  ·  BMC Health Serv Res  ·  05.09.2026  ·  PMID 42728588</w:t>
      </w:r>
    </w:p>
    <w:p>
      <w:r>
        <w:t>Qualitative Interviews mit 41 Fachleuten zu Implementierung eines Online-Tests für sexuell übertragbare Infektionen (GetCheckedOnline) in Ontario.</w:t>
      </w:r>
    </w:p>
    <w:p>
      <w:r>
        <w:rPr>
          <w:b/>
        </w:rPr>
        <w:t xml:space="preserve">Ergebnis: </w:t>
      </w:r>
      <w:r>
        <w:t>Fünf zentrale Spannungsfelder identifiziert: Zugang, Datenschutz, Koordination, Agency und Systemauswirkungen. Teilnehmende erkannten Vorteile (besserer Zugang), berichteten aber auch unerwünschte Folgen (Koordinationsverluste zwischen Sektoren, Datenschutzbedenken).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Fragestellung zu digitalen Testmodellen systemübergreifend relevant</w:t>
      </w:r>
    </w:p>
    <w:p>
      <w:r>
        <w:rPr>
          <w:color w:val="5A7D3A"/>
          <w:sz w:val="18"/>
        </w:rPr>
        <w:t>https://pubmed.ncbi.nlm.nih.gov/42728588/</w:t>
      </w:r>
    </w:p>
    <w:p>
      <w:pPr>
        <w:pStyle w:val="Heading2"/>
      </w:pPr>
      <w:r>
        <w:t>Notfall- und Katastrophenbereitschaft in Krankenhäusern Äthiopiens</w:t>
      </w:r>
    </w:p>
    <w:p>
      <w:r>
        <w:rPr>
          <w:i/>
          <w:color w:val="666666"/>
          <w:sz w:val="18"/>
        </w:rPr>
        <w:t>Farah B et al.  ·  Res Health Serv Reg  ·  10.09.2026  ·  PMID 42720815</w:t>
      </w:r>
    </w:p>
    <w:p>
      <w:r>
        <w:t>Querschnittsstudie zur Notfall- und Katastrophenbereitschaft in vier öffentlichen Zonal-Krankenhäusern in der Somali-Region mit WHO-Hospital-Safety-Index Modul 4.</w:t>
      </w:r>
    </w:p>
    <w:p>
      <w:r>
        <w:rPr>
          <w:b/>
        </w:rPr>
        <w:t xml:space="preserve">Ergebnis: </w:t>
      </w:r>
      <w:r>
        <w:t>Mittlere Bereitschaftswerte von 45%; tiefste Werte für Notfall- und Katastrophenreaktion/Wiederherstellung (41,3%). Defizite in Reaktionsplanung, logistischer Bereitschaft, Finanzadministration und Kommunikationssystemen; fehlende externe Stakeholder-Koordination.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 (LMIC), aber HTA zur Systemreife allgemein relevant</w:t>
      </w:r>
    </w:p>
    <w:p>
      <w:r>
        <w:rPr>
          <w:color w:val="5A7D3A"/>
          <w:sz w:val="18"/>
        </w:rPr>
        <w:t>https://pubmed.ncbi.nlm.nih.gov/42720815/</w:t>
      </w:r>
    </w:p>
    <w:p>
      <w:pPr>
        <w:pStyle w:val="Heading2"/>
      </w:pPr>
      <w:r>
        <w:t>Risk Adjustment in Medicare Advantage mit Encounter-Daten</w:t>
      </w:r>
    </w:p>
    <w:p>
      <w:r>
        <w:rPr>
          <w:i/>
          <w:color w:val="666666"/>
          <w:sz w:val="18"/>
        </w:rPr>
        <w:t>Carlin CS et al.  ·  Health Serv Res  ·  Okt. 2026  ·  PMID 42720268</w:t>
      </w:r>
    </w:p>
    <w:p>
      <w:r>
        <w:t>Vergleichende Re-Schätzung des CMS-Hierarchical-Condition-Category-Modells mit Traditional-Medicare- vs. Medicare-Advantage-Claims 2016–2022.</w:t>
      </w:r>
    </w:p>
    <w:p>
      <w:r>
        <w:rPr>
          <w:b/>
        </w:rPr>
        <w:t xml:space="preserve">Ergebnis: </w:t>
      </w:r>
      <w:r>
        <w:t>MA-Daten zeigen 8,9% niedrigere durchschnittliche HCC-Scores als TM-Daten; Unterschiede variieren über Scoreverteilung. Keine neuen Anreizverzerrungen zu Lasten von Minoritäten oder ländlichen Versicherten.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US-System (MA/Medicare), aber relevante Methodologie für Risk-Adjustment</w:t>
      </w:r>
    </w:p>
    <w:p>
      <w:r>
        <w:rPr>
          <w:color w:val="5A7D3A"/>
          <w:sz w:val="18"/>
        </w:rPr>
        <w:t>https://pubmed.ncbi.nlm.nih.gov/42720268/</w:t>
      </w:r>
    </w:p>
    <w:p>
      <w:pPr>
        <w:pStyle w:val="Heading2"/>
      </w:pPr>
      <w:r>
        <w:t>MISSION4Sax: Sektorübergreifende onkologische Versorgungsmodelle</w:t>
      </w:r>
    </w:p>
    <w:p>
      <w:r>
        <w:rPr>
          <w:i/>
          <w:color w:val="666666"/>
          <w:sz w:val="18"/>
        </w:rPr>
        <w:t>Richter C et al.  ·  J Cancer Res Clin Oncol  ·  02.09.2026  ·  PMID 42693346</w:t>
      </w:r>
    </w:p>
    <w:p>
      <w:r>
        <w:t>Studienprotokoll eines multizentrischen Pilotstudien zur Machbarkeit einer integrierten onkologischen Versorgung über Regionaltumorbrett zwischen Maximalversorgung und Landpraxis mit standardisierten Patientenpfaden.</w:t>
      </w:r>
    </w:p>
    <w:p>
      <w:r>
        <w:rPr>
          <w:b/>
        </w:rPr>
        <w:t xml:space="preserve">Ergebnis: </w:t>
      </w:r>
      <w:r>
        <w:t>Geplante Bewertung von Machbarkeit, Akzeptanz, Implementierung und Datenqualität (keine Effektivitätsfrage); Fokus auf Wartezeiten, Adhärenz, klinische und Patient-Reported Outcomes. Routinedaten der Krankenkasse als externe Referenz geplant, keine Individualverlinkung.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(Sachsen), Versorgungsforschungs-Design direkt übertragbar</w:t>
      </w:r>
    </w:p>
    <w:p>
      <w:r>
        <w:rPr>
          <w:color w:val="5A7D3A"/>
          <w:sz w:val="18"/>
        </w:rPr>
        <w:t>https://pubmed.ncbi.nlm.nih.gov/42693346/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