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14.10.2026  |  6 Studien  |  wissen.m-vf.de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Stepped-Care-Modell für Opioidabhängige: Besserer Zugang zu Medikamenten</w:t>
      </w:r>
    </w:p>
    <w:p>
      <w:r>
        <w:rPr>
          <w:i/>
          <w:color w:val="666666"/>
          <w:sz w:val="18"/>
        </w:rPr>
        <w:t>Li H et al.  ·  Health Serv Res  ·  Okt. 2026  ·  PMID 42869778</w:t>
      </w:r>
    </w:p>
    <w:p>
      <w:r>
        <w:t>Eine US-Studie evaluierte, ob ein nationales Trainings-Programm (SCOUTT) zur Ausweitung der medikamentösen Opioidbehandlung in Primärversorgung und psychischen Gesundheitssettings bei obdacherfahrenen Veterans erfolgreicher war als reguläre Versorgung.</w:t>
      </w:r>
    </w:p>
    <w:p>
      <w:r>
        <w:rPr>
          <w:b/>
        </w:rPr>
        <w:t xml:space="preserve">Ergebnis: </w:t>
      </w:r>
      <w:r>
        <w:t>Patienten in SCOUTT-Einrichtungen erhielten signifikant häufiger Medikamentöse Opioidbehandlung (6,16 Prozentpunkte mehr jegliche MOUD, 7,16 Punkte mehr Buprenorphin; beides 95%-KI statistisch signifikant). Die Differenz-in-Differenzen-Analyse bestätigte diese Ergebnisse (7,85 bzw. 9,31 Punkte Unterschied).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US-Veteranen-System, eingeschränkte Übertragbarkeit auf deutsche Sozialversicherung</w:t>
      </w:r>
    </w:p>
    <w:p>
      <w:r>
        <w:rPr>
          <w:color w:val="5A7D3A"/>
          <w:sz w:val="18"/>
        </w:rPr>
        <w:t>https://pubmed.ncbi.nlm.nih.gov/42869778/</w:t>
      </w:r>
    </w:p>
    <w:p>
      <w:pPr>
        <w:pStyle w:val="Heading2"/>
      </w:pPr>
      <w:r>
        <w:t>Psychische Erkrankungen nach Klinikentlassung: Familien und Profis teilen Medikamenten-Verantwortung</w:t>
      </w:r>
    </w:p>
    <w:p>
      <w:r>
        <w:rPr>
          <w:i/>
          <w:color w:val="666666"/>
          <w:sz w:val="18"/>
        </w:rPr>
        <w:t>Jeffries M et al.  ·  Soc Sci Med  ·  08.10.2026  ·  PMID 42868728</w:t>
      </w:r>
    </w:p>
    <w:p>
      <w:r>
        <w:t>Eine britische Qualitativstudie mit 34 Interviews (Patienten, Angehörige, Gesundheitsfachleute) untersuchte, welche Unterstützungsnetzwerke für sichere Medikamentenadhärenz nach psychiatrischer Klinikentlassung notwendig sind.</w:t>
      </w:r>
    </w:p>
    <w:p>
      <w:r>
        <w:rPr>
          <w:b/>
        </w:rPr>
        <w:t xml:space="preserve">Ergebnis: </w:t>
      </w:r>
      <w:r>
        <w:t>Kernfinding: Medikamentensicherheit nach Entlassung beruht stark auf Unterstützungsnetzwerken und der Medikamenten-'Arbeit' von Patienten und Angehörigen. Professionelle Gesundheitsfachleute spielen eine zentrale, aber variable und kontextabhängige Rolle. Notwendigkeit erkannt: Stärkere Anerkennung von Sozialkontakten und 'situated medicines work' für bessere 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NHS-System; Erkenntnisse zu Netzwerken übertragbar auf deutsche Gemeindepsychiatrie</w:t>
      </w:r>
    </w:p>
    <w:p>
      <w:r>
        <w:rPr>
          <w:color w:val="5A7D3A"/>
          <w:sz w:val="18"/>
        </w:rPr>
        <w:t>https://pubmed.ncbi.nlm.nih.gov/42868728/</w:t>
      </w:r>
    </w:p>
    <w:p>
      <w:pPr>
        <w:pStyle w:val="Heading2"/>
      </w:pPr>
      <w:r>
        <w:t>Arbeit und Therapietreue: Sozialer Zusammenhalt im Beruf fördert Adherence</w:t>
      </w:r>
    </w:p>
    <w:p>
      <w:r>
        <w:rPr>
          <w:i/>
          <w:color w:val="666666"/>
          <w:sz w:val="18"/>
        </w:rPr>
        <w:t>Aalbers E et al.  ·  PLoS One  ·  13.10.2026  ·  PMID 42868134</w:t>
      </w:r>
    </w:p>
    <w:p>
      <w:r>
        <w:t>Eine niederländische Querschnittsstudie untersuchte bei 309 berufstätigen Personen mit chronischen Erkrankungen, wie Arbeitsmerkmale (Umfang, Anforderungen, Inklusion) mit der Einhaltung von Medikamenten- und Termintreue assoziiert sind.</w:t>
      </w:r>
    </w:p>
    <w:p>
      <w:r>
        <w:rPr>
          <w:b/>
        </w:rPr>
        <w:t xml:space="preserve">Ergebnis: </w:t>
      </w:r>
      <w:r>
        <w:t>Therapietreue-Rate betrug 56 Prozent. Soziale Inklusion am Arbeitsplatz erhöhte die Adhärenz signifikant (adjustierte OR 1,50, 95%-KI 1,00-2,25, p=0,049). Moderate physische Arbeitsanforderungen waren mit niedrigerer Adhärenz assoziiert (aOR 0,49, 95%-KI 0,26-0,92, p=0,026).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 mit chronisch kranker Erwerbsbevölkerung</w:t>
      </w:r>
    </w:p>
    <w:p>
      <w:r>
        <w:rPr>
          <w:color w:val="5A7D3A"/>
          <w:sz w:val="18"/>
        </w:rPr>
        <w:t>https://pubmed.ncbi.nlm.nih.gov/42868134/</w:t>
      </w:r>
    </w:p>
    <w:p>
      <w:pPr>
        <w:pStyle w:val="Heading2"/>
      </w:pPr>
      <w:r>
        <w:t>Digitale Fragebögien vor Arztbesuch: Dokumentation wird vollständiger</w:t>
      </w:r>
    </w:p>
    <w:p>
      <w:r>
        <w:rPr>
          <w:i/>
          <w:color w:val="666666"/>
          <w:sz w:val="18"/>
        </w:rPr>
        <w:t>Roemer A et al.  ·  BMC Health Serv Res  ·  09.10.2026  ·  PMID 42864663</w:t>
      </w:r>
    </w:p>
    <w:p>
      <w:r>
        <w:t>Eine deutschsprachige Pilotstudie (n=43) aus Rheumatologie, Dermatologie und Orthopädie testete, ob computergenerierte Patientenfragebögien mit standardisierter Zusammenfassung vor dem Termin die Vollständigkeit der klinischen Dokumentation verbessert.</w:t>
      </w:r>
    </w:p>
    <w:p>
      <w:r>
        <w:rPr>
          <w:b/>
        </w:rPr>
        <w:t xml:space="preserve">Ergebnis: </w:t>
      </w:r>
      <w:r>
        <w:t>Dokumentationsvollständigkeit stieg von 46,9 Prozent (Kontrolle) auf 100 Prozent (Intervention) im Median (p&lt;0,001). Alle Interventions-Patienten hatten die generierte Zusammenfassung in der Krankenakte. 95,3 Prozent der Patienten und 100 Prozent der Ärzte befürworteten das 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Studienzentren, direkt anwendbar auf deutsches Versorgungssystem</w:t>
      </w:r>
    </w:p>
    <w:p>
      <w:r>
        <w:rPr>
          <w:color w:val="5A7D3A"/>
          <w:sz w:val="18"/>
        </w:rPr>
        <w:t>https://pubmed.ncbi.nlm.nih.gov/42864663/</w:t>
      </w:r>
    </w:p>
    <w:p>
      <w:pPr>
        <w:pStyle w:val="Heading2"/>
      </w:pPr>
      <w:r>
        <w:t>Hausärzte-Ausbildung: Umgang mit Unsicherheit muss trainiert werden</w:t>
      </w:r>
    </w:p>
    <w:p>
      <w:r>
        <w:rPr>
          <w:i/>
          <w:color w:val="666666"/>
          <w:sz w:val="18"/>
        </w:rPr>
        <w:t>Dreher AC et al.  ·  BMC Med Educ  ·  12.10.2026  ·  PMID 42864649</w:t>
      </w:r>
    </w:p>
    <w:p>
      <w:r>
        <w:t>Eine qualitative Studie mit 22 deutschen Hausarzt-Weiterbildungsassistenten (Heidelberg) explorierte, wie Ärzte-in-Ausbildung Unsicherheit in der Primärversorgung erleben und bewältigen.</w:t>
      </w:r>
    </w:p>
    <w:p>
      <w:r>
        <w:rPr>
          <w:b/>
        </w:rPr>
        <w:t xml:space="preserve">Ergebnis: </w:t>
      </w:r>
      <w:r>
        <w:t>Trainees berichten von Unsicherheit auf drei Ebenen: Selbstzweifel (intrapersonal), Patientenfaktoren (interpersonal) und Kontext (systemisch). Bewältigungsstrategien waren Abwarten, Kollegenrat, externe Quellen und Intuition. Kernaussage: Gezieltes Training für Unsicherheitsmanagement fehlt und wäre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Hausarzt-Weiterbildung, direkt auf deutsche Versorgung anwendbar</w:t>
      </w:r>
    </w:p>
    <w:p>
      <w:r>
        <w:rPr>
          <w:color w:val="5A7D3A"/>
          <w:sz w:val="18"/>
        </w:rPr>
        <w:t>https://pubmed.ncbi.nlm.nih.gov/42864649/</w:t>
      </w:r>
    </w:p>
    <w:p>
      <w:pPr>
        <w:pStyle w:val="Heading2"/>
      </w:pPr>
      <w:r>
        <w:t>Lebensqualität bei chronischen Wunden: Spanische Cutoff-Werte für klinische Praxis</w:t>
      </w:r>
    </w:p>
    <w:p>
      <w:r>
        <w:rPr>
          <w:i/>
          <w:color w:val="666666"/>
          <w:sz w:val="18"/>
        </w:rPr>
        <w:t>Horcajada-Reales C et al.  ·  Int Wound J  ·  Okt. 2026  ·  PMID 42830425</w:t>
      </w:r>
    </w:p>
    <w:p>
      <w:r>
        <w:t>Eine spanische Validierungsstudie (n=323 Baseline, n=197 Retest) etablierte klinisch interpretierbare Schwellenwerte und Responsivitätsmaße für das Wound-QoL-14-Instrument zur Messung von Wundassoziierter Lebensqualität.</w:t>
      </w:r>
    </w:p>
    <w:p>
      <w:r>
        <w:rPr>
          <w:b/>
        </w:rPr>
        <w:t xml:space="preserve">Ergebnis: </w:t>
      </w:r>
      <w:r>
        <w:t>Einfache Schweregrad-Klassifizierung (0-0,25 / 0,26-1,00 / 1,01-2,00 / 2,01-3,00 / 3,01-4,00) korrelierte moderat mit globaler Verankerungsfrage (polychorische Korrelation 0,653), aber geringe Übereinstimmung (41,5 Prozent Konkordanz, Krippendorffs Alfa 0,609). Smallest detectable change 0,39 Punkte vs. minimale klinisch relevante Differenz 0,53 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deutschsprachiger Wundbereich; kulturell angepasste Schwellenwerte hilfreich für deutschsprachige Praxis</w:t>
      </w:r>
    </w:p>
    <w:p>
      <w:r>
        <w:rPr>
          <w:color w:val="5A7D3A"/>
          <w:sz w:val="18"/>
        </w:rPr>
        <w:t>https://pubmed.ncbi.nlm.nih.gov/42830425/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