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30.09.2026  |  6 Studien  |  wissen.m-vf.de</w:t>
      </w:r>
    </w:p>
    <w:p>
      <w:pPr>
        <w:pStyle w:val="Heading1"/>
      </w:pPr>
      <w:r>
        <w:t>Aufgenommen am 30.09.2026</w:t>
      </w:r>
    </w:p>
    <w:p>
      <w:pPr>
        <w:pStyle w:val="Heading2"/>
      </w:pPr>
      <w:r>
        <w:t>Digitalisierung und Krankenhausperformance: Einfluss der elektronischen Dokumentation</w:t>
      </w:r>
    </w:p>
    <w:p>
      <w:r>
        <w:rPr>
          <w:i/>
          <w:color w:val="666666"/>
          <w:sz w:val="18"/>
        </w:rPr>
        <w:t>Remus P et al.  ·  J Med Internet Res  ·  29.09.2026  ·  PMID 42809839</w:t>
      </w:r>
    </w:p>
    <w:p>
      <w:r>
        <w:t>Longitudinale Analyse der Zusammenhänge zwischen technischer Digitalisierungsreife und finanziellen, operativen und Personalindikatoren in 70 niederländischen Krankenhäusern (2017–2023).</w:t>
      </w:r>
    </w:p>
    <w:p>
      <w:r>
        <w:rPr>
          <w:b/>
        </w:rPr>
        <w:t xml:space="preserve">Ergebnis: </w:t>
      </w:r>
      <w:r>
        <w:t>Fortgeschrittene digitale Reife war nicht signifikant mit verbesserter Profitabilität, Patientenvolumen oder Mitarbeiterfluktuation assoziiert (alle p&gt;0,05 nach Bonferroni-Korrektur); die Daten stützen das IT-Produktivitätsparadox.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Sozialversicherungssystem mit Beitragsfinanzierung, vergleichbar mit Deutschland.</w:t>
      </w:r>
    </w:p>
    <w:p>
      <w:r>
        <w:rPr>
          <w:color w:val="5A7D3A"/>
          <w:sz w:val="18"/>
        </w:rPr>
        <w:t>https://pubmed.ncbi.nlm.nih.gov/42809839/</w:t>
      </w:r>
    </w:p>
    <w:p>
      <w:pPr>
        <w:pStyle w:val="Heading2"/>
      </w:pPr>
      <w:r>
        <w:t>Zeitbelastung (Time Toxicity) in der Krebsversorgung: Systematische Übersicht</w:t>
      </w:r>
    </w:p>
    <w:p>
      <w:r>
        <w:rPr>
          <w:i/>
          <w:color w:val="666666"/>
          <w:sz w:val="18"/>
        </w:rPr>
        <w:t>Wee IJY et al.  ·  Support Care Cancer  ·  29.09.2026  ·  PMID 42809115</w:t>
      </w:r>
    </w:p>
    <w:p>
      <w:r>
        <w:t>Systematische Übersicht von 56 Studien zur Definition und Messung der Zeitbelastung in der Krebsbehandlung (Inception bis März 2026).</w:t>
      </w:r>
    </w:p>
    <w:p>
      <w:r>
        <w:rPr>
          <w:b/>
        </w:rPr>
        <w:t xml:space="preserve">Ergebnis: </w:t>
      </w:r>
      <w:r>
        <w:t>Definitionen waren heterogen; 55,4 % definierten Zeitbelastung als direkte Gesundheitszeiten (Klinikbesuche, Behandlungen), 35,7 % als Zeit ohne Gesundheitswesen; nur 0 Studien nutzten Patientenperspektiven; systematisch sind noch prozessorientierte und patientenzentrierte Dimensionen unterrepräsentiert.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Systemübergreifend relevant; Konzeptualisierung und Messqualität unabhängig von Landkontext.</w:t>
      </w:r>
    </w:p>
    <w:p>
      <w:r>
        <w:rPr>
          <w:color w:val="5A7D3A"/>
          <w:sz w:val="18"/>
        </w:rPr>
        <w:t>https://pubmed.ncbi.nlm.nih.gov/42809115/</w:t>
      </w:r>
    </w:p>
    <w:p>
      <w:pPr>
        <w:pStyle w:val="Heading2"/>
      </w:pPr>
      <w:r>
        <w:t>Kompetenzbasiertes Curriculum Allgemeinmedizin im Block-Praktikum: Lückenanalyse</w:t>
      </w:r>
    </w:p>
    <w:p>
      <w:r>
        <w:rPr>
          <w:i/>
          <w:color w:val="666666"/>
          <w:sz w:val="18"/>
        </w:rPr>
        <w:t>Schüle D et al.  ·  GMS J Med Educ  ·  15.09.2026  ·  PMID 42807621</w:t>
      </w:r>
    </w:p>
    <w:p>
      <w:r>
        <w:t>Gemischte Methoden-Studie an einem deutschen Universitätskrankenhaus zur Bewertung und Neukonzeption eines zweiwöchigen Allgemeinmedizin-Blockpraktikums anhand von NKLM 2.0 und EPAs.</w:t>
      </w:r>
    </w:p>
    <w:p>
      <w:r>
        <w:rPr>
          <w:b/>
        </w:rPr>
        <w:t xml:space="preserve">Ergebnis: </w:t>
      </w:r>
      <w:r>
        <w:t>Aktuelles Praktikum erreichte Gesamtnote 1,8 (SD 1,06), erhöhte das Interesse an Allgemeinmedizin aber nicht signifikant; fehlten: interprofessionelle Zusammenarbeit, Führungskompetenzen; vorgeschlagen wurde sechswöchiges longitudinales Modell mit Simulation und Hospitationen.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Fokus auf medizinische Ausbildung und Lehrqualität.</w:t>
      </w:r>
    </w:p>
    <w:p>
      <w:r>
        <w:rPr>
          <w:color w:val="5A7D3A"/>
          <w:sz w:val="18"/>
        </w:rPr>
        <w:t>https://pubmed.ncbi.nlm.nih.gov/42807621/</w:t>
      </w:r>
    </w:p>
    <w:p>
      <w:pPr>
        <w:pStyle w:val="Heading2"/>
      </w:pPr>
      <w:r>
        <w:t>VISIONARA: Dezentrales kompetenzbasiertes Lernmodell in Hausarztpraxen</w:t>
      </w:r>
    </w:p>
    <w:p>
      <w:r>
        <w:rPr>
          <w:i/>
          <w:color w:val="666666"/>
          <w:sz w:val="18"/>
        </w:rPr>
        <w:t>Lübbert J et al.  ·  GMS J Med Educ  ·  15.09.2026  ·  PMID 42807235</w:t>
      </w:r>
    </w:p>
    <w:p>
      <w:r>
        <w:t>Konzeptentwicklung und geplante Pilotierung eines Programms für akademische Lehrpraxen (MRC-Framework), das strukturiertes kompetenzbasiertes Lernen direkt in den Versorgungsalltag der Allgemeinmedizin integriert.</w:t>
      </w:r>
    </w:p>
    <w:p>
      <w:r>
        <w:rPr>
          <w:b/>
        </w:rPr>
        <w:t xml:space="preserve">Ergebnis: </w:t>
      </w:r>
      <w:r>
        <w:t>Konzeptphase abgeschlossen; geplante Pilotphase wird Machbarkeit, Akzeptanz und Integrierbarkeit in Routinepraxen prüfen sowie personelle Ressourcen, Patientenzustimmung und logistische Hürden evaluieren.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Modell für Primärversorgung und ärztliche Ausbildung direkt vor Ort.</w:t>
      </w:r>
    </w:p>
    <w:p>
      <w:r>
        <w:rPr>
          <w:color w:val="5A7D3A"/>
          <w:sz w:val="18"/>
        </w:rPr>
        <w:t>https://pubmed.ncbi.nlm.nih.gov/42807235/</w:t>
      </w:r>
    </w:p>
    <w:p>
      <w:pPr>
        <w:pStyle w:val="Heading2"/>
      </w:pPr>
      <w:r>
        <w:t>Facharztprüfung Allgemeinmedizin: Perspektiven von Prüfenden</w:t>
      </w:r>
    </w:p>
    <w:p>
      <w:r>
        <w:rPr>
          <w:i/>
          <w:color w:val="666666"/>
          <w:sz w:val="18"/>
        </w:rPr>
        <w:t>Dreher AC et al.  ·  GMS J Med Educ  ·  15.09.2026  ·  PMID 42807223</w:t>
      </w:r>
    </w:p>
    <w:p>
      <w:r>
        <w:t>Qualitative Explorationsstudie mit 12 Prüfenden aus 6 Bundesländern zu Stärken, Schwächen und Weiterentwicklungspotenzial der mündlichen Facharztprüfung.</w:t>
      </w:r>
    </w:p>
    <w:p>
      <w:r>
        <w:rPr>
          <w:b/>
        </w:rPr>
        <w:t xml:space="preserve">Ergebnis: </w:t>
      </w:r>
      <w:r>
        <w:t>Prüfende beschrieben Stärken: Mindeststandard-Sicherung, Effizienz; Schwächen: begrenzte Aussagekraft für komplexe Handlungskompetenzen; Verbesserungen: Prüfendenschulungen, gemeinsame Erwartungshorizonte, praktische Prüfungskomponenten, longitudinale Assessments.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 auf Facharztausbildung und Qualitätssicherung bezogen.</w:t>
      </w:r>
    </w:p>
    <w:p>
      <w:r>
        <w:rPr>
          <w:color w:val="5A7D3A"/>
          <w:sz w:val="18"/>
        </w:rPr>
        <w:t>https://pubmed.ncbi.nlm.nih.gov/42807223/</w:t>
      </w:r>
    </w:p>
    <w:p>
      <w:pPr>
        <w:pStyle w:val="Heading2"/>
      </w:pPr>
      <w:r>
        <w:t>Früherkennung und Reha bei Muskelskelettstörungen reduzieren Arbeitsunfähigkeit?</w:t>
      </w:r>
    </w:p>
    <w:p>
      <w:r>
        <w:rPr>
          <w:i/>
          <w:color w:val="666666"/>
          <w:sz w:val="18"/>
        </w:rPr>
        <w:t>Bornhöft L et al.  ·  BMC Health Serv Res  ·  26.09.2026  ·  PMID 42806350</w:t>
      </w:r>
    </w:p>
    <w:p>
      <w:r>
        <w:t>Ökonomische Analyse eines randomisierten Vergleichs zwischen teambasierter Primärversorgungsrehabilitation und Standardversorgung für Patienten mit erhöhtem Fehlzeitrisiko in Schweden (N=526).</w:t>
      </w:r>
    </w:p>
    <w:p>
      <w:r>
        <w:rPr>
          <w:b/>
        </w:rPr>
        <w:t xml:space="preserve">Ergebnis: </w:t>
      </w:r>
      <w:r>
        <w:t>Team-Rehabilitation und Standardversorgung führten zu ähnlichen QALYs über ein Jahr; die Wahrscheinlichkeit der Kosteneffektivität lag bei etwa 50 % (schwedische Schwellenwerte 43.000–86.000 €/QALY); Selektion bedürftiger Patienten muss verbessert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steuerfinanziert und hausarztgesteuert, aber Prozesse und Arbeitsfähigkeit sind übertragbar.</w:t>
      </w:r>
    </w:p>
    <w:p>
      <w:r>
        <w:rPr>
          <w:color w:val="5A7D3A"/>
          <w:sz w:val="18"/>
        </w:rPr>
        <w:t>https://pubmed.ncbi.nlm.nih.gov/42806350/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2026-09-30T06:00:00Z</dcterms:created>
  <dcterms:modified xsi:type="dcterms:W3CDTF">2026-09-30T06:00:00Z</dcterms:modified>
  <cp:category/>
</cp:coreProperties>
</file>