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Versorgungsforschung</w:t>
      </w:r>
    </w:p>
    <w:p>
      <w:r>
        <w:rPr>
          <w:i/>
          <w:color w:val="666666"/>
          <w:sz w:val="18"/>
        </w:rPr>
        <w:t>Stand: 20.08.2026  |  48 Studien  |  wissen.m-vf.de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Vorbereitung auf zukünftige Pandemien: Befähigung und Unterstützungsbedarf des Pflegepersonals im Querschnitt</w:t>
      </w:r>
    </w:p>
    <w:p>
      <w:r>
        <w:rPr>
          <w:i/>
          <w:color w:val="666666"/>
          <w:sz w:val="18"/>
        </w:rPr>
        <w:t>Noorland SA et al.  ·  Nurs Outlook  ·  19.08.2026  ·  PMID 42617414</w:t>
      </w:r>
    </w:p>
    <w:p>
      <w:r>
        <w:t>Eine niederländische Querschnittsstudie untersuchte die mentale Leistungsfähigkeit des Pflegepersonals für zukünftige Pandemien, deren psychische Gesundheit nach COVID-19 und deren Vorlieben für psychosoziale Unterstützung.</w:t>
      </w:r>
    </w:p>
    <w:p>
      <w:r>
        <w:rPr>
          <w:b/>
        </w:rPr>
        <w:t xml:space="preserve">Ergebnis: </w:t>
      </w:r>
      <w:r>
        <w:t>90,4 % fühlten sich mental fähig, während einer zukünftigen Pandemie zu arbeiten. Die mentale Gesundheit war generell gut (Median MHI-5: 84) und positiv assoziiert mit höherer wahrgenommener Fähigkeit. Das Personal bevorzugte Peer-basierte Unterstützung (Gruppengespräche, moralische Fallberatungen, Partnerschaft mit Kollegen) gegenüber Einzelgesprächen und Stressmanagement-Schulungen.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Sozialversicherungssystem, hohe Übertragbarkeit für Pflegepersonalentwicklung</w:t>
      </w:r>
    </w:p>
    <w:p>
      <w:r>
        <w:rPr>
          <w:color w:val="5A7D3A"/>
          <w:sz w:val="18"/>
        </w:rPr>
        <w:t>https://pubmed.ncbi.nlm.nih.gov/42617414/</w:t>
      </w:r>
    </w:p>
    <w:p>
      <w:pPr>
        <w:pStyle w:val="Heading2"/>
      </w:pPr>
      <w:r>
        <w:t>Datensouveränität in der Langzeitpflege: Mixed-Methods-Studie zur Reifegradbeurteilung</w:t>
      </w:r>
    </w:p>
    <w:p>
      <w:r>
        <w:rPr>
          <w:i/>
          <w:color w:val="666666"/>
          <w:sz w:val="18"/>
        </w:rPr>
        <w:t>Bouchmal S et al.  ·  J Med Internet Res  ·  19.08.2026  ·  PMID 42617155</w:t>
      </w:r>
    </w:p>
    <w:p>
      <w:r>
        <w:t>Eine niederländische Mixed-Methods-Studie in drei Langzeitpflege-Organisationen untersuchte deren Fähigkeit zur Nutzung von Daten für Entscheidungen und Qualitätsverbesserungen.</w:t>
      </w:r>
    </w:p>
    <w:p>
      <w:r>
        <w:rPr>
          <w:b/>
        </w:rPr>
        <w:t xml:space="preserve">Ergebnis: </w:t>
      </w:r>
      <w:r>
        <w:t>Organisationen wiesen niedrige Datenreife auf. Bereiche Strategie, Governance und Datenqualität waren durchgehend niedrig. Vier Themen wurden identifiziert: fehlende klare Vision (Datenreife niedrig), Datenkultur als Voraussetzung, begrenzte Interdisziplinarität und Infrastruktur- sowie kulturelle Hürden hemmen nachhaltige Nutzung.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Langzeitpflege-Setting, hohe Übertragbarkeit auf deutsche Altenheime</w:t>
      </w:r>
    </w:p>
    <w:p>
      <w:r>
        <w:rPr>
          <w:color w:val="5A7D3A"/>
          <w:sz w:val="18"/>
        </w:rPr>
        <w:t>https://pubmed.ncbi.nlm.nih.gov/42617155/</w:t>
      </w:r>
    </w:p>
    <w:p>
      <w:pPr>
        <w:pStyle w:val="Heading2"/>
      </w:pPr>
      <w:r>
        <w:t>Kosteneffektivität der Herpes-zoster-Impfung bei rheumatoider Arthritis</w:t>
      </w:r>
    </w:p>
    <w:p>
      <w:r>
        <w:rPr>
          <w:i/>
          <w:color w:val="666666"/>
          <w:sz w:val="18"/>
        </w:rPr>
        <w:t>Hagen G et al.  ·  Rheumatology (Oxford)  ·  19.08.2026  ·  PMID 42616666</w:t>
      </w:r>
    </w:p>
    <w:p>
      <w:r>
        <w:t>Eine norwegische Markov-Modellierungsstudie bewertete die Kosteneffektivität der adjuvantierten rekombinanten Zoster-Impfung (RZV) bei RA-Patienten.</w:t>
      </w:r>
    </w:p>
    <w:p>
      <w:r>
        <w:rPr>
          <w:b/>
        </w:rPr>
        <w:t xml:space="preserve">Ergebnis: </w:t>
      </w:r>
      <w:r>
        <w:t>RZV vermied 2.550 HZ-Fälle und 1.303 PHN-Fälle pro 10.000 RA-Patienten, ICER von 11.205 EUR/QALY (unter Schwellenwert von 23.650 EUR/QALY). Probabilistische Analyse zeigte 98 % Wahrscheinlichkeit der Kosteneffektivität. Sensitivitätsanalysen zeigten Robustheit der Ergebnisse.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skandinavisches Steuersystem, gut übertragbar für Vakzinations- und Preventiv-Fragen</w:t>
      </w:r>
    </w:p>
    <w:p>
      <w:r>
        <w:rPr>
          <w:color w:val="5A7D3A"/>
          <w:sz w:val="18"/>
        </w:rPr>
        <w:t>https://pubmed.ncbi.nlm.nih.gov/42616666/</w:t>
      </w:r>
    </w:p>
    <w:p>
      <w:pPr>
        <w:pStyle w:val="Heading2"/>
      </w:pPr>
      <w:r>
        <w:t>Resilienz der Impfversorgung in Äthiopien während COVID-19: Dezentralisierung schützt vor Ausfällen</w:t>
      </w:r>
    </w:p>
    <w:p>
      <w:r>
        <w:rPr>
          <w:i/>
          <w:color w:val="666666"/>
          <w:sz w:val="18"/>
        </w:rPr>
        <w:t>Gedefaw A et al.  ·  BMC Health Serv Res  ·  17.08.2026  ·  PMID 42613610</w:t>
      </w:r>
    </w:p>
    <w:p>
      <w:r>
        <w:t>Eine äthiopische Längsschnittstudie verglich die Impfversorgung über 18 Krankenhäuser, 132 Gesundheitszentren und 532 Gesundheitsposten während und vor der Pandemie.</w:t>
      </w:r>
    </w:p>
    <w:p>
      <w:r>
        <w:rPr>
          <w:b/>
        </w:rPr>
        <w:t xml:space="preserve">Ergebnis: </w:t>
      </w:r>
      <w:r>
        <w:t>Gesamtimpfquote stieg um 9,72 % (p=0,006) in den ersten 6 Monaten. Krankenhäuser fielen um 5,2 % ab (p=0,449), Gesundheitszentren stiegen um 7,96 % (p=0,015) und Posten um 11,5 % (p=0,002). Dezentralisierte Strukturen absorbierten Nachfrage nach Spitalauställen.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Äthiopien, Low-Income-Setting - begrenzte Übertragbarkeit auf deutsche Strukturen mit anderen Ressourcen</w:t>
      </w:r>
    </w:p>
    <w:p>
      <w:r>
        <w:rPr>
          <w:color w:val="5A7D3A"/>
          <w:sz w:val="18"/>
        </w:rPr>
        <w:t>https://pubmed.ncbi.nlm.nih.gov/42613610/</w:t>
      </w:r>
    </w:p>
    <w:p>
      <w:pPr>
        <w:pStyle w:val="Heading2"/>
      </w:pPr>
      <w:r>
        <w:t>UN-Dekade für gesundes Altern: Perspektiven von älteren Menschen und Fachkräften in Norwegen</w:t>
      </w:r>
    </w:p>
    <w:p>
      <w:r>
        <w:rPr>
          <w:i/>
          <w:color w:val="666666"/>
          <w:sz w:val="18"/>
        </w:rPr>
        <w:t>Bikova M et al.  ·  BMC Health Serv Res  ·  14.08.2026  ·  PMID 42613606</w:t>
      </w:r>
    </w:p>
    <w:p>
      <w:r>
        <w:t>Eine norwegische qualitative Fallstudie mit 23 Interviews (Ältere, Fachkräfte, Entscheidungsträger) untersuchte die Umsetzung der UN-Decade of Healthy Ageing.</w:t>
      </w:r>
    </w:p>
    <w:p>
      <w:r>
        <w:rPr>
          <w:b/>
        </w:rPr>
        <w:t xml:space="preserve">Ergebnis: </w:t>
      </w:r>
      <w:r>
        <w:t>Kernthemen: Strategien zur Selbstbestimmung, ambivalente Alterswahrnehmung, Herausforderungen der Gesundheitsdienste. Digitalisierung als Barriere für inklusive Teilhabe identifiziert. Digitale Inklusion, intergenerationale Ansätze und Bekämpfung von Alterismus empfohlen.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steuerfinanziertes System, mittel übertragbar für Fragen zur Versorgungsstruktur und Partizipation</w:t>
      </w:r>
    </w:p>
    <w:p>
      <w:r>
        <w:rPr>
          <w:color w:val="5A7D3A"/>
          <w:sz w:val="18"/>
        </w:rPr>
        <w:t>https://pubmed.ncbi.nlm.nih.gov/42613606/</w:t>
      </w:r>
    </w:p>
    <w:p>
      <w:pPr>
        <w:pStyle w:val="Heading1"/>
      </w:pPr>
      <w:r>
        <w:t>Aufgenommen am 19.08.2026</w:t>
      </w:r>
    </w:p>
    <w:p>
      <w:pPr>
        <w:pStyle w:val="Heading2"/>
      </w:pPr>
      <w:r>
        <w:t>Diagnostische Genauigkeit des PHQ-9 in der hausärztlichen Praxis bei Patienten mit Depressionsrisiken</w:t>
      </w:r>
    </w:p>
    <w:p>
      <w:r>
        <w:rPr>
          <w:i/>
          <w:color w:val="666666"/>
          <w:sz w:val="18"/>
        </w:rPr>
        <w:t>Thake M et al.  ·  Gen Hosp Psychiatry  ·  13.08.2026  ·  PMID 42612565</w:t>
      </w:r>
    </w:p>
    <w:p>
      <w:r>
        <w:t>Studie zur diagnostischen Genauigkeit des PHQ-9 für die Erkennung von Major Depression bei Hausarztpatienten mit unterschiedlichen Depressionsrisikofaktoren.</w:t>
      </w:r>
    </w:p>
    <w:p>
      <w:r>
        <w:rPr>
          <w:b/>
        </w:rPr>
        <w:t xml:space="preserve">Ergebnis: </w:t>
      </w:r>
      <w:r>
        <w:t>PHQ-9 zeigte hohe diagnostische Genauigkeit (AUC 0,92–0,97) in Primärversorgung. Optimal-Cutoffs variierten je nach Risikofaktoren (7–13 Punkte). Sensitivität 0,78–0,99; Spezifität 0,80–0,91; NPW 0,80–0,99. Ergebnisse unterstützen risikoadaptiertes Screening mittels PHQ-9 in der Hausarztpraxis.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 aus Primärversorgung, gesetzlich Versicherte</w:t>
      </w:r>
    </w:p>
    <w:p>
      <w:r>
        <w:rPr>
          <w:color w:val="5A7D3A"/>
          <w:sz w:val="18"/>
        </w:rPr>
        <w:t>https://pubmed.ncbi.nlm.nih.gov/42612565/</w:t>
      </w:r>
    </w:p>
    <w:p>
      <w:pPr>
        <w:pStyle w:val="Heading2"/>
      </w:pPr>
      <w:r>
        <w:t>PROMIS GH-10 als Patient-Reported Outcome Maß in Rehabilitationskliniken: Mixed-Methods-Studie zur Implementierungseignung</w:t>
      </w:r>
    </w:p>
    <w:p>
      <w:r>
        <w:rPr>
          <w:i/>
          <w:color w:val="666666"/>
          <w:sz w:val="18"/>
        </w:rPr>
        <w:t>Utsch M et al.  ·  BMC Health Serv Res  ·  12.08.2026  ·  PMID 42608694</w:t>
      </w:r>
    </w:p>
    <w:p>
      <w:r>
        <w:t>Erprobung des PROMIS GH-10 zur Messung patientenberichteter Gesundheitsergebnisse in stationärer Schweizer Rehabilitation mit Fokus auf Responsivität und praktische Umsetzbarkeit.</w:t>
      </w:r>
    </w:p>
    <w:p>
      <w:r>
        <w:rPr>
          <w:b/>
        </w:rPr>
        <w:t xml:space="preserve">Ergebnis: </w:t>
      </w:r>
      <w:r>
        <w:t>2.083 Patienten, 1.217 vollständige Messungen. Signifikante Verbesserungen: Physische Gesundheit d=0,68 (p&lt;0,001); Psychische Gesundheit d=0,48 (p&lt;0,001). Effektstärken je Setting 0,50–0,95 bzw. 0,33–1,19. 41% der Patienten brauchten Unterstützung. Barrieren: Unsicherheit über Nutzen, fehlende Ressourcen. PROMIS GH-10 zeigte adäquate Responsivität.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Schweiz, Sozialversicherungssystem, direkt auf deutsches System übertragbar</w:t>
      </w:r>
    </w:p>
    <w:p>
      <w:r>
        <w:rPr>
          <w:color w:val="5A7D3A"/>
          <w:sz w:val="18"/>
        </w:rPr>
        <w:t>https://pubmed.ncbi.nlm.nih.gov/42608694/</w:t>
      </w:r>
    </w:p>
    <w:p>
      <w:pPr>
        <w:pStyle w:val="Heading2"/>
      </w:pPr>
      <w:r>
        <w:t>Kosten-Nutzen-Parameter für Magnet®-Zertifizierung in deutschen Krankenhäusern</w:t>
      </w:r>
    </w:p>
    <w:p>
      <w:r>
        <w:rPr>
          <w:i/>
          <w:color w:val="666666"/>
          <w:sz w:val="18"/>
        </w:rPr>
        <w:t>Gurisch C et al.  ·  BMC Health Serv Res  ·  12.08.2026  ·  PMID 42608687</w:t>
      </w:r>
    </w:p>
    <w:p>
      <w:r>
        <w:t>Analyse relevanter Parameter für eine Kosten-Nutzen-Analyse der Magnet®-Designation (Organisationsintervention zur Verbesserung der Pflegefachkräftearbeitsbedingungen) im deutschen Kontext.</w:t>
      </w:r>
    </w:p>
    <w:p>
      <w:r>
        <w:rPr>
          <w:b/>
        </w:rPr>
        <w:t xml:space="preserve">Ergebnis: </w:t>
      </w:r>
      <w:r>
        <w:t>Potenzielle Kosten: ANCC-Gebühren, Benchmarking, Fortbildungen, Ressourcen und Datenverwaltung. Kostenersparnisse durch: Verbesserung pflegefachkraftsensibler Indikatoren, Personalindikatoren, Krankenhausleistung. Für Deutschland zusätzlich relevant: Kosten der Akademisierung von Pflegekräften und Datenmanagement. Erhebliche Datenlücken bremsen aktuelle Kosten-Nutzen-Analyse.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deutsches Krankenhaussystem; deutsche Stakeholder-Interviews</w:t>
      </w:r>
    </w:p>
    <w:p>
      <w:r>
        <w:rPr>
          <w:color w:val="5A7D3A"/>
          <w:sz w:val="18"/>
        </w:rPr>
        <w:t>https://pubmed.ncbi.nlm.nih.gov/42608687/</w:t>
      </w:r>
    </w:p>
    <w:p>
      <w:pPr>
        <w:pStyle w:val="Heading2"/>
      </w:pPr>
      <w:r>
        <w:t>Erfahrungen von Nutzern mit Kriseninterventionen und Peer-Support in der Psychiatrie: qualitative Studie</w:t>
      </w:r>
    </w:p>
    <w:p>
      <w:r>
        <w:rPr>
          <w:i/>
          <w:color w:val="666666"/>
          <w:sz w:val="18"/>
        </w:rPr>
        <w:t>Oeltjen LK et al.  ·  BMC Health Serv Res  ·  11.08.2026  ·  PMID 42608682</w:t>
      </w:r>
    </w:p>
    <w:p>
      <w:r>
        <w:t>Qualitative Studie über Erfahrungen von Menschen mit schweren psychischen Erkrankungen während psychiatrischer Kriseninterventionen mit oder ohne Peer-Unterstützung.</w:t>
      </w:r>
    </w:p>
    <w:p>
      <w:r>
        <w:rPr>
          <w:b/>
        </w:rPr>
        <w:t xml:space="preserve">Ergebnis: </w:t>
      </w:r>
      <w:r>
        <w:t>25 Interviews. Als hilfreich erlebt: empathisches Zuhören, ruhige Kommunikation, transparente Erklärungen, Partizipation in Entscheidungen. Als belastend: konfrontative Kommunikation, unzureichende Information. Peer-Support: überwiegend positiv wahrgenommen wegen Authentizität und Hoffnungsgebung. Erfahrungen mit Polizei ambivalent. Strukturfaktoren (Kontinuität, Warteumgebung) prägten Erlebnis.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(Bremen), deutsches Sektor-Setting der Psychiatrie; qualitativ hochrelevant</w:t>
      </w:r>
    </w:p>
    <w:p>
      <w:r>
        <w:rPr>
          <w:color w:val="5A7D3A"/>
          <w:sz w:val="18"/>
        </w:rPr>
        <w:t>https://pubmed.ncbi.nlm.nih.gov/42608682/</w:t>
      </w:r>
    </w:p>
    <w:p>
      <w:pPr>
        <w:pStyle w:val="Heading2"/>
      </w:pPr>
      <w:r>
        <w:t>Vorhersagefaktoren von Überzeugungen zu Antipsychotika bei Psychosestörungen: longitudinale Beobachtungsstudie</w:t>
      </w:r>
    </w:p>
    <w:p>
      <w:r>
        <w:rPr>
          <w:i/>
          <w:color w:val="666666"/>
          <w:sz w:val="18"/>
        </w:rPr>
        <w:t>Skaare-Fatland K et al.  ·  Patient Prefer Adherence  ·  12.08.2026  ·  PMID 42605315</w:t>
      </w:r>
    </w:p>
    <w:p>
      <w:r>
        <w:t>Longitudinale Studie über Faktoren, die Notwendigkeits- und Besorgnis-Überzeugungen bezüglich antipsychotischer Medikamente bei psychotischen Störungen vorhersagen (12-Monats-Follow-up).</w:t>
      </w:r>
    </w:p>
    <w:p>
      <w:r>
        <w:rPr>
          <w:b/>
        </w:rPr>
        <w:t xml:space="preserve">Ergebnis: </w:t>
      </w:r>
      <w:r>
        <w:t>Baseline (N=310): Höhere Medikations-Unterstützung assoziiert mit höheren Notwendigkeits-Scores (β=0,18; 95% KI 0,04–0,33) und niedriger Besorgnis (β=-0,29; 95% KI -0,42 bis -0,16). Nach 12 Monaten: Notwendigkeits-Scores fielen (β=-0,35; 95% KI -0,60 bis -0,11), Besorgnis stiegen (β=0,25; 95% KI 0,05–0,45). Höhere Symptombelastung und Nebenwirkungen mit höherer Besorgnis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 (Norwegen), steuerfinanziert; Prozesse und Patientenperspektive relevant</w:t>
      </w:r>
    </w:p>
    <w:p>
      <w:r>
        <w:rPr>
          <w:color w:val="5A7D3A"/>
          <w:sz w:val="18"/>
        </w:rPr>
        <w:t>https://pubmed.ncbi.nlm.nih.gov/42605315/</w:t>
      </w:r>
    </w:p>
    <w:p>
      <w:pPr>
        <w:pStyle w:val="Heading1"/>
      </w:pPr>
      <w:r>
        <w:t>Aufgenommen am 18.08.2026</w:t>
      </w:r>
    </w:p>
    <w:p>
      <w:pPr>
        <w:pStyle w:val="Heading2"/>
      </w:pPr>
      <w:r>
        <w:t>Genomische Testung in der Nephrologie: Mainstreaming als effektives Versorgungsmodell</w:t>
      </w:r>
    </w:p>
    <w:p>
      <w:r>
        <w:rPr>
          <w:i/>
          <w:color w:val="666666"/>
          <w:sz w:val="18"/>
        </w:rPr>
        <w:t>Jayasinghe K et al.  ·  Clin J Am Soc Nephrol  ·  17.08.2026  ·  PMID 42606900</w:t>
      </w:r>
    </w:p>
    <w:p>
      <w:r>
        <w:t>Beobachtungsstudie an vier Zentren zur Evaluierung eines "hub and spoke"-Modells für genomische Testung bei Nierenkrankheiten mit Schulung niedergelassener Nephrologen.</w:t>
      </w:r>
    </w:p>
    <w:p>
      <w:r>
        <w:rPr>
          <w:b/>
        </w:rPr>
        <w:t xml:space="preserve">Ergebnis: </w:t>
      </w:r>
      <w:r>
        <w:t>1.028 genomische Tests wurden durchgeführt (diagnostische Ausbeute 34%); ähnlich erfolgreich in Zentren (32%) und bei lokalen Nephrologen (38%). Der Anteil der Tests in Mainstream-Nephrologie-Settings stieg von 23% auf 74%, während die Absolutzahlen in Spezialkliniken stabil blieben.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Australische Daten, aber Implementierungsrahmen systemunabhängig auf deutsches Versorgungssystem übertragbar</w:t>
      </w:r>
    </w:p>
    <w:p>
      <w:r>
        <w:rPr>
          <w:color w:val="5A7D3A"/>
          <w:sz w:val="18"/>
        </w:rPr>
        <w:t>https://pubmed.ncbi.nlm.nih.gov/42606900/</w:t>
      </w:r>
    </w:p>
    <w:p>
      <w:pPr>
        <w:pStyle w:val="Heading2"/>
      </w:pPr>
      <w:r>
        <w:t>Sicherheit von Antikonvulsiva unter direkten oralen Antikoagulanzien bei Epilepsie</w:t>
      </w:r>
    </w:p>
    <w:p>
      <w:r>
        <w:rPr>
          <w:i/>
          <w:color w:val="666666"/>
          <w:sz w:val="18"/>
        </w:rPr>
        <w:t>Schubert KM et al.  ·  JAMA Neurol  ·  17.08.2026  ·  PMID 42606848</w:t>
      </w:r>
    </w:p>
    <w:p>
      <w:r>
        <w:t>Retrospektive Kohortenstudie mit TriNetX-Daten zu Thromboembolie-, Blutungs- und Mortalitätsrisiken verschiedener Antikonvulsiva bei Epilepsiepatienten unter DOAC-Therapie.</w:t>
      </w:r>
    </w:p>
    <w:p>
      <w:r>
        <w:rPr>
          <w:b/>
        </w:rPr>
        <w:t xml:space="preserve">Ergebnis: </w:t>
      </w:r>
      <w:r>
        <w:t>Levetiracetam war mit erhöhtem thromboembolischem Risiko assoziiert (HR 1,98; 95% CI 1,37–2,87) und höherer Mortalität (HR 1,60; 95% CI 1,23–2,08). Starke Enzym-induzierende ASMs zeigten erhöhtes thromboembolisches Risiko (HR 1,55), aber niedrigere Blutungsrate (HR 0,62).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TriNetX-Daten, Arzneisicherheit-Fragestellung systemunabhängig relevant</w:t>
      </w:r>
    </w:p>
    <w:p>
      <w:r>
        <w:rPr>
          <w:color w:val="5A7D3A"/>
          <w:sz w:val="18"/>
        </w:rPr>
        <w:t>https://pubmed.ncbi.nlm.nih.gov/42606848/</w:t>
      </w:r>
    </w:p>
    <w:p>
      <w:pPr>
        <w:pStyle w:val="Heading1"/>
      </w:pPr>
      <w:r>
        <w:t>Aufgenommen am 17.08.2026</w:t>
      </w:r>
    </w:p>
    <w:p>
      <w:pPr>
        <w:pStyle w:val="Heading2"/>
      </w:pPr>
      <w:r>
        <w:t>Expansion von Telehealth-Regelungen in US-Medicaid-Programmen 2018–2023: Legal-Mapping-Studie</w:t>
      </w:r>
    </w:p>
    <w:p>
      <w:r>
        <w:rPr>
          <w:i/>
          <w:color w:val="666666"/>
          <w:sz w:val="18"/>
        </w:rPr>
        <w:t>Leung LB et al.  ·  Milbank Q  ·  16.08.2026  ·  PMID 42604452</w:t>
      </w:r>
    </w:p>
    <w:p>
      <w:r>
        <w:t>50-Staaten-Analyse zur Adoption von Telehealth-Richtlinien in Medicaid-Programmen und deren mögliche Einflussfaktoren.</w:t>
      </w:r>
    </w:p>
    <w:p>
      <w:r>
        <w:rPr>
          <w:b/>
        </w:rPr>
        <w:t xml:space="preserve">Ergebnis: </w:t>
      </w:r>
      <w:r>
        <w:t>Durchschnittlich 2,7 Telehealth-Richtlinien je Bundesstaat (SD 1,4); Audiotelefonie in 43 Staaten eingeführt; schnellste Adoption 2020–2021; Adoption unabhängig von Ländlichkeit, Fachkräftemangel, Medicaid-Expansion oder Internetverfügbarkeit (alle p ≥ 0,07).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Nur bedingt: US-Medicaid-System, Fragestellung aber systemunabhängig</w:t>
      </w:r>
    </w:p>
    <w:p>
      <w:r>
        <w:rPr>
          <w:color w:val="5A7D3A"/>
          <w:sz w:val="18"/>
        </w:rPr>
        <w:t>https://pubmed.ncbi.nlm.nih.gov/42604452/</w:t>
      </w:r>
    </w:p>
    <w:p>
      <w:pPr>
        <w:pStyle w:val="Heading2"/>
      </w:pPr>
      <w:r>
        <w:t>Reale Effektivität und Sicherheit von Lebrikizumab bei atopischer Dermatitis: TREATgermany-Registerdaten</w:t>
      </w:r>
    </w:p>
    <w:p>
      <w:r>
        <w:rPr>
          <w:i/>
          <w:color w:val="666666"/>
          <w:sz w:val="18"/>
        </w:rPr>
        <w:t>Kind B et al.  ·  Acta Derm Venereol  ·  13.08.2026  ·  PMID 42593155</w:t>
      </w:r>
    </w:p>
    <w:p>
      <w:r>
        <w:t>Prospektive Evaluierung von Lebrikizumab (IL-13-Inhibitor) bei atopischer Dermatitis in deutschen Dermatologie-Praxen mit Effectiveness-Daten zur Routineversorgung.</w:t>
      </w:r>
    </w:p>
    <w:p>
      <w:r>
        <w:rPr>
          <w:b/>
        </w:rPr>
        <w:t xml:space="preserve">Ergebnis: </w:t>
      </w:r>
      <w:r>
        <w:t>80 Patienten mit Follow-up; EASI-Score sank von Baseline 14,8 auf 5,6 (Monat 3) und 3,0 (Monat 6); PP-NRS von 6,6 auf 3,8 und 3,4; DLQI von 11,9 auf 4,9 und 4,8; Nebenwirkungen bei 26,6 % (Konjunktivitis 20,3 %); EASI-75 in Kohorte mit EASI≥16 bei 60 % (M3) und 70 % (M6).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 (TREATgermany-Registry)</w:t>
      </w:r>
    </w:p>
    <w:p>
      <w:r>
        <w:rPr>
          <w:color w:val="5A7D3A"/>
          <w:sz w:val="18"/>
        </w:rPr>
        <w:t>https://pubmed.ncbi.nlm.nih.gov/42593155/</w:t>
      </w:r>
    </w:p>
    <w:p>
      <w:pPr>
        <w:pStyle w:val="Heading2"/>
      </w:pPr>
      <w:r>
        <w:t>Mortalität von Hirntumor-Patienten in zertifizierten Onkologiezentren versus Nicht-Zentren: Deutschland</w:t>
      </w:r>
    </w:p>
    <w:p>
      <w:r>
        <w:rPr>
          <w:i/>
          <w:color w:val="666666"/>
          <w:sz w:val="18"/>
        </w:rPr>
        <w:t>Seliger C et al.  ·  Cancer Treat Res Commun  ·  11.08.2026  ·  PMID 42580197</w:t>
      </w:r>
    </w:p>
    <w:p>
      <w:r>
        <w:t>Kohortenstudie mit 62.735 GKV-Patienten und 5.196 Patienten aus klinischen Krebsregistern zu Überleben nach Behandlung in zertifizierten vs. nicht-zertifizierten Krankenhäusern.</w:t>
      </w:r>
    </w:p>
    <w:p>
      <w:r>
        <w:rPr>
          <w:b/>
        </w:rPr>
        <w:t xml:space="preserve">Ergebnis: </w:t>
      </w:r>
      <w:r>
        <w:t>91,9 % der SHI-Patienten nicht in neuro-onkologischen Zentren behandelt; adjustierte Cox-Regression zeigte verbessertes Gesamtüberleben in zertifizierten Zentren (HR SHI 0,93, 95%-KI 0,86–1,00; HR KKR 0,84, 95%-KI 0,76–0,93); ältere Patienten und höhere WHO-Grade profilierten besonders.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Routinedaten, gesetzlich Versicherte + Krebsregister</w:t>
      </w:r>
    </w:p>
    <w:p>
      <w:r>
        <w:rPr>
          <w:color w:val="5A7D3A"/>
          <w:sz w:val="18"/>
        </w:rPr>
        <w:t>https://pubmed.ncbi.nlm.nih.gov/42580197/</w:t>
      </w:r>
    </w:p>
    <w:p>
      <w:pPr>
        <w:pStyle w:val="Heading1"/>
      </w:pPr>
      <w:r>
        <w:t>Aufgenommen am 16.08.2026</w:t>
      </w:r>
    </w:p>
    <w:p>
      <w:pPr>
        <w:pStyle w:val="Heading2"/>
      </w:pPr>
      <w:r>
        <w:t>Arbeitsbedingungen und psychische Gesundheit bei Ärztinnen und Ärzten sowie Pflegekräften in der EU: Querschnittsstudie</w:t>
      </w:r>
    </w:p>
    <w:p>
      <w:r>
        <w:rPr>
          <w:i/>
          <w:color w:val="666666"/>
          <w:sz w:val="18"/>
        </w:rPr>
        <w:t>Mediavilla R et al.  ·  Lancet Reg Health Eur  ·  08.08.2026  ·  PMID 42604020</w:t>
      </w:r>
    </w:p>
    <w:p>
      <w:r>
        <w:t>Die Studie untersuchte Zusammenhänge zwischen Arbeitsbedingungen und psychischer Gesundheit bei 90.171 Gesundheitsberuflern aus 28 EU-Staaten, Island und Norwegen im Zeitraum Oktober 2024 bis April 2025.</w:t>
      </w:r>
    </w:p>
    <w:p>
      <w:r>
        <w:rPr>
          <w:b/>
        </w:rPr>
        <w:t xml:space="preserve">Ergebnis: </w:t>
      </w:r>
      <w:r>
        <w:t>30% zeigten depressive Symptome, 23% Angstsymptome, 13% suizidale Gedanken. Physische Gewalt betraf 10% der Ärzte und 18% der Pflegekräfte. Ungünstige Arbeitsbedingungen korreliertten mit schlechterer psychischer Gesundheit (adjustierte Prävalenzratios 0,98-1,94), während Jobressourcen positive Effekte zeigten (PR 1,06-0,56).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Daten, systemisch vergleichbar mit Deutschland</w:t>
      </w:r>
    </w:p>
    <w:p>
      <w:r>
        <w:rPr>
          <w:color w:val="5A7D3A"/>
          <w:sz w:val="18"/>
        </w:rPr>
        <w:t>https://pubmed.ncbi.nlm.nih.gov/42604020/</w:t>
      </w:r>
    </w:p>
    <w:p>
      <w:pPr>
        <w:pStyle w:val="Heading2"/>
      </w:pPr>
      <w:r>
        <w:t>Tage zu Hause nach Herzinsuffizienzspitalisierung in Singapur: Trends und Equity 2011-2019</w:t>
      </w:r>
    </w:p>
    <w:p>
      <w:r>
        <w:rPr>
          <w:i/>
          <w:color w:val="666666"/>
          <w:sz w:val="18"/>
        </w:rPr>
        <w:t>Liu S et al.  ·  Circ Popul Health Outcomes  ·  14.08.2026  ·  PMID 42596879</w:t>
      </w:r>
    </w:p>
    <w:p>
      <w:r>
        <w:t>Die Studie untersuchte zeitliche Trends in Days Alive and Out of Hospital (DAOH) nach erster Hospitalisierung wegen Herzinsuffizienz mit reduzierter Auswurffraktion und prüfte Unterschiede zwischen Altersgruppen, Geschlecht und Ethnizität.</w:t>
      </w:r>
    </w:p>
    <w:p>
      <w:r>
        <w:rPr>
          <w:b/>
        </w:rPr>
        <w:t xml:space="preserve">Ergebnis: </w:t>
      </w:r>
      <w:r>
        <w:t>Von 10.147 Patienten (Medianalter 68,9 Jahre; 31,5% weiblich) verbesserte sich die 1-Jahres-DAOH von 291,7 auf 301,0 Tage (1,16 Tage pro Jahr; p&lt;0,001), während 30-Tage-DAOH stabil blieb (p=0,554). Die Rückgangsraten bei herzinsuffizienzbedingten Readmissionen waren bei Männern steiler als bei Frauen. 1-Jahres-DAOH-Gewinne waren bei Patienten malaiischer Abstammung größer als bei chinesischen Patienten.</w:t>
      </w:r>
    </w:p>
    <w:p>
      <w:r>
        <w:rPr>
          <w:color w:val="5A7D3A"/>
          <w:sz w:val="18"/>
        </w:rPr>
        <w:t>https://pubmed.ncbi.nlm.nih.gov/42596879/</w:t>
      </w:r>
    </w:p>
    <w:p>
      <w:pPr>
        <w:pStyle w:val="Heading2"/>
      </w:pPr>
      <w:r>
        <w:t>Chirurgische Therapie bei Pankreaskarzinom im Alter ≥80 Jahren: Nutzen-Risiko-Analyse</w:t>
      </w:r>
    </w:p>
    <w:p>
      <w:r>
        <w:rPr>
          <w:i/>
          <w:color w:val="666666"/>
          <w:sz w:val="18"/>
        </w:rPr>
        <w:t>von Fritsch L et al.  ·  Cancers (Basel)  ·  28.07.2026  ·  PMID 42588642</w:t>
      </w:r>
    </w:p>
    <w:p>
      <w:r>
        <w:t>Vergleichende Analyse von 3016 Pankreaskarzinom-Patienten (≤65 Jahre: n=944; 66-79 Jahre: n=1535; ≥80 Jahre: n=537) aus deutschen Krebsregistern 2015-2023 bezüglich Behandlungsmuster und Überleben.</w:t>
      </w:r>
    </w:p>
    <w:p>
      <w:r>
        <w:rPr>
          <w:b/>
        </w:rPr>
        <w:t xml:space="preserve">Ergebnis: </w:t>
      </w:r>
      <w:r>
        <w:t>Anteil Patienten ≥80 Jahre stieg von 15% (2015) auf 32% (2023). 24% der operierten Oktogenare erhielten adjuvante Chemotherapie. Overall Survival und disease-free Survival waren schlechter als in jüngeren Kohorten. Oktogenare mit alleiniger Operation oder Chemotherapie hatten vergleichbare Überlebensraten wie palliativ behandelte Patienten.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Krebsregisterdaten, gesetzlich Versicherte</w:t>
      </w:r>
    </w:p>
    <w:p>
      <w:r>
        <w:rPr>
          <w:color w:val="5A7D3A"/>
          <w:sz w:val="18"/>
        </w:rPr>
        <w:t>https://pubmed.ncbi.nlm.nih.gov/42588642/</w:t>
      </w:r>
    </w:p>
    <w:p>
      <w:pPr>
        <w:pStyle w:val="Heading2"/>
      </w:pPr>
      <w:r>
        <w:t>Erlebte integrierte Versorgung für Kinder mit Sonderbedarf in Deutschland: PART-CHILD-Kohortenstudie</w:t>
      </w:r>
    </w:p>
    <w:p>
      <w:r>
        <w:rPr>
          <w:i/>
          <w:color w:val="666666"/>
          <w:sz w:val="18"/>
        </w:rPr>
        <w:t>Bohnert K et al.  ·  BMC Health Serv Res  ·  08.08.2026  ·  PMID 42576220</w:t>
      </w:r>
    </w:p>
    <w:p>
      <w:r>
        <w:t>Querschnittsanalyse von 459 Betreuungspersonen von Kindern mit Sonderbedarf zu ihrer Erfahrung mit integrierten Versorgungsangeboten und Zusammenhänge mit soziodemografischen, gesundheits- und netzwerkbezogenen Faktoren.</w:t>
      </w:r>
    </w:p>
    <w:p>
      <w:r>
        <w:rPr>
          <w:b/>
        </w:rPr>
        <w:t xml:space="preserve">Ergebnis: </w:t>
      </w:r>
      <w:r>
        <w:t>Durchschnittliche Bewertung Teamqualität/Kommunikation 4,1±1,1 (Skala bis 9), Aufmerksamkeit für Familienbelastung 2,3±1,1. Höhere unmet needs assoziiert mit niedrigerer Teamqualität (≥5 unmet needs: β=-0,83; 95%-KI -1,28 bis -0,38). Größere Versorgungsnetzwerke (6-10 Anbieter) positiv mit Familienaufmerksamkeit (β=0,38; 95%-KI 0,07-0,70).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Daten, gesetzlich versicherte Bevölkerung</w:t>
      </w:r>
    </w:p>
    <w:p>
      <w:r>
        <w:rPr>
          <w:color w:val="5A7D3A"/>
          <w:sz w:val="18"/>
        </w:rPr>
        <w:t>https://pubmed.ncbi.nlm.nih.gov/42576220/</w:t>
      </w:r>
    </w:p>
    <w:p>
      <w:pPr>
        <w:pStyle w:val="Heading1"/>
      </w:pPr>
      <w:r>
        <w:t>Aufgenommen am 15.08.2026</w:t>
      </w:r>
    </w:p>
    <w:p>
      <w:pPr>
        <w:pStyle w:val="Heading2"/>
      </w:pPr>
      <w:r>
        <w:t>Elektrische Kardioversion bei Vorhofflimmern: nationale Trends in Dänemark 2010-2022</w:t>
      </w:r>
    </w:p>
    <w:p>
      <w:r>
        <w:rPr>
          <w:i/>
          <w:color w:val="666666"/>
          <w:sz w:val="18"/>
        </w:rPr>
        <w:t>Frost L et al.  ·  Open Heart  ·  14.08.2026  ·  PMID 42601168</w:t>
      </w:r>
    </w:p>
    <w:p>
      <w:r>
        <w:t>Die Studie untersuchte zeitliche Trends in der Nutzung von elektrischer Kardioversion bei Patienten mit Vorhofflimmern in Dänemark über 12 Jahre.</w:t>
      </w:r>
    </w:p>
    <w:p>
      <w:r>
        <w:rPr>
          <w:b/>
        </w:rPr>
        <w:t xml:space="preserve">Ergebnis: </w:t>
      </w:r>
      <w:r>
        <w:t>Die Gesamtzahl der Kardioversionen pro Jahr stieg von 2204 (2010) auf 8300 (2022) um das Vierfache; die altersadjustierte und geschlechterstandardisierte Rate sank jedoch von 449,5 auf 316,6 pro 1000 Personenjahre im ersten Jahr nach Diagnose, was auf eine gezieltere Einsatzweise hindeutet.</w:t>
      </w:r>
    </w:p>
    <w:p>
      <w:r>
        <w:rPr>
          <w:color w:val="5A7D3A"/>
          <w:sz w:val="18"/>
        </w:rPr>
        <w:t>https://pubmed.ncbi.nlm.nih.gov/42601168/</w:t>
      </w:r>
    </w:p>
    <w:p>
      <w:pPr>
        <w:pStyle w:val="Heading2"/>
      </w:pPr>
      <w:r>
        <w:t>Machbarkeit von S-Patch versus 24-Stunden-Holter bei älteren Erwachsenen mit Stürzen: randomisierte Crossover-Pilotstudie</w:t>
      </w:r>
    </w:p>
    <w:p>
      <w:r>
        <w:rPr>
          <w:i/>
          <w:color w:val="666666"/>
          <w:sz w:val="18"/>
        </w:rPr>
        <w:t>Rosario B et al.  ·  JMIR Rehabil Assist Technol  ·  14.08.2026  ·  PMID 42600137</w:t>
      </w:r>
    </w:p>
    <w:p>
      <w:r>
        <w:t>Die Studie verglich Machbarkeit, Verträglichkeit und Adhärenz eines neuen tragbaren EKG-Geräts (S-Patch) mit Standard-Holter-Monitoring bei älteren Patienten mit Sturzrisiko.</w:t>
      </w:r>
    </w:p>
    <w:p>
      <w:r>
        <w:rPr>
          <w:b/>
        </w:rPr>
        <w:t xml:space="preserve">Ergebnis: </w:t>
      </w:r>
      <w:r>
        <w:t>Bei 70 Patienten (45,7% mit kognitiver Beeinträchtigung) zeigte S-Patch längere durchschnittliche Tragedauer (&gt;60 Stunden, signifikant länger wenn zuerst angewendet: 68,8 vs. 62,9 Stunden; p=0,04) mit vergleichbaren Arrhythmie-Erkennungsraten und guter Verträglichkeit auch bei kognitiv beeinträchtigten Patienten.</w:t>
      </w:r>
    </w:p>
    <w:p>
      <w:r>
        <w:rPr>
          <w:color w:val="5A7D3A"/>
          <w:sz w:val="18"/>
        </w:rPr>
        <w:t>https://pubmed.ncbi.nlm.nih.gov/42600137/</w:t>
      </w:r>
    </w:p>
    <w:p>
      <w:pPr>
        <w:pStyle w:val="Heading2"/>
      </w:pPr>
      <w:r>
        <w:t>Entwicklung konsensbasierter Sicherheits- und Qualitäsindikatoren für sicheren Opioid-Einsatz in Krankenhäusern mittels modifizierter Delphi-Methode</w:t>
      </w:r>
    </w:p>
    <w:p>
      <w:r>
        <w:rPr>
          <w:i/>
          <w:color w:val="666666"/>
          <w:sz w:val="18"/>
        </w:rPr>
        <w:t>Mutashar A et al.  ·  Int J Qual Health Care  ·  14.08.2026  ·  PMID 42599219</w:t>
      </w:r>
    </w:p>
    <w:p>
      <w:r>
        <w:t>Die Studie entwickelte einen Katalog von Indikatoren zur Überwachung der Sicherheit und Qualität des Opioid-Einsatzes in australischen Krankenhäusern durch ein multidisziplinäres Expertengremium.</w:t>
      </w:r>
    </w:p>
    <w:p>
      <w:r>
        <w:rPr>
          <w:b/>
        </w:rPr>
        <w:t xml:space="preserve">Ergebnis: </w:t>
      </w:r>
      <w:r>
        <w:t>Von 34 bewerteten Indikatoren erreichten 17 Konsens für Wichtigkeit und Durchführbarkeit (Antwortquoten: Round 1 91%, Treffen 50%, Round 2 77%), was ein praktikables Werkzeug zur Verbesserung der Opioid-Medikamentensicherheit ermöglicht.</w:t>
      </w:r>
    </w:p>
    <w:p>
      <w:r>
        <w:rPr>
          <w:color w:val="5A7D3A"/>
          <w:sz w:val="18"/>
        </w:rPr>
        <w:t>https://pubmed.ncbi.nlm.nih.gov/42599219/</w:t>
      </w:r>
    </w:p>
    <w:p>
      <w:pPr>
        <w:pStyle w:val="Heading2"/>
      </w:pPr>
      <w:r>
        <w:t>Inzidenz, Ätiologien und Überlebensoutcomes von pädiatrischen außerklinischen Herzstillständen in Singapur</w:t>
      </w:r>
    </w:p>
    <w:p>
      <w:r>
        <w:rPr>
          <w:i/>
          <w:color w:val="666666"/>
          <w:sz w:val="18"/>
        </w:rPr>
        <w:t>Chee DS et al.  ·  Resusc Plus  ·  22.07.2026  ·  PMID 42598112</w:t>
      </w:r>
    </w:p>
    <w:p>
      <w:r>
        <w:t>Die Studie beschrieb Inzidenz, Ursachen und Überlebensraten von Herzstillständen bei Kindern in Singapur von 2010-2021 mittels der PAROS-Registry.</w:t>
      </w:r>
    </w:p>
    <w:p>
      <w:r>
        <w:rPr>
          <w:b/>
        </w:rPr>
        <w:t xml:space="preserve">Ergebnis: </w:t>
      </w:r>
      <w:r>
        <w:t>Von 414 Patienten betrug die Gesamtinzidenz 4,62 pro 100.000 Personenjahre (höchste Rate bei Säuglingen &lt;1 Jahr: 33,5 pro 100.000), Bystander-CPR-Rate 64,5%, häufigste Ursachen Atemwegsobstruktion (21%), Ertrinken (20,2%) und Trauma (18,5%); 30-Tage-Überlebensrate 11,1%, gutes neurologisches Ergebnis (CPC 1-2) 8,0% mit Verbesserung 2019-2021 (aOR 4,34; 95% CI 1,09-17,22; p=0,037).</w:t>
      </w:r>
    </w:p>
    <w:p>
      <w:r>
        <w:rPr>
          <w:color w:val="5A7D3A"/>
          <w:sz w:val="18"/>
        </w:rPr>
        <w:t>https://pubmed.ncbi.nlm.nih.gov/42598112/</w:t>
      </w:r>
    </w:p>
    <w:p>
      <w:pPr>
        <w:pStyle w:val="Heading2"/>
      </w:pPr>
      <w:r>
        <w:t>Rolle von Life's Essential 8 in der Assoziation von Nachtschichtarbeit mit kardiovaskulären Erkrankungen: prospektive UK-Biobank-Kohorte</w:t>
      </w:r>
    </w:p>
    <w:p>
      <w:r>
        <w:rPr>
          <w:i/>
          <w:color w:val="666666"/>
          <w:sz w:val="18"/>
        </w:rPr>
        <w:t>Huang Y et al.  ·  J Glob Health  ·  14.08.2026  ·  PMID 42596889</w:t>
      </w:r>
    </w:p>
    <w:p>
      <w:r>
        <w:t>Die Studie untersuchte die Assoziation zwischen Nachtschichtarbeit und kardiovaskulären Erkrankungen sowie die vermittelnde Rolle des Life's Essential 8-Lebensstilscores bei 131.844 Erwerbstätigen.</w:t>
      </w:r>
    </w:p>
    <w:p>
      <w:r>
        <w:rPr>
          <w:b/>
        </w:rPr>
        <w:t xml:space="preserve">Ergebnis: </w:t>
      </w:r>
      <w:r>
        <w:t>Über einen Median-Follow-up von 13,78 Jahren entwickelten 29,7% kardiovaskuläre Erkrankungen und 4,2% starben; Patienten mit permanenten Nachtschichten hatten erhöhtes Risiko für kardiovaskuläre Erkrankungen (HR=1,24; 95% CI 1,18-1,31), Gesamtmortalität (HR=1,23; 95% CI 1,07-1,41) und Myokardinfarkt (HR=1,29; 95% CI 1,09-1,51); Life's Essential 8 vermittelte 39,2% der kardiovaskulären Assoziation und 33,1% der Mortalität.</w:t>
      </w:r>
    </w:p>
    <w:p>
      <w:r>
        <w:rPr>
          <w:color w:val="5A7D3A"/>
          <w:sz w:val="18"/>
        </w:rPr>
        <w:t>https://pubmed.ncbi.nlm.nih.gov/42596889/</w:t>
      </w:r>
    </w:p>
    <w:p>
      <w:pPr>
        <w:pStyle w:val="Heading2"/>
      </w:pPr>
      <w:r>
        <w:t>Implementierung eines umfassenden Sichelzellzentrums führt zu verbessertem Zugang und reduzierter Notfallversorgung</w:t>
      </w:r>
    </w:p>
    <w:p>
      <w:r>
        <w:rPr>
          <w:i/>
          <w:color w:val="666666"/>
          <w:sz w:val="18"/>
        </w:rPr>
        <w:t>Kanter J et al.  ·  BMC Health Serv Res  ·  24.07.2026  ·  PMID 42596005</w:t>
      </w:r>
    </w:p>
    <w:p>
      <w:r>
        <w:t>Die Studie evaluierte die Auswirkungen der Implementierung eines multidisziplinären erwachsenen Sichelzellzentrums auf Ambulanznutzung und Notfallverlagerung in Alabama.</w:t>
      </w:r>
    </w:p>
    <w:p>
      <w:r>
        <w:rPr>
          <w:b/>
        </w:rPr>
        <w:t xml:space="preserve">Ergebnis: </w:t>
      </w:r>
      <w:r>
        <w:t>Die ambulante Klinikpopulation wuchs um mehr als das Dreifache auf 810 Patienten (2024), Infusions-Therapiebesuche stiegen um das Fünfzehnfache; durchschnittliche acute-care-Besuche pro Person/Jahr sanken signifikant von 2,11 auf 1,26 (p&lt;0,001), während routinemäßige ambulante Besuche von 2,65 auf 5,32 stiegen.</w:t>
      </w:r>
    </w:p>
    <w:p>
      <w:r>
        <w:rPr>
          <w:color w:val="5A7D3A"/>
          <w:sz w:val="18"/>
        </w:rPr>
        <w:t>https://pubmed.ncbi.nlm.nih.gov/42596005/</w:t>
      </w:r>
    </w:p>
    <w:p>
      <w:pPr>
        <w:pStyle w:val="Heading1"/>
      </w:pPr>
      <w:r>
        <w:t>Aufgenommen am 14.08.2026</w:t>
      </w:r>
    </w:p>
    <w:p>
      <w:pPr>
        <w:pStyle w:val="Heading2"/>
      </w:pPr>
      <w:r>
        <w:t>Dokumentationslücke bei eingeschränkter Gelenkbeweglichkeit in Pflegeheimen</w:t>
      </w:r>
    </w:p>
    <w:p>
      <w:r>
        <w:rPr>
          <w:i/>
          <w:color w:val="666666"/>
          <w:sz w:val="18"/>
        </w:rPr>
        <w:t>Austen S et al.  ·  J Am Med Dir Assoc  ·  13.08.2026  ·  PMID 42594509</w:t>
      </w:r>
    </w:p>
    <w:p>
      <w:r>
        <w:t>Die Studie untersuchte die Dokumentation von Gelenkbewegungseinschränkungen und schmerzenden Gelenken bei Pflegeheimbewohnern im Vergleich zur standardisierten klinischen Untersuchung.</w:t>
      </w:r>
    </w:p>
    <w:p>
      <w:r>
        <w:rPr>
          <w:b/>
        </w:rPr>
        <w:t xml:space="preserve">Ergebnis: </w:t>
      </w:r>
      <w:r>
        <w:t>Bei 69% der Bewohner wurde eine eingeschränkte Gelenkbeweglichkeit festgestellt, aber nur in 4% der Fälle dokumentiert. Die Hüftbeweglichkeit war in 51% der Fälle limitiert, wurde aber in keinem Fall dokumentiert. Bewohner mit nicht dokumentierten Bewegungseinschränkungen zeigten signifikant höhere funktionelle Abhängigkeit beim Umlagern (p &lt; 0,001).</w:t>
      </w:r>
    </w:p>
    <w:p>
      <w:r>
        <w:rPr>
          <w:color w:val="5A7D3A"/>
          <w:sz w:val="18"/>
        </w:rPr>
        <w:t>https://pubmed.ncbi.nlm.nih.gov/42594509/</w:t>
      </w:r>
    </w:p>
    <w:p>
      <w:pPr>
        <w:pStyle w:val="Heading2"/>
      </w:pPr>
      <w:r>
        <w:t>Emotionale Belastung durch Alarme bei Diabetes-Technologien</w:t>
      </w:r>
    </w:p>
    <w:p>
      <w:r>
        <w:rPr>
          <w:i/>
          <w:color w:val="666666"/>
          <w:sz w:val="18"/>
        </w:rPr>
        <w:t>Everett E et al.  ·  JMIR Diabetes  ·  13.08.2026  ·  PMID 42594259</w:t>
      </w:r>
    </w:p>
    <w:p>
      <w:r>
        <w:t>Die Studie verglich die Alarmhäufigkeit, emotionale Belastung und Verhaltensreaktionen auf Alarme zwischen Nutzern von kontinuierlichen Glukosemessgeräten, sensorunterstützten Pumpen und automatisierten Insulinabgabesystemen.</w:t>
      </w:r>
    </w:p>
    <w:p>
      <w:r>
        <w:rPr>
          <w:b/>
        </w:rPr>
        <w:t xml:space="preserve">Ergebnis: </w:t>
      </w:r>
      <w:r>
        <w:t>Von 838 Befragten berichteten Nutzer von automatisierten Systemen die höchste Alarmfrequenz (49% mehrmals täglich vs. 35% bzw. 32% in anderen Gruppen, p &lt; 0,001). Nach Adjustment zeigte sich ein erhöhtes Risiko für häufige Alarme (OR 1,98, 95% KI 1,48–2,65) und Überkorrektionen bei niedriger Glukose (OR 1,61, 95% KI 1,20–2,15) bei automatisierten Systemen.</w:t>
      </w:r>
    </w:p>
    <w:p>
      <w:r>
        <w:rPr>
          <w:color w:val="5A7D3A"/>
          <w:sz w:val="18"/>
        </w:rPr>
        <w:t>https://pubmed.ncbi.nlm.nih.gov/42594259/</w:t>
      </w:r>
    </w:p>
    <w:p>
      <w:pPr>
        <w:pStyle w:val="Heading2"/>
      </w:pPr>
      <w:r>
        <w:t>Chronic Kidney Disease Care Model zur Verbesserung von Patientenergebnissen</w:t>
      </w:r>
    </w:p>
    <w:p>
      <w:r>
        <w:rPr>
          <w:i/>
          <w:color w:val="666666"/>
          <w:sz w:val="18"/>
        </w:rPr>
        <w:t>Briggs AH et al.  ·  Pharmacoecon Open  ·  13.08.2026  ·  PMID 42593670</w:t>
      </w:r>
    </w:p>
    <w:p>
      <w:r>
        <w:t>Die Studie beschreibt ein Entscheidungsmodell zur Quantifizierung von Managementstrategien bei chronischer Nierenerkrankung und deren Kosteneffektivität in den USA.</w:t>
      </w:r>
    </w:p>
    <w:p>
      <w:r>
        <w:rPr>
          <w:b/>
        </w:rPr>
        <w:t xml:space="preserve">Ergebnis: </w:t>
      </w:r>
      <w:r>
        <w:t>Unter Standardbehandlung werden 15% der Patienten von Ursachen unabhängig von Nierenerkrankung sterben (nach durchschnittlich 12 Jahren). Mit optimierter Behandlung erhöht sich dieser Anteil auf 20% (nach 14 Jahren). Leitliniengerechte Behandlung ohne Verzögerung führt zu 0,68 QALYs Lebenszeitgewinn bei Kosten von 47.800 USD pro Patient.</w:t>
      </w:r>
    </w:p>
    <w:p>
      <w:r>
        <w:rPr>
          <w:color w:val="5A7D3A"/>
          <w:sz w:val="18"/>
        </w:rPr>
        <w:t>https://pubmed.ncbi.nlm.nih.gov/42593670/</w:t>
      </w:r>
    </w:p>
    <w:p>
      <w:pPr>
        <w:pStyle w:val="Heading2"/>
      </w:pPr>
      <w:r>
        <w:t>Algorithmen zur Identifikation klinisch beabsichtigter Medikamentenabsetzungen</w:t>
      </w:r>
    </w:p>
    <w:p>
      <w:r>
        <w:rPr>
          <w:i/>
          <w:color w:val="666666"/>
          <w:sz w:val="18"/>
        </w:rPr>
        <w:t>Goodrich GK et al.  ·  Med Care  ·  13.08.2026  ·  PMID 42593400</w:t>
      </w:r>
    </w:p>
    <w:p>
      <w:r>
        <w:t>Die Studie entwickelte algorithmische Verfahren zur Identifikation absichtlicher Medikamentenabsetzungen mittels Textsuche und klinischen Daten für fünf Arzneimittelgruppen.</w:t>
      </w:r>
    </w:p>
    <w:p>
      <w:r>
        <w:rPr>
          <w:b/>
        </w:rPr>
        <w:t xml:space="preserve">Ergebnis: </w:t>
      </w:r>
      <w:r>
        <w:t>Für die Validierungsstichproben betrugen Sensitivität und Spezifität für den vollständigen Algorithmus: orale Antidiabetika 80% und 85% (n=467), Statine 75% und 95% (n=282), Antihypertensiva 82% und 75% (n=599), Blasen-Antimuscarinergika 77% und 80% (n=80), Antikoagulanzien 74% und 78% (n=160).</w:t>
      </w:r>
    </w:p>
    <w:p>
      <w:r>
        <w:rPr>
          <w:color w:val="5A7D3A"/>
          <w:sz w:val="18"/>
        </w:rPr>
        <w:t>https://pubmed.ncbi.nlm.nih.gov/42593400/</w:t>
      </w:r>
    </w:p>
    <w:p>
      <w:pPr>
        <w:pStyle w:val="Heading2"/>
      </w:pPr>
      <w:r>
        <w:t>Mechanisch beatmete Kinder in pädiatrischen vs. allgemeinen Intensivstationen in Japan</w:t>
      </w:r>
    </w:p>
    <w:p>
      <w:r>
        <w:rPr>
          <w:i/>
          <w:color w:val="666666"/>
          <w:sz w:val="18"/>
        </w:rPr>
        <w:t>Sakurai Y et al.  ·  Front Pediatr  ·  29.07.2026  ·  PMID 42591500</w:t>
      </w:r>
    </w:p>
    <w:p>
      <w:r>
        <w:t>Die Studie verglich klinische Ergebnisse mechanisch beatmeter Kinder in spezialisierten pädiatrischen Intensivstationen (PICU) versus allgemeinen Intensivstationen (GICU).</w:t>
      </w:r>
    </w:p>
    <w:p>
      <w:r>
        <w:rPr>
          <w:b/>
        </w:rPr>
        <w:t xml:space="preserve">Ergebnis: </w:t>
      </w:r>
      <w:r>
        <w:t>Von 48.106 Patienten wurden 36% auf PICUs behandelt. Nach Propensity-Score-Analyse zeigte PICU-Versorgung signifikant niedrigere Krankenhaussterblichkeit (2,73% vs. 3,42%; OR 0,79, 95% KI 0,69–0,91; p = 0,001), aber längere Gesamtaufenthalte (22,74 vs. 22,13 Tage; p &lt; 0,001).</w:t>
      </w:r>
    </w:p>
    <w:p>
      <w:r>
        <w:rPr>
          <w:color w:val="5A7D3A"/>
          <w:sz w:val="18"/>
        </w:rPr>
        <w:t>https://pubmed.ncbi.nlm.nih.gov/42591500/</w:t>
      </w:r>
    </w:p>
    <w:p>
      <w:pPr>
        <w:pStyle w:val="Heading1"/>
      </w:pPr>
      <w:r>
        <w:t>Aufgenommen am 13.08.2026</w:t>
      </w:r>
    </w:p>
    <w:p>
      <w:pPr>
        <w:pStyle w:val="Heading2"/>
      </w:pPr>
      <w:r>
        <w:t>Door-to-Balloon-Zeit, Komplikationen und Verweildauer bei STEMI</w:t>
      </w:r>
    </w:p>
    <w:p>
      <w:r>
        <w:rPr>
          <w:i/>
          <w:color w:val="666666"/>
          <w:sz w:val="18"/>
        </w:rPr>
        <w:t>Eid AbuRuz M et al.  ·  J Clin Med  ·  26.07.2026  ·  PMID 42589943</w:t>
      </w:r>
    </w:p>
    <w:p>
      <w:r>
        <w:t>Diese prospektive Beobachtungsstudie untersuchte, ob die Door-to-Balloon-Zeit (D2B) bei ST-Hebungs-Myokardinfarkt (STEMI) postoperative Komplikationen und Krankenhausverweildauer vorhersagt.</w:t>
      </w:r>
    </w:p>
    <w:p>
      <w:r>
        <w:rPr>
          <w:b/>
        </w:rPr>
        <w:t xml:space="preserve">Ergebnis: </w:t>
      </w:r>
      <w:r>
        <w:t>Eine verzögerte D2B-Zeit (≥2 h) war mit 2,22-fach erhöhtem Komplikationsrisiko assoziiert; jede zusätzliche Stunde Verzögerung führte zu 0,294 Tagen mehr Krankenhausaufenthalt. Ein Median D2B von 108 Minuten wurde beobachtet (IQR 65–395).</w:t>
      </w:r>
    </w:p>
    <w:p>
      <w:r>
        <w:rPr>
          <w:color w:val="5A7D3A"/>
          <w:sz w:val="18"/>
        </w:rPr>
        <w:t>https://pubmed.ncbi.nlm.nih.gov/42589943/</w:t>
      </w:r>
    </w:p>
    <w:p>
      <w:pPr>
        <w:pStyle w:val="Heading2"/>
      </w:pPr>
      <w:r>
        <w:t>Simulation der Effekte von Mindestfallzahl-Schwellenwerten auf die geografische Erreichbarkeit neurochirurgischer Kliniken in Deutschland</w:t>
      </w:r>
    </w:p>
    <w:p>
      <w:r>
        <w:rPr>
          <w:i/>
          <w:color w:val="666666"/>
          <w:sz w:val="18"/>
        </w:rPr>
        <w:t>Mayer S et al.  ·  Healthcare (Basel)  ·  06.08.2026  ·  PMID 42588405</w:t>
      </w:r>
    </w:p>
    <w:p>
      <w:r>
        <w:t>Diese Simulationsstudie untersuchte die Auswirkungen unterschiedlicher Mindestfallzahl-Schwellenwerte auf die geografische Erreichbarkeit neurochirurgischer Versorgung in Deutschland.</w:t>
      </w:r>
    </w:p>
    <w:p>
      <w:r>
        <w:rPr>
          <w:b/>
        </w:rPr>
        <w:t xml:space="preserve">Ergebnis: </w:t>
      </w:r>
      <w:r>
        <w:t>Basale Erreichbarkeit innerhalb 40 Minuten Fahrtzeit (A2N40) betrug 66,6 % der Fläche und 84,7 % der Bevölkerung. Eine Erhöhung um einen Perzentilpunkt der Fallzahl-Schwelle reduzierte A2N40 um durchschnittlich 0,70 Prozentpunkte, was etwa 305.000 zusätzliche Menschen betrifft.</w:t>
      </w:r>
    </w:p>
    <w:p>
      <w:r>
        <w:rPr>
          <w:color w:val="5A7D3A"/>
          <w:sz w:val="18"/>
        </w:rPr>
        <w:t>https://pubmed.ncbi.nlm.nih.gov/42588405/</w:t>
      </w:r>
    </w:p>
    <w:p>
      <w:pPr>
        <w:pStyle w:val="Heading2"/>
      </w:pPr>
      <w:r>
        <w:t>Evaluation eines Stärkenbasierten Resilienz-Programms auf Widerstandskraft, wahrgenommenen Stress und depressive Symptome bei Schülern in Thailand</w:t>
      </w:r>
    </w:p>
    <w:p>
      <w:r>
        <w:rPr>
          <w:i/>
          <w:color w:val="666666"/>
          <w:sz w:val="18"/>
        </w:rPr>
        <w:t>Na Nakorn S et al.  ·  Healthcare (Basel)  ·  01.08.2026  ·  PMID 42588304</w:t>
      </w:r>
    </w:p>
    <w:p>
      <w:r>
        <w:t>Diese quasi-experimentelle Single-Group-Studie evaluierte ein sechswöchiges Resilienz-Programm bei 26 sekundarschul-Schülern mit Messungen zu Baseline, direkt nach Intervention und nach einem Monat.</w:t>
      </w:r>
    </w:p>
    <w:p>
      <w:r>
        <w:rPr>
          <w:b/>
        </w:rPr>
        <w:t xml:space="preserve">Ergebnis: </w:t>
      </w:r>
      <w:r>
        <w:t>Resilienz stieg von M=64,00 (Baseline) auf M=76,46 (direkt post) und M=78,19 (ein Monat später; p&amp;lt;0,001, η²=0,752). Wahrgenommener Stress sank von M=20,62 auf M=13,04 und M=9,62 (p&amp;lt;0,001, η²=0,808). Depressive Symptome sanken von M=7,27 auf M=5,81 und M=4,88 (p&amp;lt;0,001, η²=0,371).</w:t>
      </w:r>
    </w:p>
    <w:p>
      <w:r>
        <w:rPr>
          <w:color w:val="5A7D3A"/>
          <w:sz w:val="18"/>
        </w:rPr>
        <w:t>https://pubmed.ncbi.nlm.nih.gov/42588304/</w:t>
      </w:r>
    </w:p>
    <w:p>
      <w:pPr>
        <w:pStyle w:val="Heading2"/>
      </w:pPr>
      <w:r>
        <w:t>Kürzere Verweildauer nach risikoarmem Kaiserschnitt</w:t>
      </w:r>
    </w:p>
    <w:p>
      <w:r>
        <w:rPr>
          <w:i/>
          <w:color w:val="666666"/>
          <w:sz w:val="18"/>
        </w:rPr>
        <w:t>Su WG et al.  ·  BMJ Open Qual  ·  12.08.2026  ·  PMID 42586586</w:t>
      </w:r>
    </w:p>
    <w:p>
      <w:r>
        <w:t>Qualitätsverbesserungsprojekt zur Entlassung am dritten Tag nach risikoarmem Kaiserschnitt.</w:t>
      </w:r>
    </w:p>
    <w:p>
      <w:r>
        <w:rPr>
          <w:b/>
        </w:rPr>
        <w:t xml:space="preserve">Ergebnis: </w:t>
      </w:r>
      <w:r>
        <w:t>Die Entlassungsrate am dritten Tag stieg von 80,0 % (n = 352) auf 84,5 % (n = 241), nach dem gebündelten Maßnahmenpaket von 83,3 % auf 92,5 %; geschätzte Einsparung 70.884 SGD. Standardisierte Abläufe verkürzen die Liegezeit ohne Qualitätsverlust.</w:t>
      </w:r>
    </w:p>
    <w:p>
      <w:r>
        <w:rPr>
          <w:color w:val="5A7D3A"/>
          <w:sz w:val="18"/>
        </w:rPr>
        <w:t>https://pubmed.ncbi.nlm.nih.gov/42586586/</w:t>
      </w:r>
    </w:p>
    <w:p>
      <w:pPr>
        <w:pStyle w:val="Heading2"/>
      </w:pPr>
      <w:r>
        <w:t>Entwicklung und Validierung des N-DROP-Scores zur Vorhersage der 30-Tage-Sterblichkeit bei Pflegeheim-assoziierten Pneumonien</w:t>
      </w:r>
    </w:p>
    <w:p>
      <w:r>
        <w:rPr>
          <w:i/>
          <w:color w:val="666666"/>
          <w:sz w:val="18"/>
        </w:rPr>
        <w:t>Taniguchi J et al.  ·  J Infect Chemother  ·  12.08.2026  ·  PMID 42586261</w:t>
      </w:r>
    </w:p>
    <w:p>
      <w:r>
        <w:t>Diese Studie entwickelte mittels LASSO-Regression ein verbessertes Modell zur Vorhersage der in-Hospital-Sterblichkeit bei Pflegeheim-assoziierten Pneumonien (NHCAP) basierend auf Faktoren jenseits des klassischen A-DROP-Scores.</w:t>
      </w:r>
    </w:p>
    <w:p>
      <w:r>
        <w:rPr>
          <w:b/>
        </w:rPr>
        <w:t xml:space="preserve">Ergebnis: </w:t>
      </w:r>
      <w:r>
        <w:t>Die 30-Tage-Sterblichkeit in 116.185 Patienten betrug 11,7 %. Der N-DROP-Score zeigte verbesserte Diskriminationsfähigkeit (C-Statistik 0,746; 95 % KI 0,734–0,757) gegenüber A-DROP (0,708; 95 % KI 0,695–0,720; p&amp;lt;0,001).</w:t>
      </w:r>
    </w:p>
    <w:p>
      <w:r>
        <w:rPr>
          <w:color w:val="5A7D3A"/>
          <w:sz w:val="18"/>
        </w:rPr>
        <w:t>https://pubmed.ncbi.nlm.nih.gov/42586261/</w:t>
      </w:r>
    </w:p>
    <w:p>
      <w:pPr>
        <w:pStyle w:val="Heading2"/>
      </w:pPr>
      <w:r>
        <w:t>Wertbasierte Vergütung in der Primärversorgung und Low-Value Care</w:t>
      </w:r>
    </w:p>
    <w:p>
      <w:r>
        <w:rPr>
          <w:i/>
          <w:color w:val="666666"/>
          <w:sz w:val="18"/>
        </w:rPr>
        <w:t>Izguttinov A et al.  ·  Health Serv Res  ·  Aug. 2026  ·  PMID 42584215</w:t>
      </w:r>
    </w:p>
    <w:p>
      <w:r>
        <w:t>Untersuchung, ob die Einführung wertbasierter Vergütung in Hausarztpraxen unnötige Leistungen reduziert.</w:t>
      </w:r>
    </w:p>
    <w:p>
      <w:r>
        <w:rPr>
          <w:b/>
        </w:rPr>
        <w:t xml:space="preserve">Ergebnis: </w:t>
      </w:r>
      <w:r>
        <w:t>Über 33,6 Mio. Versichertenmonate (1,34 Mio. Versicherte, 7.903 Praxen) blieben die Unterschiede ohne statistische Signifikanz: Bildgebung bei Fersensporn 31,2 % gegenüber 28,9 %, bei Kopfschmerz 14,8 % gegenüber 14,5 %, bei Rückenschmerz je 13,8 %. Vergütungsanreize allein senken Low-Value Care offenbar nicht.</w:t>
      </w:r>
    </w:p>
    <w:p>
      <w:r>
        <w:rPr>
          <w:color w:val="5A7D3A"/>
          <w:sz w:val="18"/>
        </w:rPr>
        <w:t>https://pubmed.ncbi.nlm.nih.gov/42584215/</w:t>
      </w:r>
    </w:p>
    <w:p>
      <w:pPr>
        <w:pStyle w:val="Heading2"/>
      </w:pPr>
      <w:r>
        <w:t>Inanspruchnahme und Kosten bei Long COVID (England und Wales)</w:t>
      </w:r>
    </w:p>
    <w:p>
      <w:r>
        <w:rPr>
          <w:i/>
          <w:color w:val="666666"/>
          <w:sz w:val="18"/>
        </w:rPr>
        <w:t>Dashtban A et al.  ·  J R Soc Med  ·  12.08.2026  ·  PMID 42584205</w:t>
      </w:r>
    </w:p>
    <w:p>
      <w:r>
        <w:t>Vergleich von Versorgungskosten und Arztkontakten zwischen Long-COVID-Betroffenen und Kontrollpersonen.</w:t>
      </w:r>
    </w:p>
    <w:p>
      <w:r>
        <w:rPr>
          <w:b/>
        </w:rPr>
        <w:t xml:space="preserve">Ergebnis: </w:t>
      </w:r>
      <w:r>
        <w:t>Die mittleren Jahreskosten lagen in Wales bei 6.681,60 £ gegenüber 2.039,90 £ (3,27-fach), in England bei 3.378,30 £ gegenüber 1.355,80 £ (2,49-fach); Wales verzeichnete einen um 25 % stärkeren relativen Kostenanstieg (Verhältnis 1,25; 95%-KI 1,09–1,42). Die Versorgungslast fällt regional deutlich unterschiedlich aus.</w:t>
      </w:r>
    </w:p>
    <w:p>
      <w:r>
        <w:rPr>
          <w:color w:val="5A7D3A"/>
          <w:sz w:val="18"/>
        </w:rPr>
        <w:t>https://pubmed.ncbi.nlm.nih.gov/42584205/</w:t>
      </w:r>
    </w:p>
    <w:p>
      <w:pPr>
        <w:pStyle w:val="Heading2"/>
      </w:pPr>
      <w:r>
        <w:t>Eigenbesitz an Zusatzleistungen und Testhäufigkeit in Urologiepraxen</w:t>
      </w:r>
    </w:p>
    <w:p>
      <w:r>
        <w:rPr>
          <w:i/>
          <w:color w:val="666666"/>
          <w:sz w:val="18"/>
        </w:rPr>
        <w:t>Srivastava A et al.  ·  Med Care  ·  12.08.2026  ·  PMID 42583905</w:t>
      </w:r>
    </w:p>
    <w:p>
      <w:r>
        <w:t>Analyse, ob unternehmerische Beteiligung von Urologiepraxen an Zusatzleistungen die Zahl angeordneter Tests erhöht.</w:t>
      </w:r>
    </w:p>
    <w:p>
      <w:r>
        <w:rPr>
          <w:b/>
        </w:rPr>
        <w:t xml:space="preserve">Ergebnis: </w:t>
      </w:r>
      <w:r>
        <w:t>20,6 % der Praxen (706 von 3.430) besaßen eigene Zusatzleistungen; pro 10 Punkte auf dem Unternehmerindex stiegen bei 49.285 Männern die Chancen für Urinuntersuchungen auf das 1,13-Fache (95%-KI 1,09–1,18; p &lt; 0,001) und für nicht indikationsbezogene Tests auf das 1,21-Fache (95%-KI 1,15–1,27; p &lt; 0,001). Finanzielle Eigeninteressen schlagen messbar auf die Leistungsmenge durch.</w:t>
      </w:r>
    </w:p>
    <w:p>
      <w:r>
        <w:rPr>
          <w:color w:val="5A7D3A"/>
          <w:sz w:val="18"/>
        </w:rPr>
        <w:t>https://pubmed.ncbi.nlm.nih.gov/42583905/</w:t>
      </w:r>
    </w:p>
    <w:p>
      <w:pPr>
        <w:pStyle w:val="Heading2"/>
      </w:pPr>
      <w:r>
        <w:t>Soziale Bedarfe und Versorgungszugang nach Kostenträger</w:t>
      </w:r>
    </w:p>
    <w:p>
      <w:r>
        <w:rPr>
          <w:i/>
          <w:color w:val="666666"/>
          <w:sz w:val="18"/>
        </w:rPr>
        <w:t>Wang VH et al.  ·  Med Care  ·  10.08.2026  ·  PMID 42583901</w:t>
      </w:r>
    </w:p>
    <w:p>
      <w:r>
        <w:t>Querschnittsanalyse, wie häufig gesundheitsbezogene soziale Bedarfe je nach Versicherungsart auftreten und den Zugang zur Versorgung beeinflussen.</w:t>
      </w:r>
    </w:p>
    <w:p>
      <w:r>
        <w:rPr>
          <w:b/>
        </w:rPr>
        <w:t xml:space="preserve">Ergebnis: </w:t>
      </w:r>
      <w:r>
        <w:t>Unter 126.490 Befragten war Ernährungsunsicherheit bei Medicaid-Versicherten mit 49,20 % weit häufiger als bei privat (11,89 %) oder über Medicare (5,20 %) Versicherten; Wohnungsunsicherheit lag bei 54,61 %, 25,18 % und 14,99 %. Ernährungsunsicherheit ging in allen Gruppen mit häufiger unterlassener Versorgung einher.</w:t>
      </w:r>
    </w:p>
    <w:p>
      <w:r>
        <w:rPr>
          <w:color w:val="5A7D3A"/>
          <w:sz w:val="18"/>
        </w:rPr>
        <w:t>https://pubmed.ncbi.nlm.nih.gov/42583901/</w:t>
      </w:r>
    </w:p>
    <w:p>
      <w:pPr>
        <w:pStyle w:val="Heading2"/>
      </w:pPr>
      <w:r>
        <w:t>Leitlinientreue in der Nachsorge nach akuter Nierenschädigung</w:t>
      </w:r>
    </w:p>
    <w:p>
      <w:r>
        <w:rPr>
          <w:i/>
          <w:color w:val="666666"/>
          <w:sz w:val="18"/>
        </w:rPr>
        <w:t>Mok PLH et al.  ·  BMC Med  ·  12.08.2026  ·  PMID 42581362</w:t>
      </w:r>
    </w:p>
    <w:p>
      <w:r>
        <w:t>Routinedatenanalyse zur Frage, wie konsequent die empfohlene Nachsorge nach akuter Nierenschädigung umgesetzt wird.</w:t>
      </w:r>
    </w:p>
    <w:p>
      <w:r>
        <w:rPr>
          <w:b/>
        </w:rPr>
        <w:t xml:space="preserve">Ergebnis: </w:t>
      </w:r>
      <w:r>
        <w:t>Bei 209.222 Patientinnen und Patienten (279.187 Episoden) wurde die Nierenschädigung nur in 19,5 % kodiert (95%-KI 18,5–20,5); 72,6 % hatten Hausarztkontakt, aber nur 34,2 % eine Kreatininkontrolle nach 90 Tagen und 4,2 % eine Albumin-Kreatinin-Bestimmung. Die empfohlene Nachsorge findet weitgehend nicht statt.</w:t>
      </w:r>
    </w:p>
    <w:p>
      <w:r>
        <w:rPr>
          <w:color w:val="5A7D3A"/>
          <w:sz w:val="18"/>
        </w:rPr>
        <w:t>https://pubmed.ncbi.nlm.nih.gov/42581362/</w:t>
      </w:r>
    </w:p>
    <w:p>
      <w:pPr>
        <w:pStyle w:val="Heading1"/>
      </w:pPr>
      <w:r>
        <w:t>Aufgenommen am 10.08.2026</w:t>
      </w:r>
    </w:p>
    <w:p>
      <w:pPr>
        <w:pStyle w:val="Heading2"/>
      </w:pPr>
      <w:r>
        <w:t>ConcePTION-Algorithmus: Schwangerschaften in Routinedaten erkennen</w:t>
      </w:r>
    </w:p>
    <w:p>
      <w:r>
        <w:rPr>
          <w:i/>
          <w:color w:val="666666"/>
          <w:sz w:val="18"/>
        </w:rPr>
        <w:t>Limoncella G et al.  ·  Pharmacoepidemiol Drug Saf  ·  Aug. 2026  ·  PMID 42571911</w:t>
      </w:r>
    </w:p>
    <w:p>
      <w:r>
        <w:t>Entwicklung und Anwendung eines Algorithmus, der Schwangerschaften in bevölkerungsbezogenen Gesundheitsdatenbanken identifiziert.</w:t>
      </w:r>
    </w:p>
    <w:p>
      <w:r>
        <w:rPr>
          <w:b/>
        </w:rPr>
        <w:t xml:space="preserve">Ergebnis: </w:t>
      </w:r>
      <w:r>
        <w:t>Über 10 europäische Datenbanken wurden rund 2,7 Mio. Schwangerschaften erkannt; 50–83 % endeten in Lebendgeburten, 4–10 % in Fehlgeburten. Das Gestationsalter war für 6–89 % der Datensätze schätzbar (RMSE 17–50 Tage). Das verbessert die Nutzung von Routinedaten für die Arzneimittelsicherheit in der Schwangerschaft.</w:t>
      </w:r>
    </w:p>
    <w:p>
      <w:r>
        <w:rPr>
          <w:color w:val="5A7D3A"/>
          <w:sz w:val="18"/>
        </w:rPr>
        <w:t>https://pubmed.ncbi.nlm.nih.gov/42571911/</w:t>
      </w:r>
    </w:p>
    <w:p>
      <w:pPr>
        <w:pStyle w:val="Heading2"/>
      </w:pPr>
      <w:r>
        <w:t>Wartezeit von Diagnose bis Operation beim Zervixkarzinom</w:t>
      </w:r>
    </w:p>
    <w:p>
      <w:r>
        <w:rPr>
          <w:i/>
          <w:color w:val="666666"/>
          <w:sz w:val="18"/>
        </w:rPr>
        <w:t>Jalink M et al.  ·  Cancer Epidemiol  ·  04.08.2026  ·  PMID 42551070</w:t>
      </w:r>
    </w:p>
    <w:p>
      <w:r>
        <w:t>Kohortenstudie zum Zusammenhang zwischen dem Intervall Diagnose–Operation und dem Gesamtüberleben.</w:t>
      </w:r>
    </w:p>
    <w:p>
      <w:r>
        <w:rPr>
          <w:b/>
        </w:rPr>
        <w:t xml:space="preserve">Ergebnis: </w:t>
      </w:r>
      <w:r>
        <w:t>Bei 1.501 Patientinnen (mediane Wartezeit 80 Tage) war ein sehr kurzes Intervall (2–6 Wochen) mit erhöhtem Sterberisiko verbunden (HR 2,33; 95%-KI 1,14–4,77) gegenüber 10–14 Wochen; das Muster war U-förmig. Sowohl sehr kurze als auch sehr lange Wartezeiten erscheinen ungünstig.</w:t>
      </w:r>
    </w:p>
    <w:p>
      <w:r>
        <w:rPr>
          <w:color w:val="5A7D3A"/>
          <w:sz w:val="18"/>
        </w:rPr>
        <w:t>https://pubmed.ncbi.nlm.nih.gov/42551070/</w:t>
      </w:r>
    </w:p>
    <w:p>
      <w:pPr>
        <w:pStyle w:val="Heading1"/>
      </w:pPr>
      <w:r>
        <w:t>Aufgenommen am 09.08.2026</w:t>
      </w:r>
    </w:p>
    <w:p>
      <w:pPr>
        <w:pStyle w:val="Heading2"/>
      </w:pPr>
      <w:r>
        <w:t>Aufhörversuche beim Shisha-Rauchen junger Erwachsener in Deutschland</w:t>
      </w:r>
    </w:p>
    <w:p>
      <w:r>
        <w:rPr>
          <w:i/>
          <w:color w:val="666666"/>
          <w:sz w:val="18"/>
        </w:rPr>
        <w:t>Fedler C et al.  ·  Tob Use Insights  ·  07.08.2026  ·  PMID 42571166</w:t>
      </w:r>
    </w:p>
    <w:p>
      <w:r>
        <w:t>Befragung zu Aufhörverhalten und dessen Prädiktoren bei jungen Shisha-Rauchenden in Deutschland.</w:t>
      </w:r>
    </w:p>
    <w:p>
      <w:r>
        <w:rPr>
          <w:b/>
        </w:rPr>
        <w:t xml:space="preserve">Ergebnis: </w:t>
      </w:r>
      <w:r>
        <w:t>Nur 14,6 % (95%-KI 11,9–17,8) hatten je einen Aufhörversuch unternommen; die wahrgenommene Abhängigkeit war der einzige signifikante Prädiktor. Präventions- und Entwöhnungsangebote erreichen die Gruppe bislang kaum.</w:t>
      </w:r>
    </w:p>
    <w:p>
      <w:r>
        <w:rPr>
          <w:color w:val="5A7D3A"/>
          <w:sz w:val="18"/>
        </w:rPr>
        <w:t>https://pubmed.ncbi.nlm.nih.gov/42571166/</w:t>
      </w:r>
    </w:p>
    <w:p>
      <w:pPr>
        <w:pStyle w:val="Heading2"/>
      </w:pPr>
      <w:r>
        <w:t>Determinanten der Teilnahme am Mammographie-Screening (Ankara, Türkei)</w:t>
      </w:r>
    </w:p>
    <w:p>
      <w:r>
        <w:rPr>
          <w:i/>
          <w:color w:val="666666"/>
          <w:sz w:val="18"/>
        </w:rPr>
        <w:t>Topcu FB et al.  ·  BMC Health Serv Res  ·  07.08.2026  ·  PMID 42571012</w:t>
      </w:r>
    </w:p>
    <w:p>
      <w:r>
        <w:t>Querschnittstudie zu Faktoren, die die Inanspruchnahme der Brustkrebs-Früherkennung bei Frauen beeinflussen.</w:t>
      </w:r>
    </w:p>
    <w:p>
      <w:r>
        <w:rPr>
          <w:b/>
        </w:rPr>
        <w:t xml:space="preserve">Ergebnis: </w:t>
      </w:r>
      <w:r>
        <w:t>Frauen, die Screening-Programme kannten, nahmen 8,5-mal häufiger teil; nach früherer anderer Krebsfrüherkennung 5,5-mal häufiger; eine chronische Erkrankung verdoppelte die Chance. Bekanntheit und Aufklärung sind die zentralen Hebel.</w:t>
      </w:r>
    </w:p>
    <w:p>
      <w:r>
        <w:rPr>
          <w:color w:val="5A7D3A"/>
          <w:sz w:val="18"/>
        </w:rPr>
        <w:t>https://pubmed.ncbi.nlm.nih.gov/42571012/</w:t>
      </w:r>
    </w:p>
    <w:p>
      <w:pPr>
        <w:pStyle w:val="Heading2"/>
      </w:pPr>
      <w:r>
        <w:t>Therapieunterbrechende Systemfehler der Heim-Peritonealdialyse (HomeChoice-Cycler)</w:t>
      </w:r>
    </w:p>
    <w:p>
      <w:r>
        <w:rPr>
          <w:i/>
          <w:color w:val="666666"/>
          <w:sz w:val="18"/>
        </w:rPr>
        <w:t>Albert A et al.  ·  BMC Health Serv Res  ·  08.08.2026  ·  PMID 42571003</w:t>
      </w:r>
    </w:p>
    <w:p>
      <w:r>
        <w:t>Analyse technischer Fehler bei der Heimdialyse und ihrer Häufigkeit im Versorgungsalltag.</w:t>
      </w:r>
    </w:p>
    <w:p>
      <w:r>
        <w:rPr>
          <w:b/>
        </w:rPr>
        <w:t xml:space="preserve">Ergebnis: </w:t>
      </w:r>
      <w:r>
        <w:t>49 verschiedene Fehlertypen in 138 Vorfällen; Druckkammer-Fehler machten 21,7 % aus; Fehler traten in unter 0,25 % der Behandlungssitzungen auf. Die Heimtechnik ist überwiegend zuverlässig; einzelne Fehlerquellen sind gezielt adressierbar.</w:t>
      </w:r>
    </w:p>
    <w:p>
      <w:r>
        <w:rPr>
          <w:color w:val="5A7D3A"/>
          <w:sz w:val="18"/>
        </w:rPr>
        <w:t>https://pubmed.ncbi.nlm.nih.gov/42571003/</w:t>
      </w:r>
    </w:p>
    <w:p>
      <w:pPr>
        <w:pStyle w:val="Heading2"/>
      </w:pPr>
      <w:r>
        <w:t>Lebensqualität nach risikoreduzierender Hysterektomie</w:t>
      </w:r>
    </w:p>
    <w:p>
      <w:r>
        <w:rPr>
          <w:i/>
          <w:color w:val="666666"/>
          <w:sz w:val="18"/>
        </w:rPr>
        <w:t>Oxley S et al.  ·  Gynecol Oncol  ·  08.08.2026  ·  PMID 42570385</w:t>
      </w:r>
    </w:p>
    <w:p>
      <w:r>
        <w:t>Untersuchung der gesundheitsbezogenen Lebensqualität (Nutzwerte) nach vorbeugender Gebärmutterentfernung.</w:t>
      </w:r>
    </w:p>
    <w:p>
      <w:r>
        <w:rPr>
          <w:b/>
        </w:rPr>
        <w:t xml:space="preserve">Ergebnis: </w:t>
      </w:r>
      <w:r>
        <w:t>Mittlere Nutzwerte lagen je nach Eingriff und Zeitpunkt zwischen 0,670 und 0,942, mit signifikanten Gruppenunterschieden (p &lt; 0,001). Art und Zeitpunkt des Eingriffs beeinflussen die Lebensqualität deutlich.</w:t>
      </w:r>
    </w:p>
    <w:p>
      <w:r>
        <w:rPr>
          <w:color w:val="5A7D3A"/>
          <w:sz w:val="18"/>
        </w:rPr>
        <w:t>https://pubmed.ncbi.nlm.nih.gov/42570385/</w:t>
      </w:r>
    </w:p>
    <w:p>
      <w:pPr>
        <w:pStyle w:val="Heading2"/>
      </w:pPr>
      <w:r>
        <w:t>Orale Antikoagulation und neu auftretende Demenz bei Vorhofflimmern</w:t>
      </w:r>
    </w:p>
    <w:p>
      <w:r>
        <w:rPr>
          <w:i/>
          <w:color w:val="666666"/>
          <w:sz w:val="18"/>
        </w:rPr>
        <w:t>Belachew EA et al.  ·  Geroscience  ·  08.08.2026  ·  PMID 42570194</w:t>
      </w:r>
    </w:p>
    <w:p>
      <w:r>
        <w:t>Real-World-Kohortenstudie zum Zusammenhang zwischen Art des Gerinnungshemmers und Demenzrisiko.</w:t>
      </w:r>
    </w:p>
    <w:p>
      <w:r>
        <w:rPr>
          <w:b/>
        </w:rPr>
        <w:t xml:space="preserve">Ergebnis: </w:t>
      </w:r>
      <w:r>
        <w:t>DOAK gingen mit geringerem Demenzrisiko einher (HR 0,63; 95%-KI 0,56–0,70), Warfarin mit höherem Risiko (HR 1,31; 95%-KI 1,16–1,49). Die Wirkstoffwahl könnte für die kognitive Langzeitprognose bedeutsam sein.</w:t>
      </w:r>
    </w:p>
    <w:p>
      <w:r>
        <w:rPr>
          <w:color w:val="5A7D3A"/>
          <w:sz w:val="18"/>
        </w:rPr>
        <w:t>https://pubmed.ncbi.nlm.nih.gov/42570194/</w:t>
      </w:r>
    </w:p>
    <w:p>
      <w:pPr>
        <w:pStyle w:val="Heading2"/>
      </w:pPr>
      <w:r>
        <w:t>Adhärenz zu Bewegungsleitlinien bei US-Krebsüberlebenden</w:t>
      </w:r>
    </w:p>
    <w:p>
      <w:r>
        <w:rPr>
          <w:i/>
          <w:color w:val="666666"/>
          <w:sz w:val="18"/>
        </w:rPr>
        <w:t>Kumar G et al.  ·  J Cancer Surviv  ·  08.08.2026  ·  PMID 42570052</w:t>
      </w:r>
    </w:p>
    <w:p>
      <w:r>
        <w:t>Auswertung landesweiter Surveydaten zur Einhaltung der Empfehlungen für körperliche Aktivität über die Zeit.</w:t>
      </w:r>
    </w:p>
    <w:p>
      <w:r>
        <w:rPr>
          <w:b/>
        </w:rPr>
        <w:t xml:space="preserve">Ergebnis: </w:t>
      </w:r>
      <w:r>
        <w:t>Die Adhärenz stieg von 9,2 % (2010) auf 22,0 % (2015) und fiel bis 2020 wieder auf 8,7 %. Anhaltend niedrige, zuletzt rückläufige Werte weisen auf Versorgungslücken in der Bewegungsförderung hin.</w:t>
      </w:r>
    </w:p>
    <w:p>
      <w:r>
        <w:rPr>
          <w:color w:val="5A7D3A"/>
          <w:sz w:val="18"/>
        </w:rPr>
        <w:t>https://pubmed.ncbi.nlm.nih.gov/42570052/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2026-08-20T06:00:00Z</dcterms:created>
  <dcterms:modified xsi:type="dcterms:W3CDTF">2026-08-20T06:00:00Z</dcterms:modified>
  <cp:category/>
</cp:coreProperties>
</file>