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29.10.2026  |  454 Studien  |  wissen.m-vf.de</w:t>
      </w:r>
    </w:p>
    <w:p>
      <w:pPr>
        <w:pStyle w:val="Heading1"/>
      </w:pPr>
      <w:r>
        <w:t>Aufgenommen am 29.10.2026</w:t>
      </w:r>
    </w:p>
    <w:p>
      <w:pPr>
        <w:pStyle w:val="Heading2"/>
      </w:pPr>
      <w:r>
        <w:t>Spezialisierte ILD-Kliniken verbessern Behandlung und Ergebnisse</w:t>
      </w:r>
    </w:p>
    <w:p>
      <w:r>
        <w:rPr>
          <w:i/>
          <w:color w:val="666666"/>
          <w:sz w:val="18"/>
        </w:rPr>
        <w:t>Farrand E et al.  ·  Chest  ·  28.10.2026  ·  PMID 42951064</w:t>
      </w:r>
    </w:p>
    <w:p>
      <w:r>
        <w:t>Retrospektive Kohortenstudie an einem akademischen Zentrum verglich Ergebnisse bei Lungenfibrose-Patienten in spezialisierter ILD-Klinik vs. anderen Ambulatorien.</w:t>
      </w:r>
    </w:p>
    <w:p>
      <w:r>
        <w:rPr>
          <w:b/>
        </w:rPr>
        <w:t xml:space="preserve">Ergebnis: </w:t>
      </w:r>
      <w:r>
        <w:t>66 % der 6.637 Patienten wurden in spezialisierter Klinik behandelt. Diese zeigten höhere Odds für CT-Bildgebung (OR 2,51), Antifibrotika-Therapie (OR 1,54) und niedrigere Odds für Lungenbiopsie (OR 0,47). Spezialisierte Klinik war mit niedrigerem adjustiertem Risiko für Hospitalisierung (HR 0,46), Notaufnahmebesuche (HR 0,68) und Mortalität (HR 0,57) assoziiert (alle p&lt;0,001).</w:t>
      </w:r>
    </w:p>
    <w:p>
      <w:r>
        <w:rPr>
          <w:b/>
          <w:sz w:val="19"/>
        </w:rPr>
        <w:t xml:space="preserve">Übertragbarkeit: </w:t>
      </w:r>
      <w:r>
        <w:rPr>
          <w:sz w:val="19"/>
        </w:rPr>
        <w:t>US-Daten, aber Fragestellung zur Spezialisierungswirkung systemunabhängig relevant.</w:t>
      </w:r>
    </w:p>
    <w:p>
      <w:r>
        <w:rPr>
          <w:color w:val="5A7D3A"/>
          <w:sz w:val="18"/>
        </w:rPr>
        <w:t>https://pubmed.ncbi.nlm.nih.gov/42951064/</w:t>
      </w:r>
    </w:p>
    <w:p>
      <w:pPr>
        <w:pStyle w:val="Heading2"/>
      </w:pPr>
      <w:r>
        <w:t>Telemonitoring erhöht Adherenz bei Mukoviszidose-Patienten</w:t>
      </w:r>
    </w:p>
    <w:p>
      <w:r>
        <w:rPr>
          <w:i/>
          <w:color w:val="666666"/>
          <w:sz w:val="18"/>
        </w:rPr>
        <w:t>Thee S et al.  ·  Ann Am Thorac Soc  ·  28.10.2026  ·  PMID 42949105</w:t>
      </w:r>
    </w:p>
    <w:p>
      <w:r>
        <w:t>Multizentrische RCT in Deutschland testete, ob multimodales Telemonitoring mit wöchentlicher Spirometrie und Coaching die Adhärenz zur Inhalationstherapie und pulmonale Exazerbationen bei Mukoviszidose beeinflusst.</w:t>
      </w:r>
    </w:p>
    <w:p>
      <w:r>
        <w:rPr>
          <w:b/>
        </w:rPr>
        <w:t xml:space="preserve">Ergebnis: </w:t>
      </w:r>
      <w:r>
        <w:t>296 Teilnehmer, Durchschnittsalter 31,3 Jahre. Baseline-Adhärenz war in der Interventionsgruppe höher (58,1 % vs. 44,0 %). Am Ende: 49,2 % vs. 32,6 % Adhärenz. Zeit bis erste Exazerbation unterschied sich nicht zwischen Gruppen; aber eine 10%-ige Adhärenz-Steigerung korrelierte mit 9 % Reduktion des Exazerbationsrisikos. Patienten mit FEV₁&lt;40 % hatten 2,4-fach höheres Risiko.</w:t>
      </w:r>
    </w:p>
    <w:p>
      <w:r>
        <w:rPr>
          <w:b/>
          <w:sz w:val="19"/>
        </w:rPr>
        <w:t xml:space="preserve">Übertragbarkeit: </w:t>
      </w:r>
      <w:r>
        <w:rPr>
          <w:sz w:val="19"/>
        </w:rPr>
        <w:t>Deutsche Studie, gesetzliches Versorgungssystem, direkt übertragbar.</w:t>
      </w:r>
    </w:p>
    <w:p>
      <w:r>
        <w:rPr>
          <w:color w:val="5A7D3A"/>
          <w:sz w:val="18"/>
        </w:rPr>
        <w:t>https://pubmed.ncbi.nlm.nih.gov/42949105/</w:t>
      </w:r>
    </w:p>
    <w:p>
      <w:pPr>
        <w:pStyle w:val="Heading2"/>
      </w:pPr>
      <w:r>
        <w:t>Rehabilitations-Koordinator verbessert Vokationsrehabilitation in Psychiatrie</w:t>
      </w:r>
    </w:p>
    <w:p>
      <w:r>
        <w:rPr>
          <w:i/>
          <w:color w:val="666666"/>
          <w:sz w:val="18"/>
        </w:rPr>
        <w:t>Andersén Å et al.  ·  BMC Health Serv Res  ·  27.10.2026  ·  PMID 42947172</w:t>
      </w:r>
    </w:p>
    <w:p>
      <w:r>
        <w:t>Qualitative deskriptive Studie in Schweden mit 12 psychiatrischen Fachkräften untersuchte ihre Erfahrungen mit Rehabilitations-Koordinatoren für Vokationsrehabilitation.</w:t>
      </w:r>
    </w:p>
    <w:p>
      <w:r>
        <w:rPr>
          <w:b/>
        </w:rPr>
        <w:t xml:space="preserve">Ergebnis: </w:t>
      </w:r>
      <w:r>
        <w:t>Zwei Hauptthemen: (1) RC verbessert Fokus und Koordination von Vokationsrehabilitation und entlastet Fachkräfte; (2) Unsicherheit über Rollen und Verantwortlichkeiten entstand. Fachkräfte berichteten, dass ihnen Zeit und Wissen für Vokationsrehabilitation fehlten; RC-Funktion war wertvoll für besseres Arbeitsumfeld.</w:t>
      </w:r>
    </w:p>
    <w:p>
      <w:r>
        <w:rPr>
          <w:b/>
          <w:sz w:val="19"/>
        </w:rPr>
        <w:t xml:space="preserve">Übertragbarkeit: </w:t>
      </w:r>
      <w:r>
        <w:rPr>
          <w:sz w:val="19"/>
        </w:rPr>
        <w:t>Skandinavien, ähnliches Versorgungsmodell – Koordinations- und Spezialisierungseffekte übertragbar.</w:t>
      </w:r>
    </w:p>
    <w:p>
      <w:r>
        <w:rPr>
          <w:color w:val="5A7D3A"/>
          <w:sz w:val="18"/>
        </w:rPr>
        <w:t>https://pubmed.ncbi.nlm.nih.gov/42947172/</w:t>
      </w:r>
    </w:p>
    <w:p>
      <w:pPr>
        <w:pStyle w:val="Heading2"/>
      </w:pPr>
      <w:r>
        <w:t>Bildung und Nudging erhöhen TENS-Nutzung postoperativ</w:t>
      </w:r>
    </w:p>
    <w:p>
      <w:r>
        <w:rPr>
          <w:i/>
          <w:color w:val="666666"/>
          <w:sz w:val="18"/>
        </w:rPr>
        <w:t>Diwan S et al.  ·  BMC Health Serv Res  ·  27.10.2026  ·  PMID 42947110</w:t>
      </w:r>
    </w:p>
    <w:p>
      <w:r>
        <w:t>Quasi-experimentelle Studie an schwedischem Universitätsklinikum untersuchte, ob kurze Schulung plus visuelle Nudges die Anwendung von TENS (transkutane Nervenstimulation) in der postoperativen Schmerzbehandlung erhöhen.</w:t>
      </w:r>
    </w:p>
    <w:p>
      <w:r>
        <w:rPr>
          <w:b/>
        </w:rPr>
        <w:t xml:space="preserve">Ergebnis: </w:t>
      </w:r>
      <w:r>
        <w:t>TENS-Anwendungen stiegen signifikant nach den Interventionen gegenüber Baseline (konkrete Zahlen im Logbuch dokumentiert). Qualitative Befunde zeigten, dass TENS von einer peripheren Option zu integrierten Schmerzbehandlungskomponente reframed wurde; Nudging normalisierte TENS-Nutzung und trug zur frühen Routinisierung bei.</w:t>
      </w:r>
    </w:p>
    <w:p>
      <w:r>
        <w:rPr>
          <w:b/>
          <w:sz w:val="19"/>
        </w:rPr>
        <w:t xml:space="preserve">Übertragbarkeit: </w:t>
      </w:r>
      <w:r>
        <w:rPr>
          <w:sz w:val="19"/>
        </w:rPr>
        <w:t>Skandinavien, steuerfinanziertes System – aber Prozessoptimierung und Qualitätsmessungen sind übertragbar.</w:t>
      </w:r>
    </w:p>
    <w:p>
      <w:r>
        <w:rPr>
          <w:color w:val="5A7D3A"/>
          <w:sz w:val="18"/>
        </w:rPr>
        <w:t>https://pubmed.ncbi.nlm.nih.gov/42947110/</w:t>
      </w:r>
    </w:p>
    <w:p>
      <w:pPr>
        <w:pStyle w:val="Heading2"/>
      </w:pPr>
      <w:r>
        <w:t>Häusliche Primärversorgung für Ältere in Korea: Praxisdefizite und Schulungsbedarf</w:t>
      </w:r>
    </w:p>
    <w:p>
      <w:r>
        <w:rPr>
          <w:i/>
          <w:color w:val="666666"/>
          <w:sz w:val="18"/>
        </w:rPr>
        <w:t>Cho E et al.  ·  J Korean Med Sci  ·  26.10.2026  ·  PMID 42936977</w:t>
      </w:r>
    </w:p>
    <w:p>
      <w:r>
        <w:t>Nationale Querschnittserhebung in Südkorea erfasste 2024 Praxis, Kompetenzen und Schulungsbedarf von Anbietern des HBPC-LTC-Programms (seit 2022).</w:t>
      </w:r>
    </w:p>
    <w:p>
      <w:r>
        <w:rPr>
          <w:b/>
        </w:rPr>
        <w:t xml:space="preserve">Ergebnis: </w:t>
      </w:r>
      <w:r>
        <w:t>57 von 95 zertifizierten Zentren (60,0 %) antworteten. Mehrheit sind private Kliniken; öffentliche Teilnahme begrenzt. Dienstleistungen konzentrieren sich auf Verschreibung, Konsultationen und Wundbehandlung. Schwierigkeiten: Personalbesetzung, Patientenakquisition, Systemkoordination. Fortbildungsbedarf für multidisziplinäre und praxisorientierte Schulung weit verbreitet.</w:t>
      </w:r>
    </w:p>
    <w:p>
      <w:r>
        <w:rPr>
          <w:b/>
          <w:sz w:val="19"/>
        </w:rPr>
        <w:t xml:space="preserve">Übertragbarkeit: </w:t>
      </w:r>
      <w:r>
        <w:rPr>
          <w:sz w:val="19"/>
        </w:rPr>
        <w:t>Südkorea, nur bedingt übertragbar – anderer Gesundheitskontext; aber organisatorische Implementierungshürden systemübergreifend relevant.</w:t>
      </w:r>
    </w:p>
    <w:p>
      <w:r>
        <w:rPr>
          <w:color w:val="5A7D3A"/>
          <w:sz w:val="18"/>
        </w:rPr>
        <w:t>https://pubmed.ncbi.nlm.nih.gov/42936977/</w:t>
      </w:r>
    </w:p>
    <w:p>
      <w:pPr>
        <w:pStyle w:val="Heading2"/>
      </w:pPr>
      <w:r>
        <w:t>Systemische Barrieren für Sturzprävention in der Gemeinde in Singapur</w:t>
      </w:r>
    </w:p>
    <w:p>
      <w:r>
        <w:rPr>
          <w:i/>
          <w:color w:val="666666"/>
          <w:sz w:val="18"/>
        </w:rPr>
        <w:t>Lim CWH et al.  ·  Front Public Health  ·  12.10.2026  ·  PMID 42936074</w:t>
      </w:r>
    </w:p>
    <w:p>
      <w:r>
        <w:t>Qualitative Studie mit 14 Managementvertretern aus 7 Anbietern von Integrated Community Care in Singapur nutzte Theory of Constraints zur Wurzelursachenanalyse von Umsetzungshindernissen.</w:t>
      </w:r>
    </w:p>
    <w:p>
      <w:r>
        <w:rPr>
          <w:b/>
        </w:rPr>
        <w:t xml:space="preserve">Ergebnis: </w:t>
      </w:r>
      <w:r>
        <w:t>Kernproblem: anhaltende vermeidbare Verletzungsstürze. Identifizierte Ursachen: (1) kein systematischer Aufwand zur Information älterer Menschen; (2) mangelnde Schulungsressourcen bei Anbietern; (3) unzureichende Finanzierung; (4) fehlende formale und informale Daten zur Nachfrage; (5) hohe Kosten für Programme. Drei Systemlücken: Informationslücke, Ressourcen-/Kapazitätslücke, ökonomische Lücke.</w:t>
      </w:r>
    </w:p>
    <w:p>
      <w:r>
        <w:rPr>
          <w:b/>
          <w:sz w:val="19"/>
        </w:rPr>
        <w:t xml:space="preserve">Übertragbarkeit: </w:t>
      </w:r>
      <w:r>
        <w:rPr>
          <w:sz w:val="19"/>
        </w:rPr>
        <w:t>Singapur, Informations- und Ressourcendefizite in Versorgungssystemen systemunabhängig relevant.</w:t>
      </w:r>
    </w:p>
    <w:p>
      <w:r>
        <w:rPr>
          <w:color w:val="5A7D3A"/>
          <w:sz w:val="18"/>
        </w:rPr>
        <w:t>https://pubmed.ncbi.nlm.nih.gov/42936074/</w:t>
      </w:r>
    </w:p>
    <w:p>
      <w:pPr>
        <w:pStyle w:val="Heading1"/>
      </w:pPr>
      <w:r>
        <w:t>Aufgenommen am 28.10.2026</w:t>
      </w:r>
    </w:p>
    <w:p>
      <w:pPr>
        <w:pStyle w:val="Heading2"/>
      </w:pPr>
      <w:r>
        <w:t>Ungleichheiten bei Krebsfrüherkennung und Diagnosestadium bei psychischen Erkrankungen</w:t>
      </w:r>
    </w:p>
    <w:p>
      <w:r>
        <w:rPr>
          <w:i/>
          <w:color w:val="666666"/>
          <w:sz w:val="18"/>
        </w:rPr>
        <w:t>Wang YH et al.  ·  PLoS One  ·  27.10.2026  ·  PMID 42945295</w:t>
      </w:r>
    </w:p>
    <w:p>
      <w:r>
        <w:t>Populationsbasierte Kohortenstudie zu Screening-Teilnahme und Diagnosestadium bei Brust- und Darmkrebs für Personen mit vs. ohne psychischen Erkrankungen in Taiwan.</w:t>
      </w:r>
    </w:p>
    <w:p>
      <w:r>
        <w:rPr>
          <w:b/>
        </w:rPr>
        <w:t xml:space="preserve">Ergebnis: </w:t>
      </w:r>
      <w:r>
        <w:t>Bei allgemeiner psychischer Erkrankung: höhere Screening-Teilnahme (aOR 1,04-1,12) und reduzierte Odds für metastasierten Krebs (aOR 0,72-0,93). Bei schwerer psychischer Erkrankung: niedrigere Screening-Odds (aOR 0,81-0,88) trotz hohem ambulantem Nutzungsgrad.</w:t>
      </w:r>
    </w:p>
    <w:p>
      <w:r>
        <w:rPr>
          <w:b/>
          <w:sz w:val="19"/>
        </w:rPr>
        <w:t xml:space="preserve">Übertragbarkeit: </w:t>
      </w:r>
      <w:r>
        <w:rPr>
          <w:sz w:val="19"/>
        </w:rPr>
        <w:t>Nur bedingt: universales Gesundheitssystem, andere Zugangssteuerung als Deutschland</w:t>
      </w:r>
    </w:p>
    <w:p>
      <w:r>
        <w:rPr>
          <w:color w:val="5A7D3A"/>
          <w:sz w:val="18"/>
        </w:rPr>
        <w:t>https://pubmed.ncbi.nlm.nih.gov/42945295/</w:t>
      </w:r>
    </w:p>
    <w:p>
      <w:pPr>
        <w:pStyle w:val="Heading2"/>
      </w:pPr>
      <w:r>
        <w:t>Kostenwirksamkeit empfohlener Interventionen zur Behandlung von Kreuzschmerzen</w:t>
      </w:r>
    </w:p>
    <w:p>
      <w:r>
        <w:rPr>
          <w:i/>
          <w:color w:val="666666"/>
          <w:sz w:val="18"/>
        </w:rPr>
        <w:t>Mathieson S et al.  ·  PLoS Med  ·  27.10.2026  ·  PMID 42945153</w:t>
      </w:r>
    </w:p>
    <w:p>
      <w:r>
        <w:t>Systematischer Review zur Kosteneffektivität nichtmedikamentöser, nichtchirurgischer Interventionen für Kreuzschmerzen im Vergleich zu standardmäßiger Versorgung.</w:t>
      </w:r>
    </w:p>
    <w:p>
      <w:r>
        <w:rPr>
          <w:b/>
        </w:rPr>
        <w:t xml:space="preserve">Ergebnis: </w:t>
      </w:r>
      <w:r>
        <w:t>Die meisten Interventionen gelten bei einer Zahlungsbereitschaft von £20.000 pro QALY als kosteneffektiv. Psychologische Unterstützung, Yoga, Akupunktur und Self-Management-Support sind potenziell kostenersparend (gleichzeitig wirksamer und günstiger als Standardversorgung).</w:t>
      </w:r>
    </w:p>
    <w:p>
      <w:r>
        <w:rPr>
          <w:b/>
          <w:sz w:val="19"/>
        </w:rPr>
        <w:t xml:space="preserve">Übertragbarkeit: </w:t>
      </w:r>
      <w:r>
        <w:rPr>
          <w:sz w:val="19"/>
        </w:rPr>
        <w:t>Hocheinkommensländer, begrenzte Evidenz aus Niedrig- und Mittellohnländern</w:t>
      </w:r>
    </w:p>
    <w:p>
      <w:r>
        <w:rPr>
          <w:color w:val="5A7D3A"/>
          <w:sz w:val="18"/>
        </w:rPr>
        <w:t>https://pubmed.ncbi.nlm.nih.gov/42945153/</w:t>
      </w:r>
    </w:p>
    <w:p>
      <w:pPr>
        <w:pStyle w:val="Heading2"/>
      </w:pPr>
      <w:r>
        <w:t>Aktivitäten des täglichen Lebens nach verkürzter stationärer Geriatrischer Rehabilitation durch Home-Care</w:t>
      </w:r>
    </w:p>
    <w:p>
      <w:r>
        <w:rPr>
          <w:i/>
          <w:color w:val="666666"/>
          <w:sz w:val="18"/>
        </w:rPr>
        <w:t>Gamble CJ et al.  ·  Eur Geriatr Med  ·  27.10.2026  ·  PMID 42945046</w:t>
      </w:r>
    </w:p>
    <w:p>
      <w:r>
        <w:t>Prospektive Kohortenstudie zur Aktivitätsunabhängigkeit nach strukturiertem Home-based geriatric rehabilitation (Better@Home) versus konventioneller stationärer Rehabilitation bei älteren Patienten.</w:t>
      </w:r>
    </w:p>
    <w:p>
      <w:r>
        <w:rPr>
          <w:b/>
        </w:rPr>
        <w:t xml:space="preserve">Ergebnis: </w:t>
      </w:r>
      <w:r>
        <w:t>Keine signifikanten Unterschiede zwischen Better@Home und Kontrolle bei der Aktivitätsunabhängigkeit (Barthel-Index): mittlere Differenz 0,48 Punkte (95%-KI -0,323-1,282; p=0,240). Strukturiertes Home-based Programm erzielte vergleichbare Ergebnisse zu stationärer Rehabilitation.</w:t>
      </w:r>
    </w:p>
    <w:p>
      <w:r>
        <w:rPr>
          <w:b/>
          <w:sz w:val="19"/>
        </w:rPr>
        <w:t xml:space="preserve">Übertragbarkeit: </w:t>
      </w:r>
      <w:r>
        <w:rPr>
          <w:sz w:val="19"/>
        </w:rPr>
        <w:t>Niederlande, vergleichbares Sozialversicherungssystem und Gesundheitswesen</w:t>
      </w:r>
    </w:p>
    <w:p>
      <w:r>
        <w:rPr>
          <w:color w:val="5A7D3A"/>
          <w:sz w:val="18"/>
        </w:rPr>
        <w:t>https://pubmed.ncbi.nlm.nih.gov/42945046/</w:t>
      </w:r>
    </w:p>
    <w:p>
      <w:pPr>
        <w:pStyle w:val="Heading2"/>
      </w:pPr>
      <w:r>
        <w:t>Alleinleben und Mortalität: Ursachen-spezifische Analyse in USA</w:t>
      </w:r>
    </w:p>
    <w:p>
      <w:r>
        <w:rPr>
          <w:i/>
          <w:color w:val="666666"/>
          <w:sz w:val="18"/>
        </w:rPr>
        <w:t>Lee H et al.  ·  Int J Epidemiol  ·  14.10.2026  ·  PMID 42937267</w:t>
      </w:r>
    </w:p>
    <w:p>
      <w:r>
        <w:t>Nationale Kohortenstudie (NHIS-NDI 1998-2019) zur Assoziation zwischen Alleinleben und Mortalität nach Todesursachen bei US-Erwachsenen.</w:t>
      </w:r>
    </w:p>
    <w:p>
      <w:r>
        <w:rPr>
          <w:b/>
        </w:rPr>
        <w:t xml:space="preserve">Ergebnis: </w:t>
      </w:r>
      <w:r>
        <w:t>Alleinlebende Erwachsene (18-64 Jahre): höhere Gesamtmortalität (HR 1,22), Herzerkrankungen (HR 1,41), Suizid (HR 1,58) und Verletzungen (HR 1,27). Soziodemografische und Gesundheitsfaktoren erklärten 57,1 % der Differenz (18-64 Jahre) bzw. 85,4 % (≥65 Jahre).</w:t>
      </w:r>
    </w:p>
    <w:p>
      <w:r>
        <w:rPr>
          <w:b/>
          <w:sz w:val="19"/>
        </w:rPr>
        <w:t xml:space="preserve">Übertragbarkeit: </w:t>
      </w:r>
      <w:r>
        <w:rPr>
          <w:sz w:val="19"/>
        </w:rPr>
        <w:t>US-Daten – Fragestellung aber systemunabhängig bezüglich Patientensicherheit</w:t>
      </w:r>
    </w:p>
    <w:p>
      <w:r>
        <w:rPr>
          <w:color w:val="5A7D3A"/>
          <w:sz w:val="18"/>
        </w:rPr>
        <w:t>https://pubmed.ncbi.nlm.nih.gov/42937267/</w:t>
      </w:r>
    </w:p>
    <w:p>
      <w:pPr>
        <w:pStyle w:val="Heading2"/>
      </w:pPr>
      <w:r>
        <w:t>Prädiktoren für Therapieabbruch und Ansprechen bei Psoriasis-Arthritis</w:t>
      </w:r>
    </w:p>
    <w:p>
      <w:r>
        <w:rPr>
          <w:i/>
          <w:color w:val="666666"/>
          <w:sz w:val="18"/>
        </w:rPr>
        <w:t>Rotariu O et al.  ·  Rheumatology (Oxford)  ·  27.10.2026  ·  PMID 42937132</w:t>
      </w:r>
    </w:p>
    <w:p>
      <w:r>
        <w:t>Register-basierte Kohortenstudie zu Prädiktoren für Diskontinuation und 12-Monats-Behandlungsansprechen bei biologischen/zielgerichteten synthetischen DMARDs bei Psoriasis-Arthritis.</w:t>
      </w:r>
    </w:p>
    <w:p>
      <w:r>
        <w:rPr>
          <w:b/>
        </w:rPr>
        <w:t xml:space="preserve">Ergebnis: </w:t>
      </w:r>
      <w:r>
        <w:t>815 Teilnehmer: 65 % verblieben bei Indextherapie (Median 31 Monate); Abbruch hauptsächlich wegen Unwirksamkeit (55 %) oder Unverträglichkeit (26 %). PDE4-Inhibitoren zeigten 2,25-fach erhöhtes Abbruchrisiko vs. TNF-Inhibitoren. Nur 24 % erreichten minimale Krankheitsaktivität, Männer und jüngere Patienten hatten bessere Chancen.</w:t>
      </w:r>
    </w:p>
    <w:p>
      <w:r>
        <w:rPr>
          <w:b/>
          <w:sz w:val="19"/>
        </w:rPr>
        <w:t xml:space="preserve">Übertragbarkeit: </w:t>
      </w:r>
      <w:r>
        <w:rPr>
          <w:sz w:val="19"/>
        </w:rPr>
        <w:t>Großbritannien, vergleichbar mit Deutschland bezüglich Versorgungsstrukturen</w:t>
      </w:r>
    </w:p>
    <w:p>
      <w:r>
        <w:rPr>
          <w:color w:val="5A7D3A"/>
          <w:sz w:val="18"/>
        </w:rPr>
        <w:t>https://pubmed.ncbi.nlm.nih.gov/42937132/</w:t>
      </w:r>
    </w:p>
    <w:p>
      <w:pPr>
        <w:pStyle w:val="Heading2"/>
      </w:pPr>
      <w:r>
        <w:t>Kommunikations- und finanzielle Barrieren beim Gesundheitszugang von Migranten in Deutschland</w:t>
      </w:r>
    </w:p>
    <w:p>
      <w:r>
        <w:rPr>
          <w:i/>
          <w:color w:val="666666"/>
          <w:sz w:val="18"/>
        </w:rPr>
        <w:t>Goerigk L et al.  ·  BMC Health Serv Res  ·  24.10.2026  ·  PMID 42934686</w:t>
      </w:r>
    </w:p>
    <w:p>
      <w:r>
        <w:t>Querschnittsstudie zu Faktoren, die mit Kommunikations- und Finanzbarrieren beim Gesundheitszugang bei Migranten mit kroatischer, italienischer, polnischer, syrischer oder türkischer Staatsangehörigkeit in Deutschland assoziiert sind.</w:t>
      </w:r>
    </w:p>
    <w:p>
      <w:r>
        <w:rPr>
          <w:b/>
        </w:rPr>
        <w:t xml:space="preserve">Ergebnis: </w:t>
      </w:r>
      <w:r>
        <w:t>Von 6.038 Teilnehmern: 16,2 % berichteten Kommunikationsbarrieren, 9,0 % Finanzbarrieren. Assoziationen mit Geschlecht, Alter, Deutschkenntnissen, Rassismuserfahrungen (Kommunikation) sowie Geschlecht, Bildung, Diskriminierungserfahrungen (Finanzen). Geschlecht und Diskriminierungserfahrung korreliert mit beiden Barrierentypen.</w:t>
      </w:r>
    </w:p>
    <w:p>
      <w:r>
        <w:rPr>
          <w:b/>
          <w:sz w:val="19"/>
        </w:rPr>
        <w:t xml:space="preserve">Übertragbarkeit: </w:t>
      </w:r>
      <w:r>
        <w:rPr>
          <w:sz w:val="19"/>
        </w:rPr>
        <w:t>Deutsche Routinedaten, gesetzlich Versicherte mit Migrationshintergrund</w:t>
      </w:r>
    </w:p>
    <w:p>
      <w:r>
        <w:rPr>
          <w:color w:val="5A7D3A"/>
          <w:sz w:val="18"/>
        </w:rPr>
        <w:t>https://pubmed.ncbi.nlm.nih.gov/42934686/</w:t>
      </w:r>
    </w:p>
    <w:p>
      <w:pPr>
        <w:pStyle w:val="Heading1"/>
      </w:pPr>
      <w:r>
        <w:t>Aufgenommen am 27.10.2026</w:t>
      </w:r>
    </w:p>
    <w:p>
      <w:pPr>
        <w:pStyle w:val="Heading2"/>
      </w:pPr>
      <w:r>
        <w:t>SGLT2-Inhibitoren bei Herzinsuffizienz: frühe Gabe senkt Mortalität</w:t>
      </w:r>
    </w:p>
    <w:p>
      <w:r>
        <w:rPr>
          <w:i/>
          <w:color w:val="666666"/>
          <w:sz w:val="18"/>
        </w:rPr>
        <w:t>Mkoma GF et al.  ·  Eur Heart J Cardiovasc Pharmacother  ·  26.10.2026  ·  PMID 42933869</w:t>
      </w:r>
    </w:p>
    <w:p>
      <w:r>
        <w:t>Dänische Registeranalyse zur Auswirkung einer frühen SGLT2-Inhibitor-Initiierung (≤30 Tage nach HFrEF-Diagnose) auf die Einjahres-Mortalität und HF-Hospitalisierung.</w:t>
      </w:r>
    </w:p>
    <w:p>
      <w:r>
        <w:rPr>
          <w:b/>
        </w:rPr>
        <w:t xml:space="preserve">Ergebnis: </w:t>
      </w:r>
      <w:r>
        <w:t>Unter 10.346 Patienten mit neu diagnostizierter HFrEF erhielten 31,6% SGLT2i innerhalb 30 Tagen. Ein-Jahres-Mortalität: 2,2% (SGLT2i) vs. 3,1% (Kontrolle); Risikodifferenz -1,1 Prozentpunkte (95% KI: -2,0 bis -0,2). HF-Hospitalisierung: Risikodifferenz -3,4 Prozentpunkte (95% KI: -3,9 bis -2,9). Frühe Initiation zeigte klinisch relevante Mortalitätsvorteil.</w:t>
      </w:r>
    </w:p>
    <w:p>
      <w:r>
        <w:rPr>
          <w:b/>
          <w:sz w:val="19"/>
        </w:rPr>
        <w:t xml:space="preserve">Übertragbarkeit: </w:t>
      </w:r>
      <w:r>
        <w:rPr>
          <w:sz w:val="19"/>
        </w:rPr>
        <w:t>Dänische Routinedaten, vergleichbare Sozialversicherungsstruktur und Versorgung wie Deutschland.</w:t>
      </w:r>
    </w:p>
    <w:p>
      <w:r>
        <w:rPr>
          <w:color w:val="5A7D3A"/>
          <w:sz w:val="18"/>
        </w:rPr>
        <w:t>https://pubmed.ncbi.nlm.nih.gov/42933869/</w:t>
      </w:r>
    </w:p>
    <w:p>
      <w:pPr>
        <w:pStyle w:val="Heading2"/>
      </w:pPr>
      <w:r>
        <w:t>Schema-Therapie bei Cluster-C-Persönlichkeitsstörungen: Multizenter-RCT</w:t>
      </w:r>
    </w:p>
    <w:p>
      <w:r>
        <w:rPr>
          <w:i/>
          <w:color w:val="666666"/>
          <w:sz w:val="18"/>
        </w:rPr>
        <w:t>Venhuizen ASM et al.  ·  BMJ Ment Health  ·  26.10.2026  ·  PMID 42933862</w:t>
      </w:r>
    </w:p>
    <w:p>
      <w:r>
        <w:t>Niederländische Multizenter-RCT verglich verschiedene Schema-Therapie-Formate bei Cluster-C-Persönlichkeitsstörungen bezüglich Effektivität und Kosteneffektivität.</w:t>
      </w:r>
    </w:p>
    <w:p>
      <w:r>
        <w:rPr>
          <w:b/>
        </w:rPr>
        <w:t xml:space="preserve">Ergebnis: </w:t>
      </w:r>
      <w:r>
        <w:t>Eingeschlossene Patienten mit Cluster-C-Persönlichkeitsstörungen. Schema-Therapie zeigte Wirksamkeit mit konsistenten Effekten über verschiedene Formate hinweg. Die Studie dokumentiert, dass strukturierte Therapieformate in speziellen Behandlungszentren implementierbar sind und vergleichbare Outcomes erreichen.</w:t>
      </w:r>
    </w:p>
    <w:p>
      <w:r>
        <w:rPr>
          <w:b/>
          <w:sz w:val="19"/>
        </w:rPr>
        <w:t xml:space="preserve">Übertragbarkeit: </w:t>
      </w:r>
      <w:r>
        <w:rPr>
          <w:sz w:val="19"/>
        </w:rPr>
        <w:t>Niederlande, vergleichbares Sozialversicherungssystem und spezialisiertes psychologisches Versorgungssetting.</w:t>
      </w:r>
    </w:p>
    <w:p>
      <w:r>
        <w:rPr>
          <w:color w:val="5A7D3A"/>
          <w:sz w:val="18"/>
        </w:rPr>
        <w:t>https://pubmed.ncbi.nlm.nih.gov/42933862/</w:t>
      </w:r>
    </w:p>
    <w:p>
      <w:pPr>
        <w:pStyle w:val="Heading2"/>
      </w:pPr>
      <w:r>
        <w:t>Bettenauslastung und Abstände zwischen Patienten: Einflussfaktoren und Praktiken</w:t>
      </w:r>
    </w:p>
    <w:p>
      <w:r>
        <w:rPr>
          <w:i/>
          <w:color w:val="666666"/>
          <w:sz w:val="18"/>
        </w:rPr>
        <w:t>Linder W et al.  ·  BMJ Open  ·  26.10.2026  ·  PMID 42933831</w:t>
      </w:r>
    </w:p>
    <w:p>
      <w:r>
        <w:t>Schwedische Multizenter-Kohortenstudie untersuchte, wie Bettenauslastung und Patientenmerkmale die Abstandshaltung zwischen Patienten in Krankenhäusern beeinflussen.</w:t>
      </w:r>
    </w:p>
    <w:p>
      <w:r>
        <w:rPr>
          <w:b/>
        </w:rPr>
        <w:t xml:space="preserve">Ergebnis: </w:t>
      </w:r>
      <w:r>
        <w:t>Die Studie analysiert systematisch beschreibend Bettenabstandspraktiken in Abhängigkeit von Auslastung und Patientenmerkamlen. Erhöhte Auslastung korrelierte mit reduzierten Abständen; Infektionspräventionsvorgaben wurden nicht konsistent eingehalten. Die Ergebnisse demonstrieren Lücken zwischen formalen Standards und Routinepraxis.</w:t>
      </w:r>
    </w:p>
    <w:p>
      <w:r>
        <w:rPr>
          <w:b/>
          <w:sz w:val="19"/>
        </w:rPr>
        <w:t xml:space="preserve">Übertragbarkeit: </w:t>
      </w:r>
      <w:r>
        <w:rPr>
          <w:sz w:val="19"/>
        </w:rPr>
        <w:t>Skandinavien, steuerfinanziertes System; Prozessqualität und Patientensicherheit aber übertragbar.</w:t>
      </w:r>
    </w:p>
    <w:p>
      <w:r>
        <w:rPr>
          <w:color w:val="5A7D3A"/>
          <w:sz w:val="18"/>
        </w:rPr>
        <w:t>https://pubmed.ncbi.nlm.nih.gov/42933831/</w:t>
      </w:r>
    </w:p>
    <w:p>
      <w:pPr>
        <w:pStyle w:val="Heading2"/>
      </w:pPr>
      <w:r>
        <w:t>Kreatives Interview mit Kindern: Performance-basiertes Engagement in Gesundheitsforschung</w:t>
      </w:r>
    </w:p>
    <w:p>
      <w:r>
        <w:rPr>
          <w:i/>
          <w:color w:val="666666"/>
          <w:sz w:val="18"/>
        </w:rPr>
        <w:t>Treadgold C et al.  ·  Health Expect  ·  Okt. 2026  ·  PMID 42929487</w:t>
      </w:r>
    </w:p>
    <w:p>
      <w:r>
        <w:t>Australische qualitative Methodenstudie evaluierte einen innovativen, spielerischen Interviewansatz mit professionellen Performern, um Kinder in Gesundheitsforschung zu Patient-Reported Experience Measures einzubeziehen.</w:t>
      </w:r>
    </w:p>
    <w:p>
      <w:r>
        <w:rPr>
          <w:b/>
        </w:rPr>
        <w:t xml:space="preserve">Ergebnis: </w:t>
      </w:r>
      <w:r>
        <w:t>Der Ansatz mit geschulten Performern (‚Captain Starlight') ermöglichte kindzentrierte, flexible Interaktionen, die Engagement und Offenheit förderten. Kinder konnten ihre Perspektiven auf Krankenhauserfahrungen authentischer artikulieren als in traditionellen Interviews. Herausforderungen waren Balancieren zwischen Charakterimmersion und Datenerfassung sowie Consent-Navigieren. Die Methode erwies sich als transferierbar für unterschiedliche Forschungskontexte mit Kindern.</w:t>
      </w:r>
    </w:p>
    <w:p>
      <w:r>
        <w:rPr>
          <w:b/>
          <w:sz w:val="19"/>
        </w:rPr>
        <w:t xml:space="preserve">Übertragbarkeit: </w:t>
      </w:r>
      <w:r>
        <w:rPr>
          <w:sz w:val="19"/>
        </w:rPr>
        <w:t>Australien; Methodische Innovationen für kindzentrierte Forschung sind systemunabhängig wertvoll.</w:t>
      </w:r>
    </w:p>
    <w:p>
      <w:r>
        <w:rPr>
          <w:color w:val="5A7D3A"/>
          <w:sz w:val="18"/>
        </w:rPr>
        <w:t>https://pubmed.ncbi.nlm.nih.gov/42929487/</w:t>
      </w:r>
    </w:p>
    <w:p>
      <w:pPr>
        <w:pStyle w:val="Heading2"/>
      </w:pPr>
      <w:r>
        <w:t>Multidisziplinarität in Tumorkonferenzen: deutsche Krebszentren</w:t>
      </w:r>
    </w:p>
    <w:p>
      <w:r>
        <w:rPr>
          <w:i/>
          <w:color w:val="666666"/>
          <w:sz w:val="18"/>
        </w:rPr>
        <w:t>Rother J et al.  ·  J Multidiscip Healthc  ·  21.10.2026  ·  PMID 42928752</w:t>
      </w:r>
    </w:p>
    <w:p>
      <w:r>
        <w:t>Deutsche Observationsstudie analysierte die tatsächliche Multidisziplinarität von Tumorkonferenzen an 6 deutschen Krebszentren in Bezug auf Anwesenheit und aktive Beteiligung verschiedener Fachgruppen.</w:t>
      </w:r>
    </w:p>
    <w:p>
      <w:r>
        <w:rPr>
          <w:b/>
        </w:rPr>
        <w:t xml:space="preserve">Ergebnis: </w:t>
      </w:r>
      <w:r>
        <w:t>Kerntean (Senologie, Radiologie, Pathologie, Onkologie) war in 54% der Fälle unvollständig. Psychoonkologie und Pflege fehlten häufig oder beteiligten sich minimal. In 28% der Fallbesprechungen sprach nur eine Person. Erhebliche Varianz zwischen den 6 Zentren. Formale Multidisziplinaritätsanforderungen werden in der Routinepraxis nicht konsistent umgesetzt.</w:t>
      </w:r>
    </w:p>
    <w:p>
      <w:r>
        <w:rPr>
          <w:b/>
          <w:sz w:val="19"/>
        </w:rPr>
        <w:t xml:space="preserve">Übertragbarkeit: </w:t>
      </w:r>
      <w:r>
        <w:rPr>
          <w:sz w:val="19"/>
        </w:rPr>
        <w:t>Deutsche Daten, direkt auf deutsches Versorgungssystem anwendbar, zertifizierte Krebszentren.</w:t>
      </w:r>
    </w:p>
    <w:p>
      <w:r>
        <w:rPr>
          <w:color w:val="5A7D3A"/>
          <w:sz w:val="18"/>
        </w:rPr>
        <w:t>https://pubmed.ncbi.nlm.nih.gov/42928752/</w:t>
      </w:r>
    </w:p>
    <w:p>
      <w:pPr>
        <w:pStyle w:val="Heading2"/>
      </w:pPr>
      <w:r>
        <w:t>Nationale Implementierung web-basiertes Diabetes-Selbstmanagement in Großbritannien</w:t>
      </w:r>
    </w:p>
    <w:p>
      <w:r>
        <w:rPr>
          <w:i/>
          <w:color w:val="666666"/>
          <w:sz w:val="18"/>
        </w:rPr>
        <w:t>Cotterill S et al.  ·  Diabet Med  ·  25.10.2026  ·  PMID 42928587</w:t>
      </w:r>
    </w:p>
    <w:p>
      <w:r>
        <w:t>UK-Synthese der Evaluationsergebnisse zur nationalen Implementierung von ‚Healthy Living', einem webgestützten Selbstmanagement- und Schulungsprogramm für Typ-2-Diabetes in England.</w:t>
      </w:r>
    </w:p>
    <w:p>
      <w:r>
        <w:rPr>
          <w:b/>
        </w:rPr>
        <w:t xml:space="preserve">Ergebnis: </w:t>
      </w:r>
      <w:r>
        <w:t>Healthy Living zeigte bescheidene Effektivität: HbA1c-Senkung um 1 mmol/mol (95% KI: -2 bis -1) bzw. -0,1% (95% KI: -0,2% bis -0,1%) nach 1 Jahr vs. Routine. Variabilität in Inanspruchnahme und Retention; Kosten-Effektivität bestätigt. Programm war für Minderheiten und benachteiligte Bevölkerungsgruppen unterrepräsentiert.</w:t>
      </w:r>
    </w:p>
    <w:p>
      <w:r>
        <w:rPr>
          <w:b/>
          <w:sz w:val="19"/>
        </w:rPr>
        <w:t xml:space="preserve">Übertragbarkeit: </w:t>
      </w:r>
      <w:r>
        <w:rPr>
          <w:sz w:val="19"/>
        </w:rPr>
        <w:t>Großbritannien, steuerfinanziertes System; Prozesse und Patientenperspektive aber übertragbar.</w:t>
      </w:r>
    </w:p>
    <w:p>
      <w:r>
        <w:rPr>
          <w:color w:val="5A7D3A"/>
          <w:sz w:val="18"/>
        </w:rPr>
        <w:t>https://pubmed.ncbi.nlm.nih.gov/42928587/</w:t>
      </w:r>
    </w:p>
    <w:p>
      <w:pPr>
        <w:pStyle w:val="Heading1"/>
      </w:pPr>
      <w:r>
        <w:t>Aufgenommen am 26.10.2026</w:t>
      </w:r>
    </w:p>
    <w:p>
      <w:pPr>
        <w:pStyle w:val="Heading2"/>
      </w:pPr>
      <w:r>
        <w:t>Lebensraum stärker mit Gesundheit assoziiert als körperliche Aktivität</w:t>
      </w:r>
    </w:p>
    <w:p>
      <w:r>
        <w:rPr>
          <w:i/>
          <w:color w:val="666666"/>
          <w:sz w:val="18"/>
        </w:rPr>
        <w:t>Lin S et al.  ·  Prev Med Rep  ·  10.10.2026  ·  PMID 42927076</w:t>
      </w:r>
    </w:p>
    <w:p>
      <w:r>
        <w:t>Querschnittsstudie mit 1.118 älteren Singapurer (≥50 Jahre) verglich Life Space und körperliche Aktivität als Prädiktoren für selbstbewertete Gesundheit und physische Leistung.</w:t>
      </w:r>
    </w:p>
    <w:p>
      <w:r>
        <w:rPr>
          <w:b/>
        </w:rPr>
        <w:t xml:space="preserve">Ergebnis: </w:t>
      </w:r>
      <w:r>
        <w:t>Life Space war ein stärkerer Prädiktor und zeigte direkte und indirekte Effekte auf selbstbewertete Gesundheit, während körperliche Aktivität nur indirekte Effekte via physische Leistung aufwies. Strukturelle Regression unterstützte die Überlegenheit des Life-Space-Konzepts.</w:t>
      </w:r>
    </w:p>
    <w:p>
      <w:r>
        <w:rPr>
          <w:b/>
          <w:sz w:val="19"/>
        </w:rPr>
        <w:t xml:space="preserve">Übertragbarkeit: </w:t>
      </w:r>
      <w:r>
        <w:rPr>
          <w:sz w:val="19"/>
        </w:rPr>
        <w:t>Singapur, vergleichbare Alterspopulation; Fragestellung systemunabhängig für Prävention von Funktionsverlust bei älteren Menschen.</w:t>
      </w:r>
    </w:p>
    <w:p>
      <w:r>
        <w:rPr>
          <w:color w:val="5A7D3A"/>
          <w:sz w:val="18"/>
        </w:rPr>
        <w:t>https://pubmed.ncbi.nlm.nih.gov/42927076/</w:t>
      </w:r>
    </w:p>
    <w:p>
      <w:pPr>
        <w:pStyle w:val="Heading2"/>
      </w:pPr>
      <w:r>
        <w:t>Notfall-Kolonkarzinom-Resektion: Direct-ICU-Transfer senkt Mortalität nicht</w:t>
      </w:r>
    </w:p>
    <w:p>
      <w:r>
        <w:rPr>
          <w:i/>
          <w:color w:val="666666"/>
          <w:sz w:val="18"/>
        </w:rPr>
        <w:t>Blake HA et al.  ·  BJA Open  ·  15.10.2026  ·  PMID 42926795</w:t>
      </w:r>
    </w:p>
    <w:p>
      <w:r>
        <w:t>Englische Populationsstudie (10.441 Patienten) untersuchte, ob direkte postoperative Verlegung auf die Intensivstation nach Notfall-Kolonkarzinom-Resektion die 90-Tage-Mortalität senkt.</w:t>
      </w:r>
    </w:p>
    <w:p>
      <w:r>
        <w:rPr>
          <w:b/>
        </w:rPr>
        <w:t xml:space="preserve">Ergebnis: </w:t>
      </w:r>
      <w:r>
        <w:t>Unangepasst war die Mortalität höher bei Direct-Transfer (10,9% vs. 3,7%, OR 3,16; 95% CI 2,65–3,77), aber nach Risikoadjustierung zeigte sich kein signifikanter Unterschied (adjustiertes OR 1,16; 95% CI 0,94–1,43). Die Direct-Transfer-Quote variierte stark zwischen Kliniken (IQR 68–92%).</w:t>
      </w:r>
    </w:p>
    <w:p>
      <w:r>
        <w:rPr>
          <w:b/>
          <w:sz w:val="19"/>
        </w:rPr>
        <w:t xml:space="preserve">Übertragbarkeit: </w:t>
      </w:r>
      <w:r>
        <w:rPr>
          <w:sz w:val="19"/>
        </w:rPr>
        <w:t>UK NHS-Daten, nationale Kohortenstudie mit Routinedaten; begrenzt übertragbar auf deutsches System mit anderen Organisationsstrukturen.</w:t>
      </w:r>
    </w:p>
    <w:p>
      <w:r>
        <w:rPr>
          <w:color w:val="5A7D3A"/>
          <w:sz w:val="18"/>
        </w:rPr>
        <w:t>https://pubmed.ncbi.nlm.nih.gov/42926795/</w:t>
      </w:r>
    </w:p>
    <w:p>
      <w:pPr>
        <w:pStyle w:val="Heading2"/>
      </w:pPr>
      <w:r>
        <w:t>Antimikrobielle Resistenz in Konfliktgebieten: Diagnostische Herausforderungen</w:t>
      </w:r>
    </w:p>
    <w:p>
      <w:r>
        <w:rPr>
          <w:i/>
          <w:color w:val="666666"/>
          <w:sz w:val="18"/>
        </w:rPr>
        <w:t>Pallett SJ et al.  ·  Commun Med (Lond)  ·  24.10.2026  ·  PMID 42926236</w:t>
      </w:r>
    </w:p>
    <w:p>
      <w:r>
        <w:t>Qualitative Expertenelicitation mit 8 Fachleuten aus verschiedenen Sektoren (Krankenhaus, Umwelt, Tier) zur Extended-Spectrum-β-Lactamase-Übertragung auf Menschen in Konfliktregionen.</w:t>
      </w:r>
    </w:p>
    <w:p>
      <w:r>
        <w:rPr>
          <w:b/>
        </w:rPr>
        <w:t xml:space="preserve">Ergebnis: </w:t>
      </w:r>
      <w:r>
        <w:t>Tägliche Übertragungsrate hospital-zu-Mensch: 1,76 pro Person-Tag (90% CrI 0,10–8,61) unter Leistungsgewichtung; Begleittier-Pfad: 0,03 (90% CrI 0,00–0,11). Gemeindeumwelt-Pfad: 0,81 (90% CrI 0,10–4,12). Expert-Elicitation zeigt Unsicherheit, priorisiert aber Optimierung von Diagnostik, Workload-Tools und Beschaffungspolitik für ressourcenarm eingestellte Gebiete.</w:t>
      </w:r>
    </w:p>
    <w:p>
      <w:r>
        <w:rPr>
          <w:b/>
          <w:sz w:val="19"/>
        </w:rPr>
        <w:t xml:space="preserve">Übertragbarkeit: </w:t>
      </w:r>
      <w:r>
        <w:rPr>
          <w:sz w:val="19"/>
        </w:rPr>
        <w:t>Systemunabhängig: Antibiotika-Resistenz ist globales Versorgungsproblem; Methode und Befunde relevant für ressourcenlimitierte Kontexte einschließlich Deutschland.</w:t>
      </w:r>
    </w:p>
    <w:p>
      <w:r>
        <w:rPr>
          <w:color w:val="5A7D3A"/>
          <w:sz w:val="18"/>
        </w:rPr>
        <w:t>https://pubmed.ncbi.nlm.nih.gov/42926236/</w:t>
      </w:r>
    </w:p>
    <w:p>
      <w:pPr>
        <w:pStyle w:val="Heading2"/>
      </w:pPr>
      <w:r>
        <w:t>Atemwegserreger bei Pneumonie in ländlichen Regionen: Niederlande</w:t>
      </w:r>
    </w:p>
    <w:p>
      <w:r>
        <w:rPr>
          <w:i/>
          <w:color w:val="666666"/>
          <w:sz w:val="18"/>
        </w:rPr>
        <w:t>Roof I et al.  ·  Pneumonia (Nathan)  ·  25.10.2026  ·  PMID 42926196</w:t>
      </w:r>
    </w:p>
    <w:p>
      <w:r>
        <w:t>Niederländische Querschnittsstudie untersuchte 33 Atemwegserreger bei Hausarzt-Pneumoniepatienten (n=108), Bewohnern ohne Pneumonie (n=200) und Ziegenbauern (n=91) mittels Multiplex-PCR.</w:t>
      </w:r>
    </w:p>
    <w:p>
      <w:r>
        <w:rPr>
          <w:b/>
        </w:rPr>
        <w:t xml:space="preserve">Ergebnis: </w:t>
      </w:r>
      <w:r>
        <w:t>94,5% der Pneumoniepatienten waren Pathogen-positiv, 88,8% der Ziegenbauern und 70% der gesunden Bewohner. M. catarrhalis und S. pneumoniae waren signifikant häufiger bei Pneumonie (p&lt;0,05). Nähe zu Ziegenfarmen (&lt;2000m) war nicht assoziiert mit spezifischen Pathogenen trotz erhöhtem Pneumonie-Risiko in diesen Gebieten.</w:t>
      </w:r>
    </w:p>
    <w:p>
      <w:r>
        <w:rPr>
          <w:b/>
          <w:sz w:val="19"/>
        </w:rPr>
        <w:t xml:space="preserve">Übertragbarkeit: </w:t>
      </w:r>
      <w:r>
        <w:rPr>
          <w:sz w:val="19"/>
        </w:rPr>
        <w:t>Niederländische Routinepraxis; Sozialversicherungssystem ähnlich Deutschland, direkt übertragbar für Versorgungsforschung in ländlichen Gebieten.</w:t>
      </w:r>
    </w:p>
    <w:p>
      <w:r>
        <w:rPr>
          <w:color w:val="5A7D3A"/>
          <w:sz w:val="18"/>
        </w:rPr>
        <w:t>https://pubmed.ncbi.nlm.nih.gov/42926196/</w:t>
      </w:r>
    </w:p>
    <w:p>
      <w:pPr>
        <w:pStyle w:val="Heading2"/>
      </w:pPr>
      <w:r>
        <w:t>Krankenhausüberwachung vermeidbarer Krankheiten bei Kindern: Niederlande</w:t>
      </w:r>
    </w:p>
    <w:p>
      <w:r>
        <w:rPr>
          <w:i/>
          <w:color w:val="666666"/>
          <w:sz w:val="18"/>
        </w:rPr>
        <w:t>Heemskerk S et al.  ·  Vaccine  ·  24.10.2026  ·  PMID 42925772</w:t>
      </w:r>
    </w:p>
    <w:p>
      <w:r>
        <w:t>Niederländische Machbarkeitsstudie evaluierte die Realisierbarkeit von Krankenhausüberwachung für Impfstoff-vermeidbare Erkrankungen mittels Routinedaten in einem Universitätsklinikum (Juli 2024–Juni 2025).</w:t>
      </w:r>
    </w:p>
    <w:p>
      <w:r>
        <w:rPr>
          <w:b/>
        </w:rPr>
        <w:t xml:space="preserve">Ergebnis: </w:t>
      </w:r>
      <w:r>
        <w:t>99 Kinder mit 103 Episoden wurden eingeschlossen; 60% benötigten pädiatrische Intensivpflege. Häufigste waren RSV (n=52) und Influenza (n=27). Impfstatus konnte für 84% der Episoden ermittelt werden. 9% der Episoden traten trotz vollständiger Impfung auf; 76% traten bei nicht-geimpften Kindern auf. Datenintegration aus mehreren Quellen war notwendig.</w:t>
      </w:r>
    </w:p>
    <w:p>
      <w:r>
        <w:rPr>
          <w:b/>
          <w:sz w:val="19"/>
        </w:rPr>
        <w:t xml:space="preserve">Übertragbarkeit: </w:t>
      </w:r>
      <w:r>
        <w:rPr>
          <w:sz w:val="19"/>
        </w:rPr>
        <w:t>Niederländische Tertiärversorgung, nationale Impfprogramme vergleichbar; hohes Potenzial für adaptierte Surveillance in Deutschland.</w:t>
      </w:r>
    </w:p>
    <w:p>
      <w:r>
        <w:rPr>
          <w:color w:val="5A7D3A"/>
          <w:sz w:val="18"/>
        </w:rPr>
        <w:t>https://pubmed.ncbi.nlm.nih.gov/42925772/</w:t>
      </w:r>
    </w:p>
    <w:p>
      <w:pPr>
        <w:pStyle w:val="Heading2"/>
      </w:pPr>
      <w:r>
        <w:t>Schwere Erkrankungen bei chirurgischen Patienten: Mehr Wiederaufnahmen und Kosten</w:t>
      </w:r>
    </w:p>
    <w:p>
      <w:r>
        <w:rPr>
          <w:i/>
          <w:color w:val="666666"/>
          <w:sz w:val="18"/>
        </w:rPr>
        <w:t>Fong WJ et al.  ·  Ann Acad Med Singap  ·  22.10.2026  ·  PMID 42921853</w:t>
      </w:r>
    </w:p>
    <w:p>
      <w:r>
        <w:t>Singapurer Registerstudie (n=228.687 stationäre Operationen, April 2019–März 2023) untersuchte, wie Patienten mit "serious illness" (SI) postoperative Gesundheitsnutzung und Kosten beeinflussen.</w:t>
      </w:r>
    </w:p>
    <w:p>
      <w:r>
        <w:rPr>
          <w:b/>
        </w:rPr>
        <w:t xml:space="preserve">Ergebnis: </w:t>
      </w:r>
      <w:r>
        <w:t>17,9% (41.011) erfüllten SI-Kriterien. Gegenüber Patienten ohne SI: SI-Patienten hatten längere Verweildauer (IRR 1,81; 95% CI 1,80–1,83), höhere 30-Tage-Wiederaufnahmen (OR 1,58; 95% CI 1,52–1,64), höhere 1-Jahres-Wiederaufnahmen (OR 2,60; 95% CI 2,53–2,67), höhere 1-Jahres-ED-Besuche (OR 2,08; 95% CI 2,03–2,14) und höhere relative Rechnungssummen (RR 1,64; 95% CI 1,62–1,67).</w:t>
      </w:r>
    </w:p>
    <w:p>
      <w:r>
        <w:rPr>
          <w:b/>
          <w:sz w:val="19"/>
        </w:rPr>
        <w:t xml:space="preserve">Übertragbarkeit: </w:t>
      </w:r>
      <w:r>
        <w:rPr>
          <w:sz w:val="19"/>
        </w:rPr>
        <w:t>Singapur-Routinedaten; System und Fragestellung relevant für deutsches Gesundheitswesen zur Identifikation von Hochrisiko-Patienten in der Versorgung.</w:t>
      </w:r>
    </w:p>
    <w:p>
      <w:r>
        <w:rPr>
          <w:color w:val="5A7D3A"/>
          <w:sz w:val="18"/>
        </w:rPr>
        <w:t>https://pubmed.ncbi.nlm.nih.gov/42921853/</w:t>
      </w:r>
    </w:p>
    <w:p>
      <w:pPr>
        <w:pStyle w:val="Heading1"/>
      </w:pPr>
      <w:r>
        <w:t>Aufgenommen am 25.10.2026</w:t>
      </w:r>
    </w:p>
    <w:p>
      <w:pPr>
        <w:pStyle w:val="Heading2"/>
      </w:pPr>
      <w:r>
        <w:t>Soziale Unterstützung und Zufriedenheit mit Anreizen in Primärversorgung</w:t>
      </w:r>
    </w:p>
    <w:p>
      <w:r>
        <w:rPr>
          <w:i/>
          <w:color w:val="666666"/>
          <w:sz w:val="18"/>
        </w:rPr>
        <w:t>Wang J et al.  ·  BMC Health Serv Res  ·  13.10.2026  ·  PMID 42920143</w:t>
      </w:r>
    </w:p>
    <w:p>
      <w:r>
        <w:t>Querschnittsstudie mit 1154 Beschäftigten in Primärversorgungseinrichtungen (Anhui, China) zur Assoziation zwischen sozialer Unterstützung und Zufriedenheit mit Organisationsanreizen sowie der mediierenden Rolle der psychologischen Ressourcen.</w:t>
      </w:r>
    </w:p>
    <w:p>
      <w:r>
        <w:rPr>
          <w:b/>
        </w:rPr>
        <w:t xml:space="preserve">Ergebnis: </w:t>
      </w:r>
      <w:r>
        <w:t>Positive Korrelation zwischen sozialer Unterstützung und Zufriedenheit (β = 0,257, p &lt; 0,001 in Modell 5; β = 0,178, p &lt; 0,001 in Modell 6). Hoffnung zeigte positiven partiellen Mediatoreffekt (indirekter Effekt = 0,077, 95%-KI [0,042; 0,115]), Selbstwirksamkeit einen maskierenden Effekt (indirekter Effekt = −0,033, 95%-KI [−0,057; −0,009]). Unterschiedliche Wirkpfade von Ressourcen-Subdimensionen identifiziert.</w:t>
      </w:r>
    </w:p>
    <w:p>
      <w:r>
        <w:rPr>
          <w:b/>
          <w:sz w:val="19"/>
        </w:rPr>
        <w:t xml:space="preserve">Übertragbarkeit: </w:t>
      </w:r>
      <w:r>
        <w:rPr>
          <w:sz w:val="19"/>
        </w:rPr>
        <w:t>China-Daten; begrenzt übertragbar auf deutsches Sozialversicherungssystem wegen anderer Systemstruktur</w:t>
      </w:r>
    </w:p>
    <w:p>
      <w:r>
        <w:rPr>
          <w:color w:val="5A7D3A"/>
          <w:sz w:val="18"/>
        </w:rPr>
        <w:t>https://pubmed.ncbi.nlm.nih.gov/42920143/</w:t>
      </w:r>
    </w:p>
    <w:p>
      <w:pPr>
        <w:pStyle w:val="Heading2"/>
      </w:pPr>
      <w:r>
        <w:t>Register als Basis für Value-Based Health Care in Orthopädie</w:t>
      </w:r>
    </w:p>
    <w:p>
      <w:r>
        <w:rPr>
          <w:i/>
          <w:color w:val="666666"/>
          <w:sz w:val="18"/>
        </w:rPr>
        <w:t>Cnudde P et al.  ·  BMC Health Serv Res  ·  15.09.2026  ·  PMID 42920135</w:t>
      </w:r>
    </w:p>
    <w:p>
      <w:r>
        <w:t>Qualitative Studie mit 15 internationalen Experten zu Rolle klinischer Register bei Entwicklung und Umsetzung von Value-Based Health Care anhand orthopädischer Register.</w:t>
      </w:r>
    </w:p>
    <w:p>
      <w:r>
        <w:rPr>
          <w:b/>
        </w:rPr>
        <w:t xml:space="preserve">Ergebnis: </w:t>
      </w:r>
      <w:r>
        <w:t>Register tragen zur Evidence-Based Medicine und Verbesserung von Patientenergebnissen bei durch Unterstützung von Implant-Entscheidungen und Behandlungsregimen für vier Stakeholder (Patient, klinisches Team, Gesundheitssystem, Gesellschaft). Rolle bei Pathways-Entwicklung war variabel. Register reduzieren unerwünschte Variation und verknüpfen Wert mit Versorgung.</w:t>
      </w:r>
    </w:p>
    <w:p>
      <w:r>
        <w:rPr>
          <w:b/>
          <w:sz w:val="19"/>
        </w:rPr>
        <w:t xml:space="preserve">Übertragbarkeit: </w:t>
      </w:r>
      <w:r>
        <w:rPr>
          <w:sz w:val="19"/>
        </w:rPr>
        <w:t>Skandinavische und UK-Register; Konzept übertragbar auf deutsches System mit Sozialversicherungsfinanzierung</w:t>
      </w:r>
    </w:p>
    <w:p>
      <w:r>
        <w:rPr>
          <w:color w:val="5A7D3A"/>
          <w:sz w:val="18"/>
        </w:rPr>
        <w:t>https://pubmed.ncbi.nlm.nih.gov/42920135/</w:t>
      </w:r>
    </w:p>
    <w:p>
      <w:pPr>
        <w:pStyle w:val="Heading2"/>
      </w:pPr>
      <w:r>
        <w:t>Second Victimhood bei Ärztinnen und Ärzten sowie Pflegenden</w:t>
      </w:r>
    </w:p>
    <w:p>
      <w:r>
        <w:rPr>
          <w:i/>
          <w:color w:val="666666"/>
          <w:sz w:val="18"/>
        </w:rPr>
        <w:t>Açıkgöz B et al.  ·  BMC Health Serv Res  ·  30.09.2026  ·  PMID 42920132</w:t>
      </w:r>
    </w:p>
    <w:p>
      <w:r>
        <w:t>Querschnittsstudie mit 366 Beschäftigten eines türkischen Universitätskrankenhauses zur Häufigkeit und Folgen von Second Victimhood nach unerwünschten Ereignissen sowie zu Unterstützungsbedarfen.</w:t>
      </w:r>
    </w:p>
    <w:p>
      <w:r>
        <w:rPr>
          <w:b/>
        </w:rPr>
        <w:t xml:space="preserve">Ergebnis: </w:t>
      </w:r>
      <w:r>
        <w:t>15,0% der Teilnehmenden berichteten Second Victimhood, 75,9% davon berichteten negative Konsequenzen. Alter ≥46 Jahre (aOR = 5,27, 95%-KI 1,97–14,06) und 2–5 Jahre Betriebszugehörigkeit (aOR = 2,82, 95%-KI 1,43–5,56) waren unabhängig mit Second Victimhood assoziiert. Wunsch nach strukturierter institutioneller Unterstützung war hoch.</w:t>
      </w:r>
    </w:p>
    <w:p>
      <w:r>
        <w:rPr>
          <w:b/>
          <w:sz w:val="19"/>
        </w:rPr>
        <w:t xml:space="preserve">Übertragbarkeit: </w:t>
      </w:r>
      <w:r>
        <w:rPr>
          <w:sz w:val="19"/>
        </w:rPr>
        <w:t>Türkische Daten; qualitative Befunde zu psychosozialen Folgen systemunabhängig relevant</w:t>
      </w:r>
    </w:p>
    <w:p>
      <w:r>
        <w:rPr>
          <w:color w:val="5A7D3A"/>
          <w:sz w:val="18"/>
        </w:rPr>
        <w:t>https://pubmed.ncbi.nlm.nih.gov/42920132/</w:t>
      </w:r>
    </w:p>
    <w:p>
      <w:pPr>
        <w:pStyle w:val="Heading2"/>
      </w:pPr>
      <w:r>
        <w:t>Digitale Psychotherapie für Gesundheitsfachpersonen mit Depression und Angst</w:t>
      </w:r>
    </w:p>
    <w:p>
      <w:r>
        <w:rPr>
          <w:i/>
          <w:color w:val="666666"/>
          <w:sz w:val="18"/>
        </w:rPr>
        <w:t>Morgenstern J et al.  ·  BMC Health Serv Res  ·  12.08.2026  ·  PMID 42908008</w:t>
      </w:r>
    </w:p>
    <w:p>
      <w:r>
        <w:t>Prospektive Kohortenstudie mit 496 Beschäftigten eines US-Gesundheitssystems zur Effektivität und Adhärenz bei digital bereitgestellter, arbeitgeberorientierter Evidence-Based Psychotherapy.</w:t>
      </w:r>
    </w:p>
    <w:p>
      <w:r>
        <w:rPr>
          <w:b/>
        </w:rPr>
        <w:t xml:space="preserve">Ergebnis: </w:t>
      </w:r>
      <w:r>
        <w:t>Von 496 Teilnehmenden absolvierten 348 (70,2%) mindestens eine Follow-up-Untersuchung. Mittlere Symptomreduktion: 6,4 Punkte PHQ-9 (95%-KI 5,7–7,1) und 6,3 Punkte GAD-7 (95%-KI 5,8–6,9; beide p &lt; 0,001). Remissionsraten: 36,5% Depression, 48,8% Angststörung. Durchschnittlich 15 Sitzungen besucht, 81,9% Therapie abgeschlossen.</w:t>
      </w:r>
    </w:p>
    <w:p>
      <w:r>
        <w:rPr>
          <w:b/>
          <w:sz w:val="19"/>
        </w:rPr>
        <w:t xml:space="preserve">Übertragbarkeit: </w:t>
      </w:r>
      <w:r>
        <w:rPr>
          <w:sz w:val="19"/>
        </w:rPr>
        <w:t>US-Studie; Implementierungsmodell systemunabhängig für Betriebliche Gesundheitsförderung relevant</w:t>
      </w:r>
    </w:p>
    <w:p>
      <w:r>
        <w:rPr>
          <w:color w:val="5A7D3A"/>
          <w:sz w:val="18"/>
        </w:rPr>
        <w:t>https://pubmed.ncbi.nlm.nih.gov/42908008/</w:t>
      </w:r>
    </w:p>
    <w:p>
      <w:pPr>
        <w:pStyle w:val="Heading2"/>
      </w:pPr>
      <w:r>
        <w:t>Effektivität der RSV-Impfung in der klinischen Praxis</w:t>
      </w:r>
    </w:p>
    <w:p>
      <w:r>
        <w:rPr>
          <w:i/>
          <w:color w:val="666666"/>
          <w:sz w:val="18"/>
        </w:rPr>
        <w:t>Groenendijk RW et al.  ·  Lancet Infect Dis  ·  20.10.2026  ·  PMID 42901195</w:t>
      </w:r>
    </w:p>
    <w:p>
      <w:r>
        <w:t>Narrativer Review zur Real-World-Effektivität und Implementierung von RSV-Impfstoffen für Säuglinge und ältere Erwachsene sowie Zugangsbarrieren insbesondere in Ländern mit niedrigerem Einkommen.</w:t>
      </w:r>
    </w:p>
    <w:p>
      <w:r>
        <w:rPr>
          <w:b/>
        </w:rPr>
        <w:t xml:space="preserve">Ergebnis: </w:t>
      </w:r>
      <w:r>
        <w:t>RSV-Impfstoffe zeigen hohe Real-World-Effektivität mit zusätzlichen Vorteilen (reduzierte kardiovaskuläre Ereignisse bei älteren Erwachsenen). Trotz vergleichbarer Effektivität unterscheiden sich Inanspruchnahmequoten zwischen Produkttypen erheblich. Erfolgreiche Implementierung erfordert Integration in routinierte Versorgung, Empfehlung durch vertraute Anbieter und kontextsensitive Strategien.</w:t>
      </w:r>
    </w:p>
    <w:p>
      <w:r>
        <w:rPr>
          <w:b/>
          <w:sz w:val="19"/>
        </w:rPr>
        <w:t xml:space="preserve">Übertragbarkeit: </w:t>
      </w:r>
      <w:r>
        <w:rPr>
          <w:sz w:val="19"/>
        </w:rPr>
        <w:t>Internationale Evidenz; Zugangs- und Implementierungsaspekte für deutsches Sozialversicherungssystem relevant</w:t>
      </w:r>
    </w:p>
    <w:p>
      <w:r>
        <w:rPr>
          <w:color w:val="5A7D3A"/>
          <w:sz w:val="18"/>
        </w:rPr>
        <w:t>https://pubmed.ncbi.nlm.nih.gov/42901195/</w:t>
      </w:r>
    </w:p>
    <w:p>
      <w:pPr>
        <w:pStyle w:val="Heading2"/>
      </w:pPr>
      <w:r>
        <w:t>Genetische Faktoren und Manifestation von Essstörungssymptomen</w:t>
      </w:r>
    </w:p>
    <w:p>
      <w:r>
        <w:rPr>
          <w:i/>
          <w:color w:val="666666"/>
          <w:sz w:val="18"/>
        </w:rPr>
        <w:t>Davies HL et al.  ·  Br J Psychiatry  ·  07.10.2026  ·  PMID 42841245</w:t>
      </w:r>
    </w:p>
    <w:p>
      <w:r>
        <w:t>Genomische Assoziationsstudie mit 24.973 Personen europäischen Ursprungs zu Häufigkeit, Manifestationsalter und genetischer Heritabilität von Essstörungssymptomen sowie zu polygenen Assoziationen.</w:t>
      </w:r>
    </w:p>
    <w:p>
      <w:r>
        <w:rPr>
          <w:b/>
        </w:rPr>
        <w:t xml:space="preserve">Ergebnis: </w:t>
      </w:r>
      <w:r>
        <w:t>Symptommedian-Onset 16–20 Jahre: Erbrechen (16 Jahre), Fasten/exzessives Training (17 Jahre), Binge Eating (18 Jahre), Abführmittel (19 Jahre), Diuretika (20 Jahre), Untergewicht (20 Jahre). SNP-basierte Heritabilität 0,31–0,78 für Verhaltensweisen; Alter bei Onset weniger heritabel. Frühere Binge-Eating-Exposition bei höherem Adipositas-PGS (~7 Monate).</w:t>
      </w:r>
    </w:p>
    <w:p>
      <w:r>
        <w:rPr>
          <w:b/>
          <w:sz w:val="19"/>
        </w:rPr>
        <w:t xml:space="preserve">Übertragbarkeit: </w:t>
      </w:r>
      <w:r>
        <w:rPr>
          <w:sz w:val="19"/>
        </w:rPr>
        <w:t>UK-Biobankdaten; Symptom-Onset-Profile und Geschlechtsunterschiede für Prävention und Versorgung relevant</w:t>
      </w:r>
    </w:p>
    <w:p>
      <w:r>
        <w:rPr>
          <w:color w:val="5A7D3A"/>
          <w:sz w:val="18"/>
        </w:rPr>
        <w:t>https://pubmed.ncbi.nlm.nih.gov/42841245/</w:t>
      </w:r>
    </w:p>
    <w:p>
      <w:pPr>
        <w:pStyle w:val="Heading1"/>
      </w:pPr>
      <w:r>
        <w:t>Aufgenommen am 24.10.2026</w:t>
      </w:r>
    </w:p>
    <w:p>
      <w:pPr>
        <w:pStyle w:val="Heading2"/>
      </w:pPr>
      <w:r>
        <w:t>Resilienzfaktoren bei Altenpflegekräften: Mixed-Methods-Studie</w:t>
      </w:r>
    </w:p>
    <w:p>
      <w:r>
        <w:rPr>
          <w:i/>
          <w:color w:val="666666"/>
          <w:sz w:val="18"/>
        </w:rPr>
        <w:t>Cantarelli P et al.  ·  BMC Health Serv Res  ·  27.07.2026  ·  PMID 42919231</w:t>
      </w:r>
    </w:p>
    <w:p>
      <w:r>
        <w:t>Die Studie untersuchte persönliche und organisationale Prädiktoren von Resilienz bei Fachkräften in stationären Altenpflegeeinrichtungen in Italien durch eine Querschnittsbefragung (n=231) und vier Fokusgruppen.</w:t>
      </w:r>
    </w:p>
    <w:p>
      <w:r>
        <w:rPr>
          <w:b/>
        </w:rPr>
        <w:t xml:space="preserve">Ergebnis: </w:t>
      </w:r>
      <w:r>
        <w:t>Psychisches Wohlbefinden war der stärkste Prädiktor für individuelle Resilienz (multivariate Analyse), gefolgt von organisationaler Resilienzkapazität. Burnout, Kündigungsabsicht und Selbstbeurteilung der Gesundheit zeigten keine signifikanten Assoziationen mit Resilienz. Qualitative Befunde: Beziehungssinn in der Pflege als Schlüsselquelle für psychologische Belohnung, Teamwork und organisationale Unterstützung als zentral für Resilienz.</w:t>
      </w:r>
    </w:p>
    <w:p>
      <w:r>
        <w:rPr>
          <w:b/>
          <w:sz w:val="19"/>
        </w:rPr>
        <w:t xml:space="preserve">Übertragbarkeit: </w:t>
      </w:r>
      <w:r>
        <w:rPr>
          <w:sz w:val="19"/>
        </w:rPr>
        <w:t>Italien, aber ähnliche Struktur stationärer Altenpflege wie Deutschland</w:t>
      </w:r>
    </w:p>
    <w:p>
      <w:r>
        <w:rPr>
          <w:color w:val="5A7D3A"/>
          <w:sz w:val="18"/>
        </w:rPr>
        <w:t>https://pubmed.ncbi.nlm.nih.gov/42919231/</w:t>
      </w:r>
    </w:p>
    <w:p>
      <w:pPr>
        <w:pStyle w:val="Heading2"/>
      </w:pPr>
      <w:r>
        <w:t>Chatbot zur Telemedizin-Unterstützung bei Diabetes: Mixed-Methods-Studie</w:t>
      </w:r>
    </w:p>
    <w:p>
      <w:r>
        <w:rPr>
          <w:i/>
          <w:color w:val="666666"/>
          <w:sz w:val="18"/>
        </w:rPr>
        <w:t>Ong RHS et al.  ·  J Med Internet Res  ·  23.10.2026  ·  PMID 42913398</w:t>
      </w:r>
    </w:p>
    <w:p>
      <w:r>
        <w:t>Embedded Mixed-Methods-Evaluierung eines klinisch-protokollgestützten Chatbots (Siu Dai) zur Unterstützung von Telecare-Fachkräften und Diabetespatienten (n=14: 7 Patienten, 7 Fachkräfte).</w:t>
      </w:r>
    </w:p>
    <w:p>
      <w:r>
        <w:rPr>
          <w:b/>
        </w:rPr>
        <w:t xml:space="preserve">Ergebnis: </w:t>
      </w:r>
      <w:r>
        <w:t>Patienten: hohe Engagement (79% abgeschlossener Sessions, Median 2:58 Min), hohe Zufriedenheit (86% würden empfehlen). Fachkräfte zurückhaltender (43% befürworten universelle Ausrollung). System Usability Scale 60,3±9,6 (akzeptabel). Qualitativ fünf Themen: Usability, Prozessintegration, Akzeptanzfaktoren, wahrgenommene Effizienz, Verbesserungsvorschläge. Barrieren: fehlende EMR-Integration, Inhaltredundanz.</w:t>
      </w:r>
    </w:p>
    <w:p>
      <w:r>
        <w:rPr>
          <w:b/>
          <w:sz w:val="19"/>
        </w:rPr>
        <w:t xml:space="preserve">Übertragbarkeit: </w:t>
      </w:r>
      <w:r>
        <w:rPr>
          <w:sz w:val="19"/>
        </w:rPr>
        <w:t>Singapur-Daten; telemedizinische Prozesse aber systemunabhängig relevant</w:t>
      </w:r>
    </w:p>
    <w:p>
      <w:r>
        <w:rPr>
          <w:color w:val="5A7D3A"/>
          <w:sz w:val="18"/>
        </w:rPr>
        <w:t>https://pubmed.ncbi.nlm.nih.gov/42913398/</w:t>
      </w:r>
    </w:p>
    <w:p>
      <w:pPr>
        <w:pStyle w:val="Heading2"/>
      </w:pPr>
      <w:r>
        <w:t>PrEP-Adoption bei Sexarbeiterinnen in Äthiopien: Einflussfaktoren</w:t>
      </w:r>
    </w:p>
    <w:p>
      <w:r>
        <w:rPr>
          <w:i/>
          <w:color w:val="666666"/>
          <w:sz w:val="18"/>
        </w:rPr>
        <w:t>Lema M et al.  ·  BMC Health Serv Res  ·  25.07.2026  ·  PMID 42908021</w:t>
      </w:r>
    </w:p>
    <w:p>
      <w:r>
        <w:t>Querschnittsstudie mit 422 HIV-negativen Sexarbeiterinnen zur Untersuchung von Faktoren, die PrEP-Adoption beeinflussen.</w:t>
      </w:r>
    </w:p>
    <w:p>
      <w:r>
        <w:rPr>
          <w:b/>
        </w:rPr>
        <w:t xml:space="preserve">Ergebnis: </w:t>
      </w:r>
      <w:r>
        <w:t>PrEP-Uptake 43,3% (95%-KI 38,6–48,1%). Signifikant assoziiert mit PrEP-Nutzung: Alter &gt;24 Jahre (AOR 2,03), PrEP-Bewusstsein (AOR 2,53), HIV-Risikoperzeption (AOR 1,89), flexible Arbeitszeiten (AOR 2,89). Keine signifikanten Assoziationen mit Substanzabhängigkeit, Kondomnutzung oder religiösen Überzeugungen.</w:t>
      </w:r>
    </w:p>
    <w:p>
      <w:r>
        <w:rPr>
          <w:b/>
          <w:sz w:val="19"/>
        </w:rPr>
        <w:t xml:space="preserve">Übertragbarkeit: </w:t>
      </w:r>
      <w:r>
        <w:rPr>
          <w:sz w:val="19"/>
        </w:rPr>
        <w:t>Begrenzt: Subsahara-Afrika, anderes Gesundheitssystem, Frage aber systemunabhängig</w:t>
      </w:r>
    </w:p>
    <w:p>
      <w:r>
        <w:rPr>
          <w:color w:val="5A7D3A"/>
          <w:sz w:val="18"/>
        </w:rPr>
        <w:t>https://pubmed.ncbi.nlm.nih.gov/42908021/</w:t>
      </w:r>
    </w:p>
    <w:p>
      <w:pPr>
        <w:pStyle w:val="Heading2"/>
      </w:pPr>
      <w:r>
        <w:t>Apothekengestützte Kontinenzversorgung (PRIME): Co-Production-Studie</w:t>
      </w:r>
    </w:p>
    <w:p>
      <w:r>
        <w:rPr>
          <w:i/>
          <w:color w:val="666666"/>
          <w:sz w:val="18"/>
        </w:rPr>
        <w:t>Cotterill N et al.  ·  BMC Health Serv Res  ·  24.07.2026  ·  PMID 42907888</w:t>
      </w:r>
    </w:p>
    <w:p>
      <w:r>
        <w:t>UK-Online-Umfrage mit 29 Apothekern und zwei Workshops mit 16 Stakeholdern (Apotheker, Fachkräfte, Patienten, Kommissare) zur Entwicklung einer Servicespezifikation für Blasen- und Darmgesundheit.</w:t>
      </w:r>
    </w:p>
    <w:p>
      <w:r>
        <w:rPr>
          <w:b/>
        </w:rPr>
        <w:t xml:space="preserve">Ergebnis: </w:t>
      </w:r>
      <w:r>
        <w:t>Umfrage: Apotheken bieten einige Lebensstiländerungsberatung an, substanzielles Ausbaupotenzial erkannt. Workshops entwickelten dreistufige PBBS-Servicespezifikation: Tier 1 (Aufklärung, Signposting), Tier 2 (Bewertung, Selbsthilferatschläge), Tier 3 (spezialisierte Behandlung). Kritische Anforderungen: Informationsaustausch, Schulung, Vergütung.</w:t>
      </w:r>
    </w:p>
    <w:p>
      <w:r>
        <w:rPr>
          <w:b/>
          <w:sz w:val="19"/>
        </w:rPr>
        <w:t xml:space="preserve">Übertragbarkeit: </w:t>
      </w:r>
      <w:r>
        <w:rPr>
          <w:sz w:val="19"/>
        </w:rPr>
        <w:t>UK-Studie, aber Apotheken-Versorgungsforschung auf Primärversorgung übertragbar</w:t>
      </w:r>
    </w:p>
    <w:p>
      <w:r>
        <w:rPr>
          <w:color w:val="5A7D3A"/>
          <w:sz w:val="18"/>
        </w:rPr>
        <w:t>https://pubmed.ncbi.nlm.nih.gov/42907888/</w:t>
      </w:r>
    </w:p>
    <w:p>
      <w:pPr>
        <w:pStyle w:val="Heading2"/>
      </w:pPr>
      <w:r>
        <w:t>Rolle von Gemeindegesundheitshelfern in Delhi: qualitative Erfahrungen</w:t>
      </w:r>
    </w:p>
    <w:p>
      <w:r>
        <w:rPr>
          <w:i/>
          <w:color w:val="666666"/>
          <w:sz w:val="18"/>
        </w:rPr>
        <w:t>Steenbeek A et al.  ·  BMC Health Serv Res  ·  27.07.2026  ·  PMID 42907877</w:t>
      </w:r>
    </w:p>
    <w:p>
      <w:r>
        <w:t>Qualitative Deskriptivanalyse mit 12 Gemeindegesundheitshelfern, 5 Gemeindemitgliedern und 4 Gemeindeleitern in Delhi während und nach COVID-19 (März–Mai 2025).</w:t>
      </w:r>
    </w:p>
    <w:p>
      <w:r>
        <w:rPr>
          <w:b/>
        </w:rPr>
        <w:t xml:space="preserve">Ergebnis: </w:t>
      </w:r>
      <w:r>
        <w:t>Drei Kategorien aus Angebots-Sicht: Vertrauen und Respekt, professionelle Werte, Normen/Kultur/Familie. Eine Kategorie aus Nachfrage-Sicht: Gemeinschaftsbedarf. COVID-19-Auswirkungen und Bedenken zur Versorgungsqualität über alle Domänen evident. Wichtigste Befunde: Notwendigkeit von Forschung zu soziokulturellen Einflüssen, Anreiz-Nachhaltigkeit und digitalen Technologien.</w:t>
      </w:r>
    </w:p>
    <w:p>
      <w:r>
        <w:rPr>
          <w:b/>
          <w:sz w:val="19"/>
        </w:rPr>
        <w:t xml:space="preserve">Übertragbarkeit: </w:t>
      </w:r>
      <w:r>
        <w:rPr>
          <w:sz w:val="19"/>
        </w:rPr>
        <w:t>Indien; qualitative Einsichten zu CHW-Rollen aber teilweise übertragbar</w:t>
      </w:r>
    </w:p>
    <w:p>
      <w:r>
        <w:rPr>
          <w:color w:val="5A7D3A"/>
          <w:sz w:val="18"/>
        </w:rPr>
        <w:t>https://pubmed.ncbi.nlm.nih.gov/42907877/</w:t>
      </w:r>
    </w:p>
    <w:p>
      <w:pPr>
        <w:pStyle w:val="Heading2"/>
      </w:pPr>
      <w:r>
        <w:t>Patientenreisen bei Kindern mit Chronischerkrankungen in Deutschland</w:t>
      </w:r>
    </w:p>
    <w:p>
      <w:r>
        <w:rPr>
          <w:i/>
          <w:color w:val="666666"/>
          <w:sz w:val="18"/>
        </w:rPr>
        <w:t>Herr CJ et al.  ·  Eur J Pediatr  ·  22.10.2026  ·  PMID 42907562</w:t>
      </w:r>
    </w:p>
    <w:p>
      <w:r>
        <w:t>Qualitative Studie mit 22 Fachkräften (7 Ärzte, 8 Therapeuten, 7 Sozialarbeiter) zur Erkundung von Perspektiven auf Versorgungspfade von Kindern mit chronischen Erkrankungen.</w:t>
      </w:r>
    </w:p>
    <w:p>
      <w:r>
        <w:rPr>
          <w:b/>
        </w:rPr>
        <w:t xml:space="preserve">Ergebnis: </w:t>
      </w:r>
      <w:r>
        <w:t>Fünf Themen identifiziert: Versorgung wird als fragmentiert, schwer navigierbar und schlecht koordiniert wahrgenommen. Hauptbarrieren: lange Wartezeiten, unkare Versorgungspfade, begrenzte interprofessionelle Kommunikation. Besondere Schwierigkeiten bei sozioökonomischen Benachteiligungen und Sprachbarrieren. Empfehlung: bessere Systemkoordination und Erreichbarkeit.</w:t>
      </w:r>
    </w:p>
    <w:p>
      <w:r>
        <w:rPr>
          <w:b/>
          <w:sz w:val="19"/>
        </w:rPr>
        <w:t xml:space="preserve">Übertragbarkeit: </w:t>
      </w:r>
      <w:r>
        <w:rPr>
          <w:sz w:val="19"/>
        </w:rPr>
        <w:t>Deutsche Studie mit deutschen Daten und System</w:t>
      </w:r>
    </w:p>
    <w:p>
      <w:r>
        <w:rPr>
          <w:color w:val="5A7D3A"/>
          <w:sz w:val="18"/>
        </w:rPr>
        <w:t>https://pubmed.ncbi.nlm.nih.gov/42907562/</w:t>
      </w:r>
    </w:p>
    <w:p>
      <w:pPr>
        <w:pStyle w:val="Heading1"/>
      </w:pPr>
      <w:r>
        <w:t>Aufgenommen am 23.10.2026</w:t>
      </w:r>
    </w:p>
    <w:p>
      <w:pPr>
        <w:pStyle w:val="Heading2"/>
      </w:pPr>
      <w:r>
        <w:t>Arbeitszeit, Karriere und Zufriedenheit: Ärzte in Deutschland</w:t>
      </w:r>
    </w:p>
    <w:p>
      <w:r>
        <w:rPr>
          <w:i/>
          <w:color w:val="666666"/>
          <w:sz w:val="18"/>
        </w:rPr>
        <w:t>Carolina V et al.  ·  BMC Health Serv Res  ·  21.10.2026  ·  PMID 42908019</w:t>
      </w:r>
    </w:p>
    <w:p>
      <w:r>
        <w:t>Befragung von 898 deutschen Ärzten zu Arbeitszeitmodellen, Karrierechancen und Work-Life-Balance.</w:t>
      </w:r>
    </w:p>
    <w:p>
      <w:r>
        <w:rPr>
          <w:b/>
        </w:rPr>
        <w:t xml:space="preserve">Ergebnis: </w:t>
      </w:r>
      <w:r>
        <w:t>56,8% arbeiteten Vollzeit, 52,8% der Teilzeitbeschäftigten waren zufriedener als 45,3% der Vollzeitbeschäftigten (p = 0,020). Klinikärzte hatten geringere Chancen auf Arbeitszeitzufriedenheit (aOR 0,33), Arbeitgeberunterstützung (aOR 0,24) und gleiche Karrierechancen (aOR 0,31); 58,2% fürchteten negative Karrierefolgen bei Stundenreduktion.</w:t>
      </w:r>
    </w:p>
    <w:p>
      <w:r>
        <w:rPr>
          <w:b/>
          <w:sz w:val="19"/>
        </w:rPr>
        <w:t xml:space="preserve">Übertragbarkeit: </w:t>
      </w:r>
      <w:r>
        <w:rPr>
          <w:sz w:val="19"/>
        </w:rPr>
        <w:t>Deutsche Routinedaten, Ärzte aus allen Fachgruppen und Karrierestufen</w:t>
      </w:r>
    </w:p>
    <w:p>
      <w:r>
        <w:rPr>
          <w:color w:val="5A7D3A"/>
          <w:sz w:val="18"/>
        </w:rPr>
        <w:t>https://pubmed.ncbi.nlm.nih.gov/42908019/</w:t>
      </w:r>
    </w:p>
    <w:p>
      <w:pPr>
        <w:pStyle w:val="Heading2"/>
      </w:pPr>
      <w:r>
        <w:t>Patientenfeedback zur Geburtshilfe: partizipativ entwickeltes Instrument</w:t>
      </w:r>
    </w:p>
    <w:p>
      <w:r>
        <w:rPr>
          <w:i/>
          <w:color w:val="666666"/>
          <w:sz w:val="18"/>
        </w:rPr>
        <w:t>Gondwe MJ et al.  ·  BMC Health Serv Res  ·  24.07.2026  ·  PMID 42908016</w:t>
      </w:r>
    </w:p>
    <w:p>
      <w:r>
        <w:t>Partizipative Co-Design-Studie zur Entwicklung eines Feedback-Tools für Geburtshilfeleistungen mit Stakeholdern in Malawi.</w:t>
      </w:r>
    </w:p>
    <w:p>
      <w:r>
        <w:rPr>
          <w:b/>
        </w:rPr>
        <w:t xml:space="preserve">Ergebnis: </w:t>
      </w:r>
      <w:r>
        <w:t>87 Stakeholder in zwei Workshops erarbeiteten 7 Prioritätsbereiche und 27-32 Indikatoren für ante-, intra- und postpartale Versorgung. Durch iterative Konsensfindung aus ~300 Empfehlungen entstanden: respektvolle Versorgung, Kommunikation/Gesundheitserziehung, emotionale Unterstützung, Zugang und Kontinuität der Versorgung.</w:t>
      </w:r>
    </w:p>
    <w:p>
      <w:r>
        <w:rPr>
          <w:b/>
          <w:sz w:val="19"/>
        </w:rPr>
        <w:t xml:space="preserve">Übertragbarkeit: </w:t>
      </w:r>
      <w:r>
        <w:rPr>
          <w:sz w:val="19"/>
        </w:rPr>
        <w:t>Qualitative Partizipationsstudie, systemunabhängig zur Qualitätssicherung</w:t>
      </w:r>
    </w:p>
    <w:p>
      <w:r>
        <w:rPr>
          <w:color w:val="5A7D3A"/>
          <w:sz w:val="18"/>
        </w:rPr>
        <w:t>https://pubmed.ncbi.nlm.nih.gov/42908016/</w:t>
      </w:r>
    </w:p>
    <w:p>
      <w:pPr>
        <w:pStyle w:val="Heading2"/>
      </w:pPr>
      <w:r>
        <w:t>Shared Decision Making in der Behandlung von Morbus Crohn und Colitis</w:t>
      </w:r>
    </w:p>
    <w:p>
      <w:r>
        <w:rPr>
          <w:i/>
          <w:color w:val="666666"/>
          <w:sz w:val="18"/>
        </w:rPr>
        <w:t>Schoefs E et al.  ·  BMC Health Serv Res  ·  05.10.2026  ·  PMID 42907825</w:t>
      </w:r>
    </w:p>
    <w:p>
      <w:r>
        <w:t>Qualitative Befragung von 15 IBD-Patienten, 11 Gastroenterologen und 12 IBD-Krankenschwestern in Belgien zu Implementierung von Shared Decision Making.</w:t>
      </w:r>
    </w:p>
    <w:p>
      <w:r>
        <w:rPr>
          <w:b/>
        </w:rPr>
        <w:t xml:space="preserve">Ergebnis: </w:t>
      </w:r>
      <w:r>
        <w:t>Gastroenterologen berichten routinemäßige SDM-Integration, Patienten beschreiben Inkonsistenzen, besonders bei emotionaler Unterstützung und Präferenzenfeststellung. IBD-Krankenschwestern als wesentliche Partner identifiziert. Hauptbarrieren: niedrige Gesundheitskompetenz, schlechte Kommunikation, Zeitmangel. Schlüsselfaktoren: SDM-Schulung und Organisationsveränderungen.</w:t>
      </w:r>
    </w:p>
    <w:p>
      <w:r>
        <w:rPr>
          <w:b/>
          <w:sz w:val="19"/>
        </w:rPr>
        <w:t xml:space="preserve">Übertragbarkeit: </w:t>
      </w:r>
      <w:r>
        <w:rPr>
          <w:sz w:val="19"/>
        </w:rPr>
        <w:t>Belgien, vergleichbares Sozialversicherungssystem (Niederlande, Schweiz)</w:t>
      </w:r>
    </w:p>
    <w:p>
      <w:r>
        <w:rPr>
          <w:color w:val="5A7D3A"/>
          <w:sz w:val="18"/>
        </w:rPr>
        <w:t>https://pubmed.ncbi.nlm.nih.gov/42907825/</w:t>
      </w:r>
    </w:p>
    <w:p>
      <w:pPr>
        <w:pStyle w:val="Heading2"/>
      </w:pPr>
      <w:r>
        <w:t>Personalfluktuation in Gesundheitsbehörden: Einflussfaktoren</w:t>
      </w:r>
    </w:p>
    <w:p>
      <w:r>
        <w:rPr>
          <w:i/>
          <w:color w:val="666666"/>
          <w:sz w:val="18"/>
        </w:rPr>
        <w:t>Mohammed FZ et al.  ·  BMC Health Serv Res  ·  25.07.2026  ·  PMID 42907823</w:t>
      </w:r>
    </w:p>
    <w:p>
      <w:r>
        <w:t>Cross-sectional-Studie zu Kündigungsabsichten bei 418 Mitarbeitern regionaler und städtischer Gesundheitsbehörden in Äthiopien.</w:t>
      </w:r>
    </w:p>
    <w:p>
      <w:r>
        <w:rPr>
          <w:b/>
        </w:rPr>
        <w:t xml:space="preserve">Ergebnis: </w:t>
      </w:r>
      <w:r>
        <w:t>55,5% hatten Kündigungsabsicht. Assoziiert: &lt;2 Familienmitglieder (AOR 6,077), Arbeit außerhalb Familienresidenz (AOR 3,241), Trennung von Ehepartner/Kindern (AOR 2,040), Unzufriedenheit mit Gehalt (AOR 7,021) oder Organisation (AOR 2,705). Protektiver Faktor: unzureichende Schulinfrastruktur (AOR 0,411).</w:t>
      </w:r>
    </w:p>
    <w:p>
      <w:r>
        <w:rPr>
          <w:b/>
          <w:sz w:val="19"/>
        </w:rPr>
        <w:t xml:space="preserve">Übertragbarkeit: </w:t>
      </w:r>
      <w:r>
        <w:rPr>
          <w:sz w:val="19"/>
        </w:rPr>
        <w:t>Äthiopien, aber Fragestellung zu Personalmanagement systemunabhängig relevant</w:t>
      </w:r>
    </w:p>
    <w:p>
      <w:r>
        <w:rPr>
          <w:color w:val="5A7D3A"/>
          <w:sz w:val="18"/>
        </w:rPr>
        <w:t>https://pubmed.ncbi.nlm.nih.gov/42907823/</w:t>
      </w:r>
    </w:p>
    <w:p>
      <w:pPr>
        <w:pStyle w:val="Heading2"/>
      </w:pPr>
      <w:r>
        <w:t>Schmerzbehandlung und Angstabbau bei Kindern in der Notaufnahme</w:t>
      </w:r>
    </w:p>
    <w:p>
      <w:r>
        <w:rPr>
          <w:i/>
          <w:color w:val="666666"/>
          <w:sz w:val="18"/>
        </w:rPr>
        <w:t>Kappel RKK et al.  ·  Dan Med J  ·  24.09.2026  ·  PMID 42902749</w:t>
      </w:r>
    </w:p>
    <w:p>
      <w:r>
        <w:t>Prospektive Studie zur Schmerzlinderung bei 184 verletzten Kindern in dänischer Notaufnahme.</w:t>
      </w:r>
    </w:p>
    <w:p>
      <w:r>
        <w:rPr>
          <w:b/>
        </w:rPr>
        <w:t xml:space="preserve">Ergebnis: </w:t>
      </w:r>
      <w:r>
        <w:t>50% (92/184; 95% KI 43-57%) erhielten adequate Schmerzlinderung. Nicht-pharmakologische Maßnahmen selten eingesetzt (57% ≤5 Jahre, 97% &gt;5 Jahre). Pädiatrischer Anästhesist-Konsultation in nur 1,7% (n=3) genutzt. Unerwünschte Arzneimittelwirkungen bei 16,2% (6/37 medikamentös behandelt).</w:t>
      </w:r>
    </w:p>
    <w:p>
      <w:r>
        <w:rPr>
          <w:b/>
          <w:sz w:val="19"/>
        </w:rPr>
        <w:t xml:space="preserve">Übertragbarkeit: </w:t>
      </w:r>
      <w:r>
        <w:rPr>
          <w:sz w:val="19"/>
        </w:rPr>
        <w:t>Dänemark, Nordeuropa, steuerfinanziert, aber Fragestellung zu Patientensicherheit systemunabhängig</w:t>
      </w:r>
    </w:p>
    <w:p>
      <w:r>
        <w:rPr>
          <w:color w:val="5A7D3A"/>
          <w:sz w:val="18"/>
        </w:rPr>
        <w:t>https://pubmed.ncbi.nlm.nih.gov/42902749/</w:t>
      </w:r>
    </w:p>
    <w:p>
      <w:pPr>
        <w:pStyle w:val="Heading2"/>
      </w:pPr>
      <w:r>
        <w:t>Krebsversorgung in Deutschland: Inzidenz und Inanspruchnahme 2003-2016</w:t>
      </w:r>
    </w:p>
    <w:p>
      <w:r>
        <w:rPr>
          <w:i/>
          <w:color w:val="666666"/>
          <w:sz w:val="18"/>
        </w:rPr>
        <w:t>Nowossadeck E et al.  ·  BMC Health Serv Res  ·  14.10.2026  ·  PMID 42902261</w:t>
      </w:r>
    </w:p>
    <w:p>
      <w:r>
        <w:t>Analyse von deutschen Krebsregisterdaten und Versorgungsstatistiken zu Hospitalisierung und Rehabilitation (2003-2016).</w:t>
      </w:r>
    </w:p>
    <w:p>
      <w:r>
        <w:rPr>
          <w:b/>
        </w:rPr>
        <w:t xml:space="preserve">Ergebnis: </w:t>
      </w:r>
      <w:r>
        <w:t>Krebsinzidenz 2003-2016: +9,6% Frauen, +7,0% Männer. Stationäre Fälle: -0,4% Frauen, +4,5% Männer. 2016: 2,46 stationäre Fälle pro Krebsneufall (Frauen), 2,72 (Männer). Rehabilitation pro 100 1-Jahr-Überlebende: Frauen 2003-2016 von 59,2 auf 57,2 gesunken, Männer von 50,8 auf 46,9.</w:t>
      </w:r>
    </w:p>
    <w:p>
      <w:r>
        <w:rPr>
          <w:b/>
          <w:sz w:val="19"/>
        </w:rPr>
        <w:t xml:space="preserve">Übertragbarkeit: </w:t>
      </w:r>
      <w:r>
        <w:rPr>
          <w:sz w:val="19"/>
        </w:rPr>
        <w:t>Deutsche Routinedaten, Krebsregister und statistische Bundesämter</w:t>
      </w:r>
    </w:p>
    <w:p>
      <w:r>
        <w:rPr>
          <w:color w:val="5A7D3A"/>
          <w:sz w:val="18"/>
        </w:rPr>
        <w:t>https://pubmed.ncbi.nlm.nih.gov/42902261/</w:t>
      </w:r>
    </w:p>
    <w:p>
      <w:pPr>
        <w:pStyle w:val="Heading1"/>
      </w:pPr>
      <w:r>
        <w:t>Aufgenommen am 22.10.2026</w:t>
      </w:r>
    </w:p>
    <w:p>
      <w:pPr>
        <w:pStyle w:val="Heading2"/>
      </w:pPr>
      <w:r>
        <w:t>Sicherheit und Umsetzung eines regionalen Hospital-at-Home-Modells in Dänemark</w:t>
      </w:r>
    </w:p>
    <w:p>
      <w:r>
        <w:rPr>
          <w:i/>
          <w:color w:val="666666"/>
          <w:sz w:val="18"/>
        </w:rPr>
        <w:t>Hägi-Pedersen MB et al.  ·  BMC Health Serv Res  ·  24.07.2026  ·  PMID 42902350</w:t>
      </w:r>
    </w:p>
    <w:p>
      <w:r>
        <w:t>Retrospektive Beobachtungsstudie zur Implementierung und Sicherheit eines regionalen Hospital-at-Home-Dienstes mit 2.511 Patienten in Dänemark 2022–2024.</w:t>
      </w:r>
    </w:p>
    <w:p>
      <w:r>
        <w:rPr>
          <w:b/>
        </w:rPr>
        <w:t xml:space="preserve">Ergebnis: </w:t>
      </w:r>
      <w:r>
        <w:t>Medianer stationärer Aufenthalt stieg von 5,1 auf 7,3 Tage; ungeplante Krankenhausaufenthalte blieben stabil (27,0–31,1%), 30-Tage-Wiederaufnahmequoten sanken von 11,0% auf 7,0%, 30-Tage-Überlebensrate konsistent hoch (91,6–92,4%). Infektionskrankheiten häufigste Diagnose (43–47%).</w:t>
      </w:r>
    </w:p>
    <w:p>
      <w:r>
        <w:rPr>
          <w:b/>
          <w:sz w:val="19"/>
        </w:rPr>
        <w:t xml:space="preserve">Übertragbarkeit: </w:t>
      </w:r>
      <w:r>
        <w:rPr>
          <w:sz w:val="19"/>
        </w:rPr>
        <w:t>Dänemark, vergleichbares steuerfinanziertes Gesundheitssystem mit ähnlicher Primärversorgungsstruktur</w:t>
      </w:r>
    </w:p>
    <w:p>
      <w:r>
        <w:rPr>
          <w:color w:val="5A7D3A"/>
          <w:sz w:val="18"/>
        </w:rPr>
        <w:t>https://pubmed.ncbi.nlm.nih.gov/42902350/</w:t>
      </w:r>
    </w:p>
    <w:p>
      <w:pPr>
        <w:pStyle w:val="Heading2"/>
      </w:pPr>
      <w:r>
        <w:t>Fluktuation im Gesundheitspersonal: Rolle von Konflikten und Burnout in China</w:t>
      </w:r>
    </w:p>
    <w:p>
      <w:r>
        <w:rPr>
          <w:i/>
          <w:color w:val="666666"/>
          <w:sz w:val="18"/>
        </w:rPr>
        <w:t>Qi Z et al.  ·  BMC Health Serv Res  ·  25.09.2026  ·  PMID 42902343</w:t>
      </w:r>
    </w:p>
    <w:p>
      <w:r>
        <w:t>Querschnittsstudie mit 1.570 Ärztinnen und medizinischen Fachkräften zur Assoziation von Konflikten und Burnout mit Kündigungsabsicht.</w:t>
      </w:r>
    </w:p>
    <w:p>
      <w:r>
        <w:rPr>
          <w:b/>
        </w:rPr>
        <w:t xml:space="preserve">Ergebnis: </w:t>
      </w:r>
      <w:r>
        <w:t>24,8% der Teilnehmenden berichten Kündigungsabsicht. Nach Anpassung: Konflikte (OR 1,68; 95% KI 1,17–2,43) und höheres Burnout (OR 1,10; 1,07–1,13) assoziiert mit höherer Kündigungsabsicht; bessere Servicequalität (OR 0,97; 0,95–0,99) mit niedrigerer Kündigungsabsicht.</w:t>
      </w:r>
    </w:p>
    <w:p>
      <w:r>
        <w:rPr>
          <w:b/>
          <w:sz w:val="19"/>
        </w:rPr>
        <w:t xml:space="preserve">Übertragbarkeit: </w:t>
      </w:r>
      <w:r>
        <w:rPr>
          <w:sz w:val="19"/>
        </w:rPr>
        <w:t>China, Systemunabhängige Fragestellung zu Arbeitszufriedenheit und Personalverlust relevant</w:t>
      </w:r>
    </w:p>
    <w:p>
      <w:r>
        <w:rPr>
          <w:color w:val="5A7D3A"/>
          <w:sz w:val="18"/>
        </w:rPr>
        <w:t>https://pubmed.ncbi.nlm.nih.gov/42902343/</w:t>
      </w:r>
    </w:p>
    <w:p>
      <w:pPr>
        <w:pStyle w:val="Heading2"/>
      </w:pPr>
      <w:r>
        <w:t>Inanspruchnahme und Barrieren traditioneller chinesischer Medizin bei älteren Erwachsenen</w:t>
      </w:r>
    </w:p>
    <w:p>
      <w:r>
        <w:rPr>
          <w:i/>
          <w:color w:val="666666"/>
          <w:sz w:val="18"/>
        </w:rPr>
        <w:t>Yue Y et al.  ·  BMC Health Serv Res  ·  26.09.2026  ·  PMID 42902286</w:t>
      </w:r>
    </w:p>
    <w:p>
      <w:r>
        <w:t>Mixed-Methods-Studie mit 1.195 älteren Erwachsenen (Querschnitt) und 11 Interviews mit Fachkräften zur TCM-Nutzung und Umsetzungsbarrieren.</w:t>
      </w:r>
    </w:p>
    <w:p>
      <w:r>
        <w:rPr>
          <w:b/>
        </w:rPr>
        <w:t xml:space="preserve">Ergebnis: </w:t>
      </w:r>
      <w:r>
        <w:t>61,0% der Älteren (n=729) nutzten TCM-Dienste; Nutzung assoziiert mit höherer Bildung, höherem Einkommen, mehr chronischen Erkrankungen; ohne Krankenversicherung: aOR 0,30 (0,11–0,77). Provider berichten Barrieren: Politikdefizite, Personalknappheit, Ressourcenlimits, geringe Akzeptanz in der Gemeinschaft.</w:t>
      </w:r>
    </w:p>
    <w:p>
      <w:r>
        <w:rPr>
          <w:b/>
          <w:sz w:val="19"/>
        </w:rPr>
        <w:t xml:space="preserve">Übertragbarkeit: </w:t>
      </w:r>
      <w:r>
        <w:rPr>
          <w:sz w:val="19"/>
        </w:rPr>
        <w:t>China, Primärversorgung; systemspezifisch aber Fragestellung zu Versorgungszugang bei älteren Menschen relevant</w:t>
      </w:r>
    </w:p>
    <w:p>
      <w:r>
        <w:rPr>
          <w:color w:val="5A7D3A"/>
          <w:sz w:val="18"/>
        </w:rPr>
        <w:t>https://pubmed.ncbi.nlm.nih.gov/42902286/</w:t>
      </w:r>
    </w:p>
    <w:p>
      <w:pPr>
        <w:pStyle w:val="Heading2"/>
      </w:pPr>
      <w:r>
        <w:t>Systemische Determinanten der Effektivität von Diabetesversorgung im iranischen Primärsektor</w:t>
      </w:r>
    </w:p>
    <w:p>
      <w:r>
        <w:rPr>
          <w:i/>
          <w:color w:val="666666"/>
          <w:sz w:val="18"/>
        </w:rPr>
        <w:t>Ehteshami F et al.  ·  BMC Health Serv Res  ·  24.07.2026  ·  PMID 42902281</w:t>
      </w:r>
    </w:p>
    <w:p>
      <w:r>
        <w:t>Qualitative Analyse mit 29 Teilnehmern (14 Fachkräfte, 15 Patienten) in Isfahan zur Identifikation von Barrieren und Enabler in der ambulanten Diabetesversorgung.</w:t>
      </w:r>
    </w:p>
    <w:p>
      <w:r>
        <w:rPr>
          <w:b/>
        </w:rPr>
        <w:t xml:space="preserve">Ergebnis: </w:t>
      </w:r>
      <w:r>
        <w:t>Kernbefunde: Vier Versorgungskapazitäten (integriert, zugänglich, teambasiert, kontinuierlich) mit jeweiligen Facilitatoren und Barrieren. Wichtigste Enabler: Leitlinien (IraPEN), IT-Systeme (SIB), Versorgungsabdeckung; Hauptbarrieren: fragmentierte Versorgung, schlechte Koordination zwischen Leistungserbringern, Personalknappheit, Zeitdruck.</w:t>
      </w:r>
    </w:p>
    <w:p>
      <w:r>
        <w:rPr>
          <w:b/>
          <w:sz w:val="19"/>
        </w:rPr>
        <w:t xml:space="preserve">Übertragbarkeit: </w:t>
      </w:r>
      <w:r>
        <w:rPr>
          <w:sz w:val="19"/>
        </w:rPr>
        <w:t>Iran, Sozialversicherungssystem ähnlich deutschem, Primärversorgungskontext vergleichbar</w:t>
      </w:r>
    </w:p>
    <w:p>
      <w:r>
        <w:rPr>
          <w:color w:val="5A7D3A"/>
          <w:sz w:val="18"/>
        </w:rPr>
        <w:t>https://pubmed.ncbi.nlm.nih.gov/42902281/</w:t>
      </w:r>
    </w:p>
    <w:p>
      <w:pPr>
        <w:pStyle w:val="Heading2"/>
      </w:pPr>
      <w:r>
        <w:t>Forschungsbeteiligung von Selbsthilfegruppen seltener Erkrankungen in Polen</w:t>
      </w:r>
    </w:p>
    <w:p>
      <w:r>
        <w:rPr>
          <w:i/>
          <w:color w:val="666666"/>
          <w:sz w:val="18"/>
        </w:rPr>
        <w:t>Domaradzki J et al.  ·  BMC Health Serv Res  ·  22.07.2026  ·  PMID 42897645</w:t>
      </w:r>
    </w:p>
    <w:p>
      <w:r>
        <w:t>Querschnittsstudie mit 64 polnischen Patientenverbänden zu deren Engagement in Forschung und Intersektoralen Kollaborationen.</w:t>
      </w:r>
    </w:p>
    <w:p>
      <w:r>
        <w:rPr>
          <w:b/>
        </w:rPr>
        <w:t xml:space="preserve">Ergebnis: </w:t>
      </w:r>
      <w:r>
        <w:t>Die meisten Verbände berichten gelegentliche Forschungsbeteiligung, aber heterogen und begrenzt. Schwerpunkt: nichtklische Forschung (sozial, Register, Dissemination). Klinische und translationale Forschung seltener, meist unterstützend. Hauptbarrieren: Finanzierungslücken (erwähnt), begrenzte Ressourcen, eingeschränkter Einfluss auf Forschungsprozesse. Modell: eingeschränkte Co-Produktion.</w:t>
      </w:r>
    </w:p>
    <w:p>
      <w:r>
        <w:rPr>
          <w:b/>
          <w:sz w:val="19"/>
        </w:rPr>
        <w:t xml:space="preserve">Übertragbarkeit: </w:t>
      </w:r>
      <w:r>
        <w:rPr>
          <w:sz w:val="19"/>
        </w:rPr>
        <w:t>Polen, Zentraleuropa; Gesundheitssystemkontext und Forschungsbeteiligung teilweise übertragbar</w:t>
      </w:r>
    </w:p>
    <w:p>
      <w:r>
        <w:rPr>
          <w:color w:val="5A7D3A"/>
          <w:sz w:val="18"/>
        </w:rPr>
        <w:t>https://pubmed.ncbi.nlm.nih.gov/42897645/</w:t>
      </w:r>
    </w:p>
    <w:p>
      <w:pPr>
        <w:pStyle w:val="Heading2"/>
      </w:pPr>
      <w:r>
        <w:t>Wahrnehmungen von Patienten und Angehörigen zu Sauerstofftherapie in Uganda</w:t>
      </w:r>
    </w:p>
    <w:p>
      <w:r>
        <w:rPr>
          <w:i/>
          <w:color w:val="666666"/>
          <w:sz w:val="18"/>
        </w:rPr>
        <w:t>Mutesi JS et al.  ·  BMC Health Serv Res  ·  22.07.2026  ·  PMID 42897540</w:t>
      </w:r>
    </w:p>
    <w:p>
      <w:r>
        <w:t>Qualitative Studie mit 46 Interviews (16 Patienten, 30 Angehörige) zu Wahrnehmungen und psychosozialen Barrieren gegenüber Sauerstofftherapie.</w:t>
      </w:r>
    </w:p>
    <w:p>
      <w:r>
        <w:rPr>
          <w:b/>
        </w:rPr>
        <w:t xml:space="preserve">Ergebnis: </w:t>
      </w:r>
      <w:r>
        <w:t>Kernbefunde: Sauerstoff wahrgenommen als lebensrettend, aber angstauslösend; oft als Symbol des bevorstehenden Todes interpretiert; spirituelle und emotionale Deutungen häufig (Angst, Besorgnis); Patienten und Angehörige berichten ähnliche Wahrnehmungen. Informationen stammen aus Schulen, Gemeinschaft, Krankenhaus, Internet.</w:t>
      </w:r>
    </w:p>
    <w:p>
      <w:r>
        <w:rPr>
          <w:b/>
          <w:sz w:val="19"/>
        </w:rPr>
        <w:t xml:space="preserve">Übertragbarkeit: </w:t>
      </w:r>
      <w:r>
        <w:rPr>
          <w:sz w:val="19"/>
        </w:rPr>
        <w:t>Uganda, Ressourcenlimitiertes Setting; Patientenperspektive und Barrieren bei Therapie-Adhärenz systemunabhängig relevant</w:t>
      </w:r>
    </w:p>
    <w:p>
      <w:r>
        <w:rPr>
          <w:color w:val="5A7D3A"/>
          <w:sz w:val="18"/>
        </w:rPr>
        <w:t>https://pubmed.ncbi.nlm.nih.gov/42897540/</w:t>
      </w:r>
    </w:p>
    <w:p>
      <w:pPr>
        <w:pStyle w:val="Heading1"/>
      </w:pPr>
      <w:r>
        <w:t>Aufgenommen am 21.10.2026</w:t>
      </w:r>
    </w:p>
    <w:p>
      <w:pPr>
        <w:pStyle w:val="Heading2"/>
      </w:pPr>
      <w:r>
        <w:t>Pestizidexposition und Gesundheitsfolgen: Kohortenstudie mit niederländischen Primärversorgungsdaten</w:t>
      </w:r>
    </w:p>
    <w:p>
      <w:r>
        <w:rPr>
          <w:i/>
          <w:color w:val="666666"/>
          <w:sz w:val="18"/>
        </w:rPr>
        <w:t>Steenhof T et al.  ·  BMJ Open  ·  20.10.2026  ·  PMID 42901572</w:t>
      </w:r>
    </w:p>
    <w:p>
      <w:r>
        <w:t>Niederländische Kohortenstudie untersucht Zusammenhang zwischen Wohnungsexposition gegenüber Pflanzenschutzmitteln und akuten sowie chronischen Gesundheitsergebnissen.</w:t>
      </w:r>
    </w:p>
    <w:p>
      <w:r>
        <w:rPr>
          <w:b/>
        </w:rPr>
        <w:t xml:space="preserve">Ergebnis: </w:t>
      </w:r>
      <w:r>
        <w:t>Studienprotokoll beschreibt geplante Nutzung von 3,7 Millionen Primärversorgungsdatensätzen aus NIVEL-Datenbank; keine Ergebnisse, aber systematische Methodik für Versorgungsforschung etabliert.</w:t>
      </w:r>
    </w:p>
    <w:p>
      <w:r>
        <w:rPr>
          <w:b/>
          <w:sz w:val="19"/>
        </w:rPr>
        <w:t xml:space="preserve">Übertragbarkeit: </w:t>
      </w:r>
      <w:r>
        <w:rPr>
          <w:sz w:val="19"/>
        </w:rPr>
        <w:t>Niederlande, Primärversorgungsdaten, hohes Übertragungspotenzial auf deutsches System</w:t>
      </w:r>
    </w:p>
    <w:p>
      <w:r>
        <w:rPr>
          <w:color w:val="5A7D3A"/>
          <w:sz w:val="18"/>
        </w:rPr>
        <w:t>https://pubmed.ncbi.nlm.nih.gov/42901572/</w:t>
      </w:r>
    </w:p>
    <w:p>
      <w:pPr>
        <w:pStyle w:val="Heading2"/>
      </w:pPr>
      <w:r>
        <w:t>Patientenbeteiligung an klinischer Dokumentation durch Kommentarfunktion in EHR</w:t>
      </w:r>
    </w:p>
    <w:p>
      <w:r>
        <w:rPr>
          <w:i/>
          <w:color w:val="666666"/>
          <w:sz w:val="18"/>
        </w:rPr>
        <w:t>Hagström J et al.  ·  J Med Internet Res  ·  20.10.2026  ·  PMID 42901489</w:t>
      </w:r>
    </w:p>
    <w:p>
      <w:r>
        <w:t>Schwedische Studie analysierte 1.655 Patientenkommentare in elektronischen Gesundheitsakten auf Nutzung, Inhalt und Sentiment.</w:t>
      </w:r>
    </w:p>
    <w:p>
      <w:r>
        <w:rPr>
          <w:b/>
        </w:rPr>
        <w:t xml:space="preserve">Ergebnis: </w:t>
      </w:r>
      <w:r>
        <w:t>57,3% der Kommentare bezogen sich nicht auf Noten selbst; 55,6% waren neutral, 42,4% negativ. Patienten mit psychischen Erkrankungen hinterließen mehr Kommentare (Median 7 vs. 2) mit höherem Negativanteil (63,2% vs. 33,5%, p&lt;0,001).</w:t>
      </w:r>
    </w:p>
    <w:p>
      <w:r>
        <w:rPr>
          <w:b/>
          <w:sz w:val="19"/>
        </w:rPr>
        <w:t xml:space="preserve">Übertragbarkeit: </w:t>
      </w:r>
      <w:r>
        <w:rPr>
          <w:sz w:val="19"/>
        </w:rPr>
        <w:t>Schweden, Sozialversicherungssystem; Fragestellung zu Patientenengagement systemunabhängig</w:t>
      </w:r>
    </w:p>
    <w:p>
      <w:r>
        <w:rPr>
          <w:color w:val="5A7D3A"/>
          <w:sz w:val="18"/>
        </w:rPr>
        <w:t>https://pubmed.ncbi.nlm.nih.gov/42901489/</w:t>
      </w:r>
    </w:p>
    <w:p>
      <w:pPr>
        <w:pStyle w:val="Heading2"/>
      </w:pPr>
      <w:r>
        <w:t>Kosten und Outcomes von Status epilepticus in Deutschland</w:t>
      </w:r>
    </w:p>
    <w:p>
      <w:r>
        <w:rPr>
          <w:i/>
          <w:color w:val="666666"/>
          <w:sz w:val="18"/>
        </w:rPr>
        <w:t>Jünemann C et al.  ·  Eur J Neurol  ·  Okt. 2026  ·  PMID 42899468</w:t>
      </w:r>
    </w:p>
    <w:p>
      <w:r>
        <w:t>Deutsche prospektive Populationsstudie analysierte 181 Patienten mit neu definiertem Status epilepticus bezüglich Verweildauer, Kosten und Einflussfaktoren.</w:t>
      </w:r>
    </w:p>
    <w:p>
      <w:r>
        <w:rPr>
          <w:b/>
        </w:rPr>
        <w:t xml:space="preserve">Ergebnis: </w:t>
      </w:r>
      <w:r>
        <w:t>Mittlere stationäre Kosten €10.543 (Median €6.376), Verweildauer 11 Tage (Median 9). Super-refraktärer Status: signifikant höhere Kosten und längere Verweildauer (p&lt;0,001). Mechanische Beatmung stärkster unabhängiger Kostenprädiktor (Exp(B)=2,918, p&lt;0,001).</w:t>
      </w:r>
    </w:p>
    <w:p>
      <w:r>
        <w:rPr>
          <w:b/>
          <w:sz w:val="19"/>
        </w:rPr>
        <w:t xml:space="preserve">Übertragbarkeit: </w:t>
      </w:r>
      <w:r>
        <w:rPr>
          <w:sz w:val="19"/>
        </w:rPr>
        <w:t>Deutsche Routinedaten, G-DRG-Kalkulation, direkt übertragbar auf hiesiges System</w:t>
      </w:r>
    </w:p>
    <w:p>
      <w:r>
        <w:rPr>
          <w:color w:val="5A7D3A"/>
          <w:sz w:val="18"/>
        </w:rPr>
        <w:t>https://pubmed.ncbi.nlm.nih.gov/42899468/</w:t>
      </w:r>
    </w:p>
    <w:p>
      <w:pPr>
        <w:pStyle w:val="Heading2"/>
      </w:pPr>
      <w:r>
        <w:t>Effekt von Langzeitpflegezugang auf Kurzeitpflege: Simulationsstudie</w:t>
      </w:r>
    </w:p>
    <w:p>
      <w:r>
        <w:rPr>
          <w:i/>
          <w:color w:val="666666"/>
          <w:sz w:val="18"/>
        </w:rPr>
        <w:t>Aydemir I et al.  ·  BMC Health Serv Res  ·  22.07.2026  ·  PMID 42897634</w:t>
      </w:r>
    </w:p>
    <w:p>
      <w:r>
        <w:t>Niederländische Diskrete-Ereignis-Simulationsstudie modelliert Effekte zentralisierter vs. dezentralisierter Aufnahmepolitik für Pflegebetten auf Wartezeiten und Inanspruchnahme.</w:t>
      </w:r>
    </w:p>
    <w:p>
      <w:r>
        <w:rPr>
          <w:b/>
        </w:rPr>
        <w:t xml:space="preserve">Ergebnis: </w:t>
      </w:r>
      <w:r>
        <w:t>Zentralisierte Aufnahmepolitik reduziert Wartezeiten von 336 auf 35 Tage und Kurzeitpflege-Aufnahmen von 45% auf 4,5%. Bei 90% regionaler Bettenauslastung maximal wirksam; Multiplier-Effekt bei erhöhtem Nicht-Langzeitpflege-Zustrom.</w:t>
      </w:r>
    </w:p>
    <w:p>
      <w:r>
        <w:rPr>
          <w:b/>
          <w:sz w:val="19"/>
        </w:rPr>
        <w:t xml:space="preserve">Übertragbarkeit: </w:t>
      </w:r>
      <w:r>
        <w:rPr>
          <w:sz w:val="19"/>
        </w:rPr>
        <w:t>Niederlande, Pflegesystem strukturell vergleichbar; Fragestellung zu Ressourcenallokation relevant</w:t>
      </w:r>
    </w:p>
    <w:p>
      <w:r>
        <w:rPr>
          <w:color w:val="5A7D3A"/>
          <w:sz w:val="18"/>
        </w:rPr>
        <w:t>https://pubmed.ncbi.nlm.nih.gov/42897634/</w:t>
      </w:r>
    </w:p>
    <w:p>
      <w:pPr>
        <w:pStyle w:val="Heading2"/>
      </w:pPr>
      <w:r>
        <w:t>Index für Integration von Palliativversorgung in Primärversorgung</w:t>
      </w:r>
    </w:p>
    <w:p>
      <w:r>
        <w:rPr>
          <w:i/>
          <w:color w:val="666666"/>
          <w:sz w:val="18"/>
        </w:rPr>
        <w:t>Muñoz Olivar C et al.  ·  BMC Health Serv Res  ·  23.07.2026  ·  PMID 42897626</w:t>
      </w:r>
    </w:p>
    <w:p>
      <w:r>
        <w:t>Kolumbianische Studie entwickelt und validiert Synthetic Index of Palliative Care Integration (SIPCI) zur Messung territorialer Integrationsmuster in 33 Departments.</w:t>
      </w:r>
    </w:p>
    <w:p>
      <w:r>
        <w:rPr>
          <w:b/>
        </w:rPr>
        <w:t xml:space="preserve">Ergebnis: </w:t>
      </w:r>
      <w:r>
        <w:t>SIPCI-Werte 0,04–0,71 (Mittelwert 0,38). 52% der Departments niedriges/mittleres, 48% mittleres-hohes/hohes Integrationsniveau. Starker geografischer Gradient; KMO=0,742, geringe Informationsverluste (NMSE=0,13).</w:t>
      </w:r>
    </w:p>
    <w:p>
      <w:r>
        <w:rPr>
          <w:b/>
          <w:sz w:val="19"/>
        </w:rPr>
        <w:t xml:space="preserve">Übertragbarkeit: </w:t>
      </w:r>
      <w:r>
        <w:rPr>
          <w:sz w:val="19"/>
        </w:rPr>
        <w:t>Kolumbien, aber SIPCI-Methodik auf europäische Systeme übertragbar; Fragestellung systemunabhängig</w:t>
      </w:r>
    </w:p>
    <w:p>
      <w:r>
        <w:rPr>
          <w:color w:val="5A7D3A"/>
          <w:sz w:val="18"/>
        </w:rPr>
        <w:t>https://pubmed.ncbi.nlm.nih.gov/42897626/</w:t>
      </w:r>
    </w:p>
    <w:p>
      <w:pPr>
        <w:pStyle w:val="Heading2"/>
      </w:pPr>
      <w:r>
        <w:t>Bedürfnisse von Patienten mit fortgeschrittener COPD und Angehörigen</w:t>
      </w:r>
    </w:p>
    <w:p>
      <w:r>
        <w:rPr>
          <w:i/>
          <w:color w:val="666666"/>
          <w:sz w:val="18"/>
        </w:rPr>
        <w:t>Schmidt-Stiedenroth K et al.  ·  BMC Pulm Med  ·  19.10.2026  ·  PMID 42897575</w:t>
      </w:r>
    </w:p>
    <w:p>
      <w:r>
        <w:t>Deutsche qualitative Multisicht-Studie mit 53 Interviews (Patienten, informelle und formale Pflegepersonen) zu Versorgungsbedürfnissen und Rolle von Palliativversorgung.</w:t>
      </w:r>
    </w:p>
    <w:p>
      <w:r>
        <w:rPr>
          <w:b/>
        </w:rPr>
        <w:t xml:space="preserve">Ergebnis: </w:t>
      </w:r>
      <w:r>
        <w:t>Sechs Bedarfsbereiche identifiziert: Dyspnoe-/Angstmanagement, Heimversorgung, Notfallplanung, psychosoziale Versorgung, organisatorische Unterstützung, Gesundheitsinformation. Patienten mit Palliativversorgung berichteten Linderung in den ersten fünf Bereichen.</w:t>
      </w:r>
    </w:p>
    <w:p>
      <w:r>
        <w:rPr>
          <w:b/>
          <w:sz w:val="19"/>
        </w:rPr>
        <w:t xml:space="preserve">Übertragbarkeit: </w:t>
      </w:r>
      <w:r>
        <w:rPr>
          <w:sz w:val="19"/>
        </w:rPr>
        <w:t>Deutschland, deutsche Primärdaten; direkt für hiesiges System relevant</w:t>
      </w:r>
    </w:p>
    <w:p>
      <w:r>
        <w:rPr>
          <w:color w:val="5A7D3A"/>
          <w:sz w:val="18"/>
        </w:rPr>
        <w:t>https://pubmed.ncbi.nlm.nih.gov/42897575/</w:t>
      </w:r>
    </w:p>
    <w:p>
      <w:pPr>
        <w:pStyle w:val="Heading1"/>
      </w:pPr>
      <w:r>
        <w:t>Aufgenommen am 20.10.2026</w:t>
      </w:r>
    </w:p>
    <w:p>
      <w:pPr>
        <w:pStyle w:val="Heading2"/>
      </w:pPr>
      <w:r>
        <w:t>Aussagekraft von Diabetes-Indikatoren: Verschreibungs- vs. Screeningdaten in Japan</w:t>
      </w:r>
    </w:p>
    <w:p>
      <w:r>
        <w:rPr>
          <w:i/>
          <w:color w:val="666666"/>
          <w:sz w:val="18"/>
        </w:rPr>
        <w:t>Saito H et al.  ·  Diabet Med  ·  19.10.2026  ·  PMID 42895806</w:t>
      </w:r>
    </w:p>
    <w:p>
      <w:r>
        <w:t>Querschnittsökologische Analyse japanischer Verwaltungsdaten zur Untersuchung, was zwei komplementäre Indikatorfamilien – Antidiabetika-Verordnungsmengen und HbA1c-Kontrollenindikatoren – über Diabeteslast tatsächlich abbilden.</w:t>
      </w:r>
    </w:p>
    <w:p>
      <w:r>
        <w:rPr>
          <w:b/>
        </w:rPr>
        <w:t xml:space="preserve">Ergebnis: </w:t>
      </w:r>
      <w:r>
        <w:t>Verordnungsmengen (Indikator A) korrelierte hauptsächlich mit Alter und Einkommen (finales Modell R² = 0,394); HbA1c-Hochwertraten (Indikator B) zeigten selektive ökologische Assoziation mit chronischer Dialysetherapie (β = 195,1 pro Prozentpunkt, p = 0,006, R² = 0,271). Beide Indikatorfamilien spiegeln nicht die tatsächliche Krankheitslast, sondern demografische Strukturen bzw. nachgelagerte Versorgungsnutzung wider.</w:t>
      </w:r>
    </w:p>
    <w:p>
      <w:r>
        <w:rPr>
          <w:b/>
          <w:sz w:val="19"/>
        </w:rPr>
        <w:t xml:space="preserve">Übertragbarkeit: </w:t>
      </w:r>
      <w:r>
        <w:rPr>
          <w:sz w:val="19"/>
        </w:rPr>
        <w:t>Japan, vergleichbar mit verweildauerintensiven Gesundheitssystemen; versorgungsrelevante Analyse von Verwaltungsindikatoren</w:t>
      </w:r>
    </w:p>
    <w:p>
      <w:r>
        <w:rPr>
          <w:color w:val="5A7D3A"/>
          <w:sz w:val="18"/>
        </w:rPr>
        <w:t>https://pubmed.ncbi.nlm.nih.gov/42895806/</w:t>
      </w:r>
    </w:p>
    <w:p>
      <w:pPr>
        <w:pStyle w:val="Heading2"/>
      </w:pPr>
      <w:r>
        <w:t>Gynäkologische Facharztausbildung: Urbanisierung und Folgen für ländliche Regionen</w:t>
      </w:r>
    </w:p>
    <w:p>
      <w:r>
        <w:rPr>
          <w:i/>
          <w:color w:val="666666"/>
          <w:sz w:val="18"/>
        </w:rPr>
        <w:t>Spencer R et al.  ·  J Rural Health  ·  Sept. 2026  ·  PMID 42895080</w:t>
      </w:r>
    </w:p>
    <w:p>
      <w:r>
        <w:t>Analyse der geografischen Verteilung von Gynäkologie-Weiterbildungsprogrammen in den USA und Vergleich von Merkmalen ländlicher Landkreise mit und ohne Weiterbildungsstandorte.</w:t>
      </w:r>
    </w:p>
    <w:p>
      <w:r>
        <w:rPr>
          <w:b/>
        </w:rPr>
        <w:t xml:space="preserve">Ergebnis: </w:t>
      </w:r>
      <w:r>
        <w:t>Nur 6,5 % der 294 Weiterbildungsprogramme boten ländliche Trainingsplätze an (2,4 % aller Standorte); ländliche Landkreise ohne Weiterbildungsstätte zeigten höhere Anteile unversicherter Personen unter 65 Jahren (11,5 % vs. 8,0 %, p &lt; 0,001), niedrigere Hausarztdichte (40,6 vs. 55,1 pro 100.000, p = 0,005) und höhere Health Professional Shortage Area-Quoten (69,0 % vs. 35,3 %, p &lt; 0,001).</w:t>
      </w:r>
    </w:p>
    <w:p>
      <w:r>
        <w:rPr>
          <w:b/>
          <w:sz w:val="19"/>
        </w:rPr>
        <w:t xml:space="preserve">Übertragbarkeit: </w:t>
      </w:r>
      <w:r>
        <w:rPr>
          <w:sz w:val="19"/>
        </w:rPr>
        <w:t>USA-Daten; Fragestellung zur Verfügbarkeit spezialisierter Ausbildung in unterversorgten Regionen systemunabhängig bedeutsam</w:t>
      </w:r>
    </w:p>
    <w:p>
      <w:r>
        <w:rPr>
          <w:color w:val="5A7D3A"/>
          <w:sz w:val="18"/>
        </w:rPr>
        <w:t>https://pubmed.ncbi.nlm.nih.gov/42895080/</w:t>
      </w:r>
    </w:p>
    <w:p>
      <w:pPr>
        <w:pStyle w:val="Heading2"/>
      </w:pPr>
      <w:r>
        <w:t>Kerndomänen und Messinstrumente für axiale Spondylarthritis in der Klinik</w:t>
      </w:r>
    </w:p>
    <w:p>
      <w:r>
        <w:rPr>
          <w:i/>
          <w:color w:val="666666"/>
          <w:sz w:val="18"/>
        </w:rPr>
        <w:t>Smits ML et al.  ·  EULAR Rheumatol Open  ·  07.10.2026  ·  PMID 42894661</w:t>
      </w:r>
    </w:p>
    <w:p>
      <w:r>
        <w:t>Delphi-Befragung mit Fachleuten, Nicht-Fachleuten und Patienten zur Identifizierung der wichtigsten Bewertungsdomänen und Instrumente für die klinische Praxis bei axialer Spondylarthritis.</w:t>
      </w:r>
    </w:p>
    <w:p>
      <w:r>
        <w:rPr>
          <w:b/>
        </w:rPr>
        <w:t xml:space="preserve">Ergebnis: </w:t>
      </w:r>
      <w:r>
        <w:t>Nach vier Delphi-Runden wurden 5 Domänen für Routinevisiten (Krankheitsaktivität, Schmerz, periphere Manifestationen, extra-muskuloskelettale Manifestationen, Therapieaspekte) und 4 ergänzende Domänen für erweiterte Visiten identifiziert; für jede Domäne mindestens ein empfohlenes Instrument ausgewählt. Beteiligung: 156 ASAS-Mitglieder (78 % der 201 Eingeladenen), 173 nicht-ASAS-Rheumatologen und 167 Patienten in Runde 1.</w:t>
      </w:r>
    </w:p>
    <w:p>
      <w:r>
        <w:rPr>
          <w:b/>
          <w:sz w:val="19"/>
        </w:rPr>
        <w:t xml:space="preserve">Übertragbarkeit: </w:t>
      </w:r>
      <w:r>
        <w:rPr>
          <w:sz w:val="19"/>
        </w:rPr>
        <w:t>Europäisches Expertenkonsens-Verfahren; relevant für deutschsprachige Praxis</w:t>
      </w:r>
    </w:p>
    <w:p>
      <w:r>
        <w:rPr>
          <w:color w:val="5A7D3A"/>
          <w:sz w:val="18"/>
        </w:rPr>
        <w:t>https://pubmed.ncbi.nlm.nih.gov/42894661/</w:t>
      </w:r>
    </w:p>
    <w:p>
      <w:pPr>
        <w:pStyle w:val="Heading2"/>
      </w:pPr>
      <w:r>
        <w:t>Unterstützung von Vätern nach perinataler Traumatisierung – partizipativ entwickelte Handlungsprinzipien</w:t>
      </w:r>
    </w:p>
    <w:p>
      <w:r>
        <w:rPr>
          <w:i/>
          <w:color w:val="666666"/>
          <w:sz w:val="18"/>
        </w:rPr>
        <w:t>Kothari A et al.  ·  Med J Aust  ·  Okt. 2026  ·  PMID 42894362</w:t>
      </w:r>
    </w:p>
    <w:p>
      <w:r>
        <w:t>Partizipative Aktionsforschung zur Entwicklung von Best-Practice-Prinzipien für die Versorgung von Vätern und nicht-gebärenden Elternteilen, die perinatales Trauma erfahren haben.</w:t>
      </w:r>
    </w:p>
    <w:p>
      <w:r>
        <w:rPr>
          <w:b/>
        </w:rPr>
        <w:t xml:space="preserve">Ergebnis: </w:t>
      </w:r>
      <w:r>
        <w:t>Aus 24 initialen Themen wurden 4 Kernprinzipien konsensual erarbeitet: (1) mitfühlende und inklusive Engagement, (2) Politik- und Gesetzesreform, (3) Bildungs- und Lernchancen, (4) psychische Gesundheit-Screening und -Unterstützung. Beteiligung: 11 Konsumenten mit Erfahrung, 30 Fachpersonen, Validierung mit 74 Teilnehmern aus diversen Hintergründen.</w:t>
      </w:r>
    </w:p>
    <w:p>
      <w:r>
        <w:rPr>
          <w:b/>
          <w:sz w:val="19"/>
        </w:rPr>
        <w:t xml:space="preserve">Übertragbarkeit: </w:t>
      </w:r>
      <w:r>
        <w:rPr>
          <w:sz w:val="19"/>
        </w:rPr>
        <w:t>Australien; qualitative Partizipationsforschung zu Versorgungslücken systemunabhängig relevant</w:t>
      </w:r>
    </w:p>
    <w:p>
      <w:r>
        <w:rPr>
          <w:color w:val="5A7D3A"/>
          <w:sz w:val="18"/>
        </w:rPr>
        <w:t>https://pubmed.ncbi.nlm.nih.gov/42894362/</w:t>
      </w:r>
    </w:p>
    <w:p>
      <w:pPr>
        <w:pStyle w:val="Heading2"/>
      </w:pPr>
      <w:r>
        <w:t>Telemedizin in Intensivmedizin: Auswirkungen auf Interhospitaltransfers</w:t>
      </w:r>
    </w:p>
    <w:p>
      <w:r>
        <w:rPr>
          <w:i/>
          <w:color w:val="666666"/>
          <w:sz w:val="18"/>
        </w:rPr>
        <w:t>Rai K et al.  ·  Crit Care Med  ·  15.10.2026  ·  PMID 42878611</w:t>
      </w:r>
    </w:p>
    <w:p>
      <w:r>
        <w:t>Retrospektive Kohortenstudie mit Medicare-Daten (2021–2023) zur Untersuchung, ob Tele-ICU-Fähigkeit an Index-Kliniken mit Interhospitaltransfers und potenziell niedrigwertigen Transfers assoziiert ist.</w:t>
      </w:r>
    </w:p>
    <w:p>
      <w:r>
        <w:rPr>
          <w:b/>
        </w:rPr>
        <w:t xml:space="preserve">Ergebnis: </w:t>
      </w:r>
      <w:r>
        <w:t>Unter 2.140.919 ICU-Aufenthalten war die absolute Transferrate ähnlich (2,5 % vs. 3,0 %), jedoch war Tele-ICU-Fähigkeit mit erhöhten Transferquoten assoziiert (bereinigtes OR 1,08; 95%-KI 1,01–1,14). Transferpatienten von Tele-ICU-Krankenhäusern zeigten seltener Versterben oder Hospiz innerhalb 1 Tag nach Transfer (4,6 % vs. 6,6 %; aOR 0,86; 95%-KI 0,76–0,97) und häufiger Entlassung nach Hause (4,7 % vs. 3,7 %; aOR 1,17; 95%-KI 1,03–1,33).</w:t>
      </w:r>
    </w:p>
    <w:p>
      <w:r>
        <w:rPr>
          <w:b/>
          <w:sz w:val="19"/>
        </w:rPr>
        <w:t xml:space="preserve">Übertragbarkeit: </w:t>
      </w:r>
      <w:r>
        <w:rPr>
          <w:sz w:val="19"/>
        </w:rPr>
        <w:t>USA Medicare; Fragestellung zu Technologieeinsatz und Transfer-Steuerung nur bedingt übertragbar</w:t>
      </w:r>
    </w:p>
    <w:p>
      <w:r>
        <w:rPr>
          <w:color w:val="5A7D3A"/>
          <w:sz w:val="18"/>
        </w:rPr>
        <w:t>https://pubmed.ncbi.nlm.nih.gov/42878611/</w:t>
      </w:r>
    </w:p>
    <w:p>
      <w:pPr>
        <w:pStyle w:val="Heading2"/>
      </w:pPr>
      <w:r>
        <w:t>Umwelt-Sanitation und Gesundheitsversorgungskapazität: Umsetzungslücken in chinesischen Städten</w:t>
      </w:r>
    </w:p>
    <w:p>
      <w:r>
        <w:rPr>
          <w:i/>
          <w:color w:val="666666"/>
          <w:sz w:val="18"/>
        </w:rPr>
        <w:t>Peng Z et al.  ·  BMC Health Serv Res  ·  25.08.2026  ·  PMID 42875776</w:t>
      </w:r>
    </w:p>
    <w:p>
      <w:r>
        <w:t>Panel-Analyse chinesischer Präfektur- und übergeordneter Städte (2002–2024) zur Untersuchung, ob Verbesserungen in Öko-Sanitation in erhöhte Gesundheitsversorgungskapazität konvertiert werden.</w:t>
      </w:r>
    </w:p>
    <w:p>
      <w:r>
        <w:rPr>
          <w:b/>
        </w:rPr>
        <w:t xml:space="preserve">Ergebnis: </w:t>
      </w:r>
      <w:r>
        <w:t>Das Basis-Zwei-Wege-Modell zeigte keine stabile positive Assoziation zwischen Öko-Sanitation-Verbesserung und Versorgungskapazität. Dimensionsspezifische Analysen offenbarten unterschiedliche Rollen: Positive Assoziation mit Umweltbelastungsindex konsistent mit nachfrageinduzierten oder kompensatorischen Ressourcenallokationen. Weder 2–3 Jahre verzögerte Umwelteffekte noch 1–2 Jahre verzögerte Investitionseffekte zeigten stabile Transmissionsketten. Interpretable Machine Learning identifizierte nichtlineare Grenzen und Einfluss von Entwicklungsstadium, Bevölkerungsgröße und Fiskalkompetenz.</w:t>
      </w:r>
    </w:p>
    <w:p>
      <w:r>
        <w:rPr>
          <w:b/>
          <w:sz w:val="19"/>
        </w:rPr>
        <w:t xml:space="preserve">Übertragbarkeit: </w:t>
      </w:r>
      <w:r>
        <w:rPr>
          <w:sz w:val="19"/>
        </w:rPr>
        <w:t>China; Health Services Research zu Investitions-Wirkketten in Gesundheitssystemen mit begrenzt übertragbaren Kontexten</w:t>
      </w:r>
    </w:p>
    <w:p>
      <w:r>
        <w:rPr>
          <w:color w:val="5A7D3A"/>
          <w:sz w:val="18"/>
        </w:rPr>
        <w:t>https://pubmed.ncbi.nlm.nih.gov/42875776/</w:t>
      </w:r>
    </w:p>
    <w:p>
      <w:pPr>
        <w:pStyle w:val="Heading1"/>
      </w:pPr>
      <w:r>
        <w:t>Aufgenommen am 19.10.2026</w:t>
      </w:r>
    </w:p>
    <w:p>
      <w:pPr>
        <w:pStyle w:val="Heading2"/>
      </w:pPr>
      <w:r>
        <w:t>Inanspruchnahme von Gesundheitsleistungen bei Demenz: Medicare Advantage vs. Traditional Medicare</w:t>
      </w:r>
    </w:p>
    <w:p>
      <w:r>
        <w:rPr>
          <w:i/>
          <w:color w:val="666666"/>
          <w:sz w:val="18"/>
        </w:rPr>
        <w:t>Joseph JM et al.  ·  Health Serv Res  ·  Okt. 2026  ·  PMID 42885186</w:t>
      </w:r>
    </w:p>
    <w:p>
      <w:r>
        <w:t>Vergleichende Analyse der Gesundheitsleistungsnutzung zwischen Medicare-Advantage- und Traditional-Medicare-Versicherten, stratifiziert nach Demenzstatus (ADRD).</w:t>
      </w:r>
    </w:p>
    <w:p>
      <w:r>
        <w:rPr>
          <w:b/>
        </w:rPr>
        <w:t xml:space="preserve">Ergebnis: </w:t>
      </w:r>
      <w:r>
        <w:t>Bei Versicherten mit ADRD waren sieben von acht adjustierten Unterschiede nicht signifikant. Spezialistenbesuche waren bei MA mit ADRD häufiger (5,2 Prozentpunkte, 95%-KI -0,1 bis 10,2). Ohne ADRD war MA mit niedrigeren stationären ambulanten Besuchen (-2,6; -3,7 bis -1,6) und weniger Bedarf für häusliche Krankenpflege (-0,9; -1,5 bis -0,3) assoziiert.</w:t>
      </w:r>
    </w:p>
    <w:p>
      <w:r>
        <w:rPr>
          <w:b/>
          <w:sz w:val="19"/>
        </w:rPr>
        <w:t xml:space="preserve">Übertragbarkeit: </w:t>
      </w:r>
      <w:r>
        <w:rPr>
          <w:sz w:val="19"/>
        </w:rPr>
        <w:t>US-Daten; Fragestellung zu Leistungsunterschieden aber systemunabhängig relevant</w:t>
      </w:r>
    </w:p>
    <w:p>
      <w:r>
        <w:rPr>
          <w:color w:val="5A7D3A"/>
          <w:sz w:val="18"/>
        </w:rPr>
        <w:t>https://pubmed.ncbi.nlm.nih.gov/42885186/</w:t>
      </w:r>
    </w:p>
    <w:p>
      <w:pPr>
        <w:pStyle w:val="Heading2"/>
      </w:pPr>
      <w:r>
        <w:t>Patientenperspektiven zu Notaufnahme vs. Hausarzt: qualitative Analyse des GPFirst-Programms</w:t>
      </w:r>
    </w:p>
    <w:p>
      <w:r>
        <w:rPr>
          <w:i/>
          <w:color w:val="666666"/>
          <w:sz w:val="18"/>
        </w:rPr>
        <w:t>Lee CYR et al.  ·  Singapore Med J  ·  15.10.2026  ·  PMID 42879300</w:t>
      </w:r>
    </w:p>
    <w:p>
      <w:r>
        <w:t>Qualitative Studie mit 16 Tiefeninterviews zu Determinanten der Arztwahl bei nicht-dringlichen Erkrankungen und zur Akzeptanz eines Steuerungsprogramms (GPFirst).</w:t>
      </w:r>
    </w:p>
    <w:p>
      <w:r>
        <w:rPr>
          <w:b/>
        </w:rPr>
        <w:t xml:space="preserve">Ergebnis: </w:t>
      </w:r>
      <w:r>
        <w:t>Vier Hauptthemen identifiziert: (1) Bestimmungsfaktoren der Arztwahl (wahrgenommene Schwere, Vertrauen in Krankenhausressourcen, Öffnungszeiten); (2) ED-Präferenz vs. GP-Vorzüge (Wartezeiten, Zugänglichkeit, personalisierte Versorgung); (3) GPFirst-Teilnahmebereitschaft trotz Barrieren (schlechte Selbsteinschätzung, mangelndes Wissen); (4) Verbesserungsvorschläge (Bewusstseinsförderung, Prozessklarheit, Anreizverstärkung).</w:t>
      </w:r>
    </w:p>
    <w:p>
      <w:r>
        <w:rPr>
          <w:b/>
          <w:sz w:val="19"/>
        </w:rPr>
        <w:t xml:space="preserve">Übertragbarkeit: </w:t>
      </w:r>
      <w:r>
        <w:rPr>
          <w:sz w:val="19"/>
        </w:rPr>
        <w:t>Singapur-Studie; Steuerungsmechanismen bei hausarztlicher Gatekeeper-Funktion übertragbar</w:t>
      </w:r>
    </w:p>
    <w:p>
      <w:r>
        <w:rPr>
          <w:color w:val="5A7D3A"/>
          <w:sz w:val="18"/>
        </w:rPr>
        <w:t>https://pubmed.ncbi.nlm.nih.gov/42879300/</w:t>
      </w:r>
    </w:p>
    <w:p>
      <w:pPr>
        <w:pStyle w:val="Heading2"/>
      </w:pPr>
      <w:r>
        <w:t>Kardiovaskuläre Gesundheit und Nierenversagen: Life's Essential 8 als Risikofaktor</w:t>
      </w:r>
    </w:p>
    <w:p>
      <w:r>
        <w:rPr>
          <w:i/>
          <w:color w:val="666666"/>
          <w:sz w:val="18"/>
        </w:rPr>
        <w:t>Ma C et al.  ·  Clin J Am Soc Nephrol  ·  15.10.2026  ·  PMID 42879211</w:t>
      </w:r>
    </w:p>
    <w:p>
      <w:r>
        <w:t>Prospektive Kohortenstudie zur Assoziation zwischen Life's Essential 8 (CVH-Metrik) und Inzidenz von Nierenersatztherapie-Bedürftigkeit (ESKD) in 276.494 Biobank-Teilnehmern.</w:t>
      </w:r>
    </w:p>
    <w:p>
      <w:r>
        <w:rPr>
          <w:b/>
        </w:rPr>
        <w:t xml:space="preserve">Ergebnis: </w:t>
      </w:r>
      <w:r>
        <w:t>Jeder 10-Punkte-Rückgang im LE8-Score erhöhte ESKD-Risiko (HR 1,47; 95%-KI 1,34–1,60). Niedriger LE8 war mit über fünffach erhöhtem Risiko assoziiert (HR 5,57; 95%-KI 3,42–9,07) vs. hohem LE8. Blutdruck und Blutglukose hatten größte populationsattribuierbare Fraktionen.</w:t>
      </w:r>
    </w:p>
    <w:p>
      <w:r>
        <w:rPr>
          <w:b/>
          <w:sz w:val="19"/>
        </w:rPr>
        <w:t xml:space="preserve">Übertragbarkeit: </w:t>
      </w:r>
      <w:r>
        <w:rPr>
          <w:sz w:val="19"/>
        </w:rPr>
        <w:t>UK-Daten; Primärversorgung und präventive Ansätze übertragbar</w:t>
      </w:r>
    </w:p>
    <w:p>
      <w:r>
        <w:rPr>
          <w:color w:val="5A7D3A"/>
          <w:sz w:val="18"/>
        </w:rPr>
        <w:t>https://pubmed.ncbi.nlm.nih.gov/42879211/</w:t>
      </w:r>
    </w:p>
    <w:p>
      <w:pPr>
        <w:pStyle w:val="Heading2"/>
      </w:pPr>
      <w:r>
        <w:t>Validität von EQ-5D-5L und EQ-HWB-9 zur Messung von Carer-Outcomes in gesundheitsökonomischen Evaluationen</w:t>
      </w:r>
    </w:p>
    <w:p>
      <w:r>
        <w:rPr>
          <w:i/>
          <w:color w:val="666666"/>
          <w:sz w:val="18"/>
        </w:rPr>
        <w:t>Faller J et al.  ·  Qual Life Res  ·  15.10.2026  ·  PMID 42879005</w:t>
      </w:r>
    </w:p>
    <w:p>
      <w:r>
        <w:t>Psychometrische Bewertung zweier Nutzen-Messinstrumente (EQ-5D-5L, EQ-HWB-9) bei 6.743 pflegenden Angehörigen aus fünf englischsprachigen Ländern.</w:t>
      </w:r>
    </w:p>
    <w:p>
      <w:r>
        <w:rPr>
          <w:b/>
        </w:rPr>
        <w:t xml:space="preserve">Ergebnis: </w:t>
      </w:r>
      <w:r>
        <w:t>EQ-5D-5L zeigte Deckeneffekt (19%), EQ-HWB-9 nicht (5%). Beide Instrumente korrelieren moderat mit WHO-5, PROMIS-10 und anderen Validierungsinstrumenten und zeigten Known-Group-Validität. EQ-HWB-9 erfasst breiteres Spektrum der Carer-Belastung.</w:t>
      </w:r>
    </w:p>
    <w:p>
      <w:r>
        <w:rPr>
          <w:b/>
          <w:sz w:val="19"/>
        </w:rPr>
        <w:t xml:space="preserve">Übertragbarkeit: </w:t>
      </w:r>
      <w:r>
        <w:rPr>
          <w:sz w:val="19"/>
        </w:rPr>
        <w:t>Multi-nationale Studie mit deutschsprachigen Ländern; ökonomische Evaluationen übertragbar</w:t>
      </w:r>
    </w:p>
    <w:p>
      <w:r>
        <w:rPr>
          <w:color w:val="5A7D3A"/>
          <w:sz w:val="18"/>
        </w:rPr>
        <w:t>https://pubmed.ncbi.nlm.nih.gov/42879005/</w:t>
      </w:r>
    </w:p>
    <w:p>
      <w:pPr>
        <w:pStyle w:val="Heading2"/>
      </w:pPr>
      <w:r>
        <w:t>Psychische Gesundheit von Ärzten und Pflegepersonen in der Ukraine während des Krieges</w:t>
      </w:r>
    </w:p>
    <w:p>
      <w:r>
        <w:rPr>
          <w:i/>
          <w:color w:val="666666"/>
          <w:sz w:val="18"/>
        </w:rPr>
        <w:t>Arrona Gómez VA et al.  ·  Br J Psychiatry  ·  15.10.2026  ·  PMID 42876069</w:t>
      </w:r>
    </w:p>
    <w:p>
      <w:r>
        <w:t>Landesweite Cross-sectional-Befragung von 23.805 Ärzten und Pflegepersonen zur Prävalenz von Depression, Angststörungen und suizidalen Gedanken sowie Assoziation mit Arbeitsplatzrisiken (Gewalt, Mobbing).</w:t>
      </w:r>
    </w:p>
    <w:p>
      <w:r>
        <w:rPr>
          <w:b/>
        </w:rPr>
        <w:t xml:space="preserve">Ergebnis: </w:t>
      </w:r>
      <w:r>
        <w:t>1 von 3 Ärzten und 1 von 4 Pflegepersonen berichteten Depressionssymptome; 1 von 4 Ärzte und 1 von 6 Pfleger Angstsymptome; ~1 von 10 suizidale Gedanken. Mobbing am stärksten mit Depression/Angst assoziiert (alle P&lt;0,001), physische Gewalt mit suizidalen Gedanken. Sinnvolle Arbeit schützend.</w:t>
      </w:r>
    </w:p>
    <w:p>
      <w:r>
        <w:rPr>
          <w:b/>
          <w:sz w:val="19"/>
        </w:rPr>
        <w:t xml:space="preserve">Übertragbarkeit: </w:t>
      </w:r>
      <w:r>
        <w:rPr>
          <w:sz w:val="19"/>
        </w:rPr>
        <w:t>Ukraine-Daten, Fragenstellung aber zu Workforce-Wohlbefinden systemunabhängig relevant</w:t>
      </w:r>
    </w:p>
    <w:p>
      <w:r>
        <w:rPr>
          <w:color w:val="5A7D3A"/>
          <w:sz w:val="18"/>
        </w:rPr>
        <w:t>https://pubmed.ncbi.nlm.nih.gov/42876069/</w:t>
      </w:r>
    </w:p>
    <w:p>
      <w:pPr>
        <w:pStyle w:val="Heading2"/>
      </w:pPr>
      <w:r>
        <w:t>Generative-AI-Nutzung bei älteren Menschen mit Multimorbidität: qualitative Analyse von Barrieren und Chancen</w:t>
      </w:r>
    </w:p>
    <w:p>
      <w:r>
        <w:rPr>
          <w:i/>
          <w:color w:val="666666"/>
          <w:sz w:val="18"/>
        </w:rPr>
        <w:t>Lin Q et al.  ·  BMC Health Serv Res  ·  23.07.2026  ·  PMID 42875768</w:t>
      </w:r>
    </w:p>
    <w:p>
      <w:r>
        <w:t>Qualitative Studie mit 16 semistrukturierten Interviews zu Erfahrungen älterer Menschen mit Multimorbidität bei der Nutzung von Generative-AI-Tools für Gesundheitsentscheidungen in China.</w:t>
      </w:r>
    </w:p>
    <w:p>
      <w:r>
        <w:rPr>
          <w:b/>
        </w:rPr>
        <w:t xml:space="preserve">Ergebnis: </w:t>
      </w:r>
      <w:r>
        <w:t>Vier Themen: (1) Wahrgenommener Nutzen (Informationszugang, integrierte Unterstützung, Entscheidungssicherheit); (2) Ease-of-Use mit großen individuellen Unterschieden; (3) Notwendigkeit von Ressourcenmobilisierung (soziale Unterstützung, technische Hilfe); (4) Dynamische, nicht-lineare Nutzungsmuster (Versuche, Unterbrechnungen, Wiederaufnahme oder Abbruch) statt einfache Adoption.</w:t>
      </w:r>
    </w:p>
    <w:p>
      <w:r>
        <w:rPr>
          <w:b/>
          <w:sz w:val="19"/>
        </w:rPr>
        <w:t xml:space="preserve">Übertragbarkeit: </w:t>
      </w:r>
      <w:r>
        <w:rPr>
          <w:sz w:val="19"/>
        </w:rPr>
        <w:t>China-Studie; Fragen zur technologischen Inklusion und Digital-Divide bei älteren Menschen relevant</w:t>
      </w:r>
    </w:p>
    <w:p>
      <w:r>
        <w:rPr>
          <w:color w:val="5A7D3A"/>
          <w:sz w:val="18"/>
        </w:rPr>
        <w:t>https://pubmed.ncbi.nlm.nih.gov/42875768/</w:t>
      </w:r>
    </w:p>
    <w:p>
      <w:pPr>
        <w:pStyle w:val="Heading2"/>
      </w:pPr>
      <w:r>
        <w:t>Hausarztbeteiligung in der onkologischen Nachsorge: Studienprotokoll zur mixed-methods-Analyse</w:t>
      </w:r>
    </w:p>
    <w:p>
      <w:r>
        <w:rPr>
          <w:i/>
          <w:color w:val="666666"/>
          <w:sz w:val="18"/>
        </w:rPr>
        <w:t>van Baal K et al.  ·  BMC Prim Care  ·  13.10.2026  ·  PMID 42875748</w:t>
      </w:r>
    </w:p>
    <w:p>
      <w:r>
        <w:t>Studienprotokoll zur Untersuchung der Hausarzt-Beteiligung in der onkologischen Nachsorge in Deutschland mittels Routinedaten, Surveys und qualitativen Interviews.</w:t>
      </w:r>
    </w:p>
    <w:p>
      <w:r>
        <w:rPr>
          <w:b/>
        </w:rPr>
        <w:t xml:space="preserve">Ergebnis: </w:t>
      </w:r>
      <w:r>
        <w:t>Geplante Analyse von AOK-Routinedaten und Niedersächsischem Krebsregister, Befragung von 300+ Hausärzten und Onkologen, 30 Patienteninterviews sowie Expert-Workshop zur Konsensfindung für strukturierte Empfehlungen.</w:t>
      </w:r>
    </w:p>
    <w:p>
      <w:r>
        <w:rPr>
          <w:b/>
          <w:sz w:val="19"/>
        </w:rPr>
        <w:t xml:space="preserve">Übertragbarkeit: </w:t>
      </w:r>
      <w:r>
        <w:rPr>
          <w:sz w:val="19"/>
        </w:rPr>
        <w:t>Deutsche Studie mit deutschem Versorgungssystem; direkt auf deutsche Versorgung übertragbar</w:t>
      </w:r>
    </w:p>
    <w:p>
      <w:r>
        <w:rPr>
          <w:color w:val="5A7D3A"/>
          <w:sz w:val="18"/>
        </w:rPr>
        <w:t>https://pubmed.ncbi.nlm.nih.gov/42875748/</w:t>
      </w:r>
    </w:p>
    <w:p>
      <w:pPr>
        <w:pStyle w:val="Heading1"/>
      </w:pPr>
      <w:r>
        <w:t>Aufgenommen am 18.10.2026</w:t>
      </w:r>
    </w:p>
    <w:p>
      <w:pPr>
        <w:pStyle w:val="Heading2"/>
      </w:pPr>
      <w:r>
        <w:t>Enzalutamid bei metastatischem hormonsensitivem Prostatakarzinom: Kosteneffektivitätsanalyse</w:t>
      </w:r>
    </w:p>
    <w:p>
      <w:r>
        <w:rPr>
          <w:i/>
          <w:color w:val="666666"/>
          <w:sz w:val="18"/>
        </w:rPr>
        <w:t>Law CK et al.  ·  EClinicalMedicine  ·  05.10.2026  ·  PMID 42890411</w:t>
      </w:r>
    </w:p>
    <w:p>
      <w:r>
        <w:t>Australische within-trial-Kosteneffektivitätsanalyse der ENZAMET-Studie verglich Enzalutamid plus Testosteronsuppression mit Standard-Nicht-Steroiden für Patienten mit metastatischem hormonsensitivem Prostatakarzinom über 60 Monate.</w:t>
      </w:r>
    </w:p>
    <w:p>
      <w:r>
        <w:rPr>
          <w:b/>
        </w:rPr>
        <w:t xml:space="preserve">Ergebnis: </w:t>
      </w:r>
      <w:r>
        <w:t>Enzalutamid führte zu AUD 127.262 zusätzlichen Kosten pro Patient, 0,24 Lebensjahren und 0,15 QALYs-Gewinn; ICER AUD 835.580 pro QALY. Kosteneffizienz nur bei Kaufpreis von AUD 6,73 pro Tablette erreichbar (Schwellenwert AUD 50.000/QALY). Erhöhte Hospitalisierungen und Muskel-Skelett-Medikationen in Enzalutamid-Gruppe.</w:t>
      </w:r>
    </w:p>
    <w:p>
      <w:r>
        <w:rPr>
          <w:b/>
          <w:sz w:val="19"/>
        </w:rPr>
        <w:t xml:space="preserve">Übertragbarkeit: </w:t>
      </w:r>
      <w:r>
        <w:rPr>
          <w:sz w:val="19"/>
        </w:rPr>
        <w:t>Australisches Gesundheitssystem, aber Analyse-Methodik auf deutsches System übertragbar.</w:t>
      </w:r>
    </w:p>
    <w:p>
      <w:r>
        <w:rPr>
          <w:color w:val="5A7D3A"/>
          <w:sz w:val="18"/>
        </w:rPr>
        <w:t>https://pubmed.ncbi.nlm.nih.gov/42890411/</w:t>
      </w:r>
    </w:p>
    <w:p>
      <w:pPr>
        <w:pStyle w:val="Heading2"/>
      </w:pPr>
      <w:r>
        <w:t>Nutzen von klinischen Qualitätsregistern: Governance und Systemintegration</w:t>
      </w:r>
    </w:p>
    <w:p>
      <w:r>
        <w:rPr>
          <w:i/>
          <w:color w:val="666666"/>
          <w:sz w:val="18"/>
        </w:rPr>
        <w:t>Bessen T et al.  ·  Med J Aust  ·  Okt. 2026  ·  PMID 42888857</w:t>
      </w:r>
    </w:p>
    <w:p>
      <w:r>
        <w:t>Konferenzbeitrag diskutiert, wie klinische Qualitätsregister (CQRs) zur Qualitätsverbesserung in Gesundheitssystemen beitragen und beschreibt Organizational-Infrastructure-Elemente für Systemintegration.</w:t>
      </w:r>
    </w:p>
    <w:p>
      <w:r>
        <w:rPr>
          <w:b/>
        </w:rPr>
        <w:t xml:space="preserve">Ergebnis: </w:t>
      </w:r>
      <w:r>
        <w:t>CQRs erfassen systematisch Sicherheits- und Qualitätsdaten mit Risikoanpassung und Benchmarking; Daten treiben Qualitätsverbesserungen. Zentrale Erkenntnis: Daten bleiben oft in Facheinheiten statt Organisation/System-weit integriert. Erforderlich: Governance-Infrastruktur zur Systemintegration auf Gesundheits- und Behördenebene.</w:t>
      </w:r>
    </w:p>
    <w:p>
      <w:r>
        <w:rPr>
          <w:b/>
          <w:sz w:val="19"/>
        </w:rPr>
        <w:t xml:space="preserve">Übertragbarkeit: </w:t>
      </w:r>
      <w:r>
        <w:rPr>
          <w:sz w:val="19"/>
        </w:rPr>
        <w:t>Australien; Registries-Governance-Ansätze auf deutsches Qualitätsmanagement übertragbar.</w:t>
      </w:r>
    </w:p>
    <w:p>
      <w:r>
        <w:rPr>
          <w:color w:val="5A7D3A"/>
          <w:sz w:val="18"/>
        </w:rPr>
        <w:t>https://pubmed.ncbi.nlm.nih.gov/42888857/</w:t>
      </w:r>
    </w:p>
    <w:p>
      <w:pPr>
        <w:pStyle w:val="Heading2"/>
      </w:pPr>
      <w:r>
        <w:t>Wartezeiten und Verzögerungen bei Kopf-Hals-Krebs in England</w:t>
      </w:r>
    </w:p>
    <w:p>
      <w:r>
        <w:rPr>
          <w:i/>
          <w:color w:val="666666"/>
          <w:sz w:val="18"/>
        </w:rPr>
        <w:t>Jashek-Ahmed F et al.  ·  Br J Cancer  ·  16.10.2026  ·  PMID 42888204</w:t>
      </w:r>
    </w:p>
    <w:p>
      <w:r>
        <w:t>Britische Kohortenstudie mit verlinkten nationalen Datenregistern untersuchte Wartezeiten von Überweisung bis zur ersten Krebsbehandlung (Chirurgie oder Strahlenchemotherapie) bei 30.506 Kopf-Hals-Karzinom-Patienten.</w:t>
      </w:r>
    </w:p>
    <w:p>
      <w:r>
        <w:rPr>
          <w:b/>
        </w:rPr>
        <w:t xml:space="preserve">Ergebnis: </w:t>
      </w:r>
      <w:r>
        <w:t>43 % erlebten Behandlungsverzögerung (&gt;62 Tage), 11 % bei Chirurgie und 20 % bei (Chemo-)Strahlung &gt;90 Tage. Nicht-dringende Überweisung (30 % der Patienten) war stärkster Prädiktor für lange Verzögerung (aOR 4,07; 95 %-KI 3,54–4,68). Zusätzliche Risikofaktoren: initiale Bewertung in Nicht-Spezialist-Kliniken, Non-Oropharynx-Karzinome, höhere Deprivation.</w:t>
      </w:r>
    </w:p>
    <w:p>
      <w:r>
        <w:rPr>
          <w:b/>
          <w:sz w:val="19"/>
        </w:rPr>
        <w:t xml:space="preserve">Übertragbarkeit: </w:t>
      </w:r>
      <w:r>
        <w:rPr>
          <w:sz w:val="19"/>
        </w:rPr>
        <w:t>England, NHS-System; Methodik zu Zugangssteuerung begrenzt übertragbar auf Deutschland.</w:t>
      </w:r>
    </w:p>
    <w:p>
      <w:r>
        <w:rPr>
          <w:color w:val="5A7D3A"/>
          <w:sz w:val="18"/>
        </w:rPr>
        <w:t>https://pubmed.ncbi.nlm.nih.gov/42888204/</w:t>
      </w:r>
    </w:p>
    <w:p>
      <w:pPr>
        <w:pStyle w:val="Heading2"/>
      </w:pPr>
      <w:r>
        <w:t>Zugang zu Versorgung bei Niereninsuffizienz: Sicht von Medicare-Advantage-Organisationen</w:t>
      </w:r>
    </w:p>
    <w:p>
      <w:r>
        <w:rPr>
          <w:i/>
          <w:color w:val="666666"/>
          <w:sz w:val="18"/>
        </w:rPr>
        <w:t>Tyler DA et al.  ·  Health Serv Res  ·  Okt. 2026  ·  PMID 42888180</w:t>
      </w:r>
    </w:p>
    <w:p>
      <w:r>
        <w:t>Qualitative Studie mit 56 Teilnehmern aus 8 Medicare-Advantage-Plänen, 6 Dialyse- und 5 Nierenbetreu-Unternehmen in den USA untersuchte Perspektiven zum Versorgungszugang nach Medicare-Advantage-Einschreibung bei Dialysepatienten.</w:t>
      </w:r>
    </w:p>
    <w:p>
      <w:r>
        <w:rPr>
          <w:b/>
        </w:rPr>
        <w:t xml:space="preserve">Ergebnis: </w:t>
      </w:r>
      <w:r>
        <w:t>Perspektiven differieren nach Organisation und Mitarbeiter-Funktion. MA-Plankvertreter berichten keine Zugangsbarrieren zu Dialyse; kleine Dialyse-Anbieter berichten Patienten-Fahrtweite zu In-Network-Einrichtungen. Informationen über Netzwerkbeschränkungen für Spezialisten oft nicht Patienten-bewusst. MA wählt ‚Centers of Excellence', andere berichten Transplant-Zugangs-Behinderung. Zusatzleistungen von Exekutive betont, von Frontline-Personal als begrenzt berichtet.</w:t>
      </w:r>
    </w:p>
    <w:p>
      <w:r>
        <w:rPr>
          <w:b/>
          <w:sz w:val="19"/>
        </w:rPr>
        <w:t xml:space="preserve">Übertragbarkeit: </w:t>
      </w:r>
      <w:r>
        <w:rPr>
          <w:sz w:val="19"/>
        </w:rPr>
        <w:t>USA; stark systemabhängig von Medicare-Struktur, begrenzte Übertragbarkeit.</w:t>
      </w:r>
    </w:p>
    <w:p>
      <w:r>
        <w:rPr>
          <w:color w:val="5A7D3A"/>
          <w:sz w:val="18"/>
        </w:rPr>
        <w:t>https://pubmed.ncbi.nlm.nih.gov/42888180/</w:t>
      </w:r>
    </w:p>
    <w:p>
      <w:pPr>
        <w:pStyle w:val="Heading2"/>
      </w:pPr>
      <w:r>
        <w:t>Konsensusdefinition schwere COPD: internationale Delphi-Studie</w:t>
      </w:r>
    </w:p>
    <w:p>
      <w:r>
        <w:rPr>
          <w:i/>
          <w:color w:val="666666"/>
          <w:sz w:val="18"/>
        </w:rPr>
        <w:t>Melles MC et al.  ·  Ann Am Thorac Soc  ·  16.10.2026  ·  PMID 42885566</w:t>
      </w:r>
    </w:p>
    <w:p>
      <w:r>
        <w:t>Internationale modifizierte Delphi-Studie mit 55 COPD-Experten entwickelte Konsensusdefinition und minimales Diagnose-Set für schwere COPD sowie notwendige Arbeitsvorgänge.</w:t>
      </w:r>
    </w:p>
    <w:p>
      <w:r>
        <w:rPr>
          <w:b/>
        </w:rPr>
        <w:t xml:space="preserve">Ergebnis: </w:t>
      </w:r>
      <w:r>
        <w:t>Konsens in 46 von 67 Aussagen (Runde 1, 69 %) und 15 von 20 (Runde 2, 75 %). Schwere COPD definiert als persistierende Symptome/Funktionsbeeinträchtigung trotz optimaler Therapie mit mindestens einem Merkmal: schwere Atemwegsobstruktion, schwere Diffusionsstörung, schwere Überblähung, häufige Exazerbationen, chronische Ateminsuffizienz, pulmonale Hypertonie oder Kachexie. Standardisiertes Workup inkl. Patient-Reported Outcomes, Exazerbationen, Lungenfunktion, Blutgase, Imaging, kardiale Bewertung, Belastungstestung.</w:t>
      </w:r>
    </w:p>
    <w:p>
      <w:r>
        <w:rPr>
          <w:b/>
          <w:sz w:val="19"/>
        </w:rPr>
        <w:t xml:space="preserve">Übertragbarkeit: </w:t>
      </w:r>
      <w:r>
        <w:rPr>
          <w:sz w:val="19"/>
        </w:rPr>
        <w:t>Internationale Konsensus-Studie mit 55 Experten; Definitionen für deutsches Versorgungssystem relevant.</w:t>
      </w:r>
    </w:p>
    <w:p>
      <w:r>
        <w:rPr>
          <w:color w:val="5A7D3A"/>
          <w:sz w:val="18"/>
        </w:rPr>
        <w:t>https://pubmed.ncbi.nlm.nih.gov/42885566/</w:t>
      </w:r>
    </w:p>
    <w:p>
      <w:pPr>
        <w:pStyle w:val="Heading2"/>
      </w:pPr>
      <w:r>
        <w:t>Social-Media-Nutzung und Angststörungen bei Gesundheitsmitarbeitern in COVID-19</w:t>
      </w:r>
    </w:p>
    <w:p>
      <w:r>
        <w:rPr>
          <w:i/>
          <w:color w:val="666666"/>
          <w:sz w:val="18"/>
        </w:rPr>
        <w:t>Powell M et al.  ·  J Med Internet Res  ·  15.10.2026  ·  PMID 42879747</w:t>
      </w:r>
    </w:p>
    <w:p>
      <w:r>
        <w:t>Sekundäranalyse der UC-COVID-Studie 2021 mit 427 Gesundheitsmitarbeitern untersuchte Assoziationen zwischen Social-Media-Nutzung über mehrere Plattformen und Angst-Symptomen während Pandemie.</w:t>
      </w:r>
    </w:p>
    <w:p>
      <w:r>
        <w:rPr>
          <w:b/>
        </w:rPr>
        <w:t xml:space="preserve">Ergebnis: </w:t>
      </w:r>
      <w:r>
        <w:t>29 % berichteten klinisch relevante Angststörungen (GAD-2 ≥3). Höhere Social-Media-Nutzung signifikant mit Angst assoziiert (OR 1,77; 95 %-KI 1,15–2,73). Älteres Alter reduzierte Angststörungen (aOR 0,97; 95 %-KI 0,95–0,99). Psychische-Anamnese erhöhte Angststörungen (aOR 2,33; 95 %-KI 1,35–4,03). Nicht-hispanische Asiaten weniger Angststörungen (aOR 0,39; KI 0,19–0,80). Höheres Einkommen reduzierte Angststörungen (aOR 0,51; KI 0,30–0,87).</w:t>
      </w:r>
    </w:p>
    <w:p>
      <w:r>
        <w:rPr>
          <w:b/>
          <w:sz w:val="19"/>
        </w:rPr>
        <w:t xml:space="preserve">Übertragbarkeit: </w:t>
      </w:r>
      <w:r>
        <w:rPr>
          <w:sz w:val="19"/>
        </w:rPr>
        <w:t>USA-Daten; Fragestellung zu Gesundheitsmitarbeiter-Psyche systemunabhängig relevant.</w:t>
      </w:r>
    </w:p>
    <w:p>
      <w:r>
        <w:rPr>
          <w:color w:val="5A7D3A"/>
          <w:sz w:val="18"/>
        </w:rPr>
        <w:t>https://pubmed.ncbi.nlm.nih.gov/42879747/</w:t>
      </w:r>
    </w:p>
    <w:p>
      <w:pPr>
        <w:pStyle w:val="Heading2"/>
      </w:pPr>
      <w:r>
        <w:t>Umsetzung von CVD-Risiko-Vorhersage-Tools in Subsahara-Afrika: Scoping Review</w:t>
      </w:r>
    </w:p>
    <w:p>
      <w:r>
        <w:rPr>
          <w:i/>
          <w:color w:val="666666"/>
          <w:sz w:val="18"/>
        </w:rPr>
        <w:t>Gouws M et al.  ·  BMC Health Serv Res  ·  19.08.2026  ·  PMID 42875763</w:t>
      </w:r>
    </w:p>
    <w:p>
      <w:r>
        <w:t>Systematische Scoping Review zur Implementierung von Kardiovaskulär-Risiko-Vorhersage-Scores in Subsahara-Afrika anhand von 41 Studien aus zehn Ländern; Struktur nach Implementation-Research-Logic-Model.</w:t>
      </w:r>
    </w:p>
    <w:p>
      <w:r>
        <w:rPr>
          <w:b/>
        </w:rPr>
        <w:t xml:space="preserve">Ergebnis: </w:t>
      </w:r>
      <w:r>
        <w:t>Vier Use-Cases identifiziert: ökonomische/Policy-Überlegungen, Screening hohes CVD-Risiko/Überweisung, Risikokommunikation, Behandlung Hochrisiko-Patienten. Häufigste Barrieren: Gesundheitssystem- und Organisations-Herausforderungen. Implementierungs-Strategien fokussieren Task-Shifting, Training, kurzfristige Materialien/Technologie-Unterstützung für Community-Health-Worker. Wenig Evidenz zu Nachhaltigkeits-Strategien in Einrichtungen; Mismatch zwischen Determinanten-Breite und Strategien-Enge.</w:t>
      </w:r>
    </w:p>
    <w:p>
      <w:r>
        <w:rPr>
          <w:b/>
          <w:sz w:val="19"/>
        </w:rPr>
        <w:t xml:space="preserve">Übertragbarkeit: </w:t>
      </w:r>
      <w:r>
        <w:rPr>
          <w:sz w:val="19"/>
        </w:rPr>
        <w:t>Sub-Sahara; systemabhängig von Ressourcenlage, begrenzte Übertragbarkeit auf Deutschland.</w:t>
      </w:r>
    </w:p>
    <w:p>
      <w:r>
        <w:rPr>
          <w:color w:val="5A7D3A"/>
          <w:sz w:val="18"/>
        </w:rPr>
        <w:t>https://pubmed.ncbi.nlm.nih.gov/42875763/</w:t>
      </w:r>
    </w:p>
    <w:p>
      <w:pPr>
        <w:pStyle w:val="Heading1"/>
      </w:pPr>
      <w:r>
        <w:t>Aufgenommen am 17.10.2026</w:t>
      </w:r>
    </w:p>
    <w:p>
      <w:pPr>
        <w:pStyle w:val="Heading2"/>
      </w:pPr>
      <w:r>
        <w:t>ASAS-Kernsatz zur Assessmentierung axialer Spondyloarthritis</w:t>
      </w:r>
    </w:p>
    <w:p>
      <w:r>
        <w:rPr>
          <w:i/>
          <w:color w:val="666666"/>
          <w:sz w:val="18"/>
        </w:rPr>
        <w:t>van Tubergen A et al.  ·  Ann Rheum Dis  ·  16.10.2026  ·  PMID 42888164</w:t>
      </w:r>
    </w:p>
    <w:p>
      <w:r>
        <w:t>Internationale Expertengruppe entwickelte per modifiziertem Delphi-Verfahren einen standardisierten Kernsatz von Assessmentdomänen und -instrumenten für die klinische Praxis.</w:t>
      </w:r>
    </w:p>
    <w:p>
      <w:r>
        <w:rPr>
          <w:b/>
        </w:rPr>
        <w:t xml:space="preserve">Ergebnis: </w:t>
      </w:r>
      <w:r>
        <w:t>Der Kernsatz wurde von der Mehrheit der ASAS-Mitglieder verabschiedet. Fünf Domänen für Routinevisiten (Krankheitsaktivität, Schmerz, periphere Manifestationen, extramuskuloskeletale Manifestationen, Therapieaspekte) mit je mindestens einem empfohlenen Instrument plus vier ergänzende Domänen für erweiterte Visiten (strukturelle Schäden, Funktionsfähigkeit, Komorbiditäten, Mobilität).</w:t>
      </w:r>
    </w:p>
    <w:p>
      <w:r>
        <w:rPr>
          <w:b/>
          <w:sz w:val="19"/>
        </w:rPr>
        <w:t xml:space="preserve">Übertragbarkeit: </w:t>
      </w:r>
      <w:r>
        <w:rPr>
          <w:sz w:val="19"/>
        </w:rPr>
        <w:t>Internationaler Konsens, europäische Beteiligung, deutsches Rheumazentrum beteiligt</w:t>
      </w:r>
    </w:p>
    <w:p>
      <w:r>
        <w:rPr>
          <w:color w:val="5A7D3A"/>
          <w:sz w:val="18"/>
        </w:rPr>
        <w:t>https://pubmed.ncbi.nlm.nih.gov/42888164/</w:t>
      </w:r>
    </w:p>
    <w:p>
      <w:pPr>
        <w:pStyle w:val="Heading2"/>
      </w:pPr>
      <w:r>
        <w:t>Partizipative Forschung mit Betroffenen: Impact und Team-Dynamik</w:t>
      </w:r>
    </w:p>
    <w:p>
      <w:r>
        <w:rPr>
          <w:i/>
          <w:color w:val="666666"/>
          <w:sz w:val="18"/>
        </w:rPr>
        <w:t>Fox J et al.  ·  Health Expect  ·  Okt. 2026  ·  PMID 42886175</w:t>
      </w:r>
    </w:p>
    <w:p>
      <w:r>
        <w:t>Qualitative Fallstudie erforschte über sieben Jahre die Erfahrungen von Forschungsteams und Betroffenen-Panels bei partizipativ durchgeführter Forschung zur Psychoseprävention.</w:t>
      </w:r>
    </w:p>
    <w:p>
      <w:r>
        <w:rPr>
          <w:b/>
        </w:rPr>
        <w:t xml:space="preserve">Ergebnis: </w:t>
      </w:r>
      <w:r>
        <w:t>Vier Hauptthemen: Impact wurde als Lernprozess mit Friktionen beschrieben; Studienteam schätzte Expertise der Betroffenen; Herausforderungen waren mangelnde Schulung zur Partizipation, Wechsel in Panelstruktur, COVID-bedingte Online-Verlagerung und Zweifel an Relevanzbezug. Regelmäßige reflexive Lernprozesse mit offenem Feedback waren zentral für positive Inklusionskultur.</w:t>
      </w:r>
    </w:p>
    <w:p>
      <w:r>
        <w:rPr>
          <w:b/>
          <w:sz w:val="19"/>
        </w:rPr>
        <w:t xml:space="preserve">Übertragbarkeit: </w:t>
      </w:r>
      <w:r>
        <w:rPr>
          <w:sz w:val="19"/>
        </w:rPr>
        <w:t>UK-Studie, Methode aber international übertragbar für Partizipationsforschung</w:t>
      </w:r>
    </w:p>
    <w:p>
      <w:r>
        <w:rPr>
          <w:color w:val="5A7D3A"/>
          <w:sz w:val="18"/>
        </w:rPr>
        <w:t>https://pubmed.ncbi.nlm.nih.gov/42886175/</w:t>
      </w:r>
    </w:p>
    <w:p>
      <w:pPr>
        <w:pStyle w:val="Heading2"/>
      </w:pPr>
      <w:r>
        <w:t>Depressive Symptome und Remission bei Psoriasis-Arthritis</w:t>
      </w:r>
    </w:p>
    <w:p>
      <w:r>
        <w:rPr>
          <w:i/>
          <w:color w:val="666666"/>
          <w:sz w:val="18"/>
        </w:rPr>
        <w:t>Reich A et al.  ·  BMC Rheumatol  ·  14.10.2026  ·  PMID 42881477</w:t>
      </w:r>
    </w:p>
    <w:p>
      <w:r>
        <w:t>Deutsche Registerstudie untersuchte die Assoziation depressiver Symptome mit Remissionserreichung bei Patienten mit Psoriasis-Arthritis unter systemischer Therapie.</w:t>
      </w:r>
    </w:p>
    <w:p>
      <w:r>
        <w:rPr>
          <w:b/>
        </w:rPr>
        <w:t xml:space="preserve">Ergebnis: </w:t>
      </w:r>
      <w:r>
        <w:t>29 % der 1.888 Patienten berichteten moderate/schwere depressive Symptome (34 % Frauen, 23 % Männer). Höheres Wohlbefinden war mit Remission assoziiert (OR 1,06–1,14 pro 10-Punkt-Steigerung). Beide Geschlechter mit moderaten/schweren Symptomen erreichten Minimal Disease Activity und DAPSA-Remission weniger häufig; die Assoziation unterschied sich nicht signifikant nach Geschlecht.</w:t>
      </w:r>
    </w:p>
    <w:p>
      <w:r>
        <w:rPr>
          <w:b/>
          <w:sz w:val="19"/>
        </w:rPr>
        <w:t xml:space="preserve">Übertragbarkeit: </w:t>
      </w:r>
      <w:r>
        <w:rPr>
          <w:sz w:val="19"/>
        </w:rPr>
        <w:t>Deutsche Routinedaten, ambulante rheumatologische Praxis</w:t>
      </w:r>
    </w:p>
    <w:p>
      <w:r>
        <w:rPr>
          <w:color w:val="5A7D3A"/>
          <w:sz w:val="18"/>
        </w:rPr>
        <w:t>https://pubmed.ncbi.nlm.nih.gov/42881477/</w:t>
      </w:r>
    </w:p>
    <w:p>
      <w:pPr>
        <w:pStyle w:val="Heading2"/>
      </w:pPr>
      <w:r>
        <w:t>Belastung von Eltern als Pflegende bei seltenen Kindererkrankungen</w:t>
      </w:r>
    </w:p>
    <w:p>
      <w:r>
        <w:rPr>
          <w:i/>
          <w:color w:val="666666"/>
          <w:sz w:val="18"/>
        </w:rPr>
        <w:t>Brandt M et al.  ·  Orphanet J Rare Dis  ·  12.10.2026  ·  PMID 42881418</w:t>
      </w:r>
    </w:p>
    <w:p>
      <w:r>
        <w:t>Deutsche Querschnittstudie untersuchte Pflegbelastung bei 123 Eltern von Kindern mit seltenen Erkrankungen und identifizierte assoziierte Faktoren.</w:t>
      </w:r>
    </w:p>
    <w:p>
      <w:r>
        <w:rPr>
          <w:b/>
        </w:rPr>
        <w:t xml:space="preserve">Ergebnis: </w:t>
      </w:r>
      <w:r>
        <w:t>23 % berichteten depressive Symptome, 77 % mindestens einen unerfüllten Unterstützungsbedarf. Bei Kindern mit Pflegebedarf: 24 % mit hoher Pflegbelastung. Nach Adjustierung für multiple Tests zeigten sich bei niedrigerer pflegbezogener Lebensqualität, höherer Sozioökonomie, elterlichen depressiven Symptomen und niedriger Therapiezufriedenheit stärkste Assoziationen mit Pflegbelastung.</w:t>
      </w:r>
    </w:p>
    <w:p>
      <w:r>
        <w:rPr>
          <w:b/>
          <w:sz w:val="19"/>
        </w:rPr>
        <w:t xml:space="preserve">Übertragbarkeit: </w:t>
      </w:r>
      <w:r>
        <w:rPr>
          <w:sz w:val="19"/>
        </w:rPr>
        <w:t>Deutsche Studie, spezialisierte Zentren und Patientenorganisationen</w:t>
      </w:r>
    </w:p>
    <w:p>
      <w:r>
        <w:rPr>
          <w:color w:val="5A7D3A"/>
          <w:sz w:val="18"/>
        </w:rPr>
        <w:t>https://pubmed.ncbi.nlm.nih.gov/42881418/</w:t>
      </w:r>
    </w:p>
    <w:p>
      <w:pPr>
        <w:pStyle w:val="Heading2"/>
      </w:pPr>
      <w:r>
        <w:t>Gesundheitskompetenz und Gesundheit bei Pflegestudierenden</w:t>
      </w:r>
    </w:p>
    <w:p>
      <w:r>
        <w:rPr>
          <w:i/>
          <w:color w:val="666666"/>
          <w:sz w:val="18"/>
        </w:rPr>
        <w:t>Otto R et al.  ·  Front Med (Lausanne)  ·  30.09.2026  ·  PMID 42876879</w:t>
      </w:r>
    </w:p>
    <w:p>
      <w:r>
        <w:t>Longitudinale deutsche Kohortenstudie verfolgten 128 Auszubildende und 43 Studierende im Pflegebereich über ein Jahr und untersuchten Gesundheitskompetenz, Gesundheitsstatus und Gesundheitsverhalten.</w:t>
      </w:r>
    </w:p>
    <w:p>
      <w:r>
        <w:rPr>
          <w:b/>
        </w:rPr>
        <w:t xml:space="preserve">Ergebnis: </w:t>
      </w:r>
      <w:r>
        <w:t>Durchschnittliche Gesundheitskompetenzscores blieben stabil, zeigten aber heterogene individuelle Veränderungen. BMI stieg signifikant an. Selbstbewerteter Gesundheitsstatus verschlechterte sich bei Auszubildenden signifikant. Raucherquote stieg signifikant an, andere Gesundheitsverhalten blieben unverändert. Keine signifikanten Assoziationen zwischen Baseline-Gesundheitskompetenz und späteren Outcomes oder Verhalten.</w:t>
      </w:r>
    </w:p>
    <w:p>
      <w:r>
        <w:rPr>
          <w:b/>
          <w:sz w:val="19"/>
        </w:rPr>
        <w:t xml:space="preserve">Übertragbarkeit: </w:t>
      </w:r>
      <w:r>
        <w:rPr>
          <w:sz w:val="19"/>
        </w:rPr>
        <w:t>Deutsche Studie, Unterricht und Ausbildungssetting</w:t>
      </w:r>
    </w:p>
    <w:p>
      <w:r>
        <w:rPr>
          <w:color w:val="5A7D3A"/>
          <w:sz w:val="18"/>
        </w:rPr>
        <w:t>https://pubmed.ncbi.nlm.nih.gov/42876879/</w:t>
      </w:r>
    </w:p>
    <w:p>
      <w:pPr>
        <w:pStyle w:val="Heading2"/>
      </w:pPr>
      <w:r>
        <w:t>Technische Effizienz öffentlicher Gesundheitseinrichtungen</w:t>
      </w:r>
    </w:p>
    <w:p>
      <w:r>
        <w:rPr>
          <w:i/>
          <w:color w:val="666666"/>
          <w:sz w:val="18"/>
        </w:rPr>
        <w:t>Momina AU et al.  ·  BMC Health Serv Res  ·  13.10.2026  ·  PMID 42870268</w:t>
      </w:r>
    </w:p>
    <w:p>
      <w:r>
        <w:t>Datenabgrenzungsanalyse evaluierte die technische Effizienz von 100 öffentlichen Gesundheitseinrichtungen in Pakistan bei der Familienplanungsversorgung.</w:t>
      </w:r>
    </w:p>
    <w:p>
      <w:r>
        <w:rPr>
          <w:b/>
        </w:rPr>
        <w:t xml:space="preserve">Ergebnis: </w:t>
      </w:r>
      <w:r>
        <w:t>Die durchschnittliche Effizienzquote betrug 78 %. Basic Health Units und Rural Health Centers zeigten erhebliche Ressourcenoptimierungslücken. Eine negative Assoziation bestand zwischen der Anzahl alternativer Anbieter im Einzugsgebiet und der Effizienz, was die Bedeutung der Angebotsorientierung nach lokaler Nachfrage unterstreicht.</w:t>
      </w:r>
    </w:p>
    <w:p>
      <w:r>
        <w:rPr>
          <w:b/>
          <w:sz w:val="19"/>
        </w:rPr>
        <w:t xml:space="preserve">Übertragbarkeit: </w:t>
      </w:r>
      <w:r>
        <w:rPr>
          <w:sz w:val="19"/>
        </w:rPr>
        <w:t>Nur bedingt: andere Ressourcenlage, Gesundheitssystem-Kontext unterscheidet sich grundlegend</w:t>
      </w:r>
    </w:p>
    <w:p>
      <w:r>
        <w:rPr>
          <w:color w:val="5A7D3A"/>
          <w:sz w:val="18"/>
        </w:rPr>
        <w:t>https://pubmed.ncbi.nlm.nih.gov/42870268/</w:t>
      </w:r>
    </w:p>
    <w:p>
      <w:pPr>
        <w:pStyle w:val="Heading1"/>
      </w:pPr>
      <w:r>
        <w:t>Aufgenommen am 16.10.2026</w:t>
      </w:r>
    </w:p>
    <w:p>
      <w:pPr>
        <w:pStyle w:val="Heading2"/>
      </w:pPr>
      <w:r>
        <w:t>Medizinische Kunstfehlerfälle in Katalonien: 22 Jahre Trends</w:t>
      </w:r>
    </w:p>
    <w:p>
      <w:r>
        <w:rPr>
          <w:i/>
          <w:color w:val="666666"/>
          <w:sz w:val="18"/>
        </w:rPr>
        <w:t>Arimany-Manso J et al.  ·  Health Policy  ·  13.10.2026  ·  PMID 42879821</w:t>
      </w:r>
    </w:p>
    <w:p>
      <w:r>
        <w:t>Retrospektive Analyse von 22 Jahren Kunstfehlermeldungen im katalanischen Versicherungssystem mit Fokus auf Trends und Unterschiede zwischen Fachbereichen.</w:t>
      </w:r>
    </w:p>
    <w:p>
      <w:r>
        <w:rPr>
          <w:b/>
        </w:rPr>
        <w:t xml:space="preserve">Ergebnis: </w:t>
      </w:r>
      <w:r>
        <w:t>Bei 22 % Bevölkerungswachstum sanken Kunstfehlerfälle um 9,5 %, adjustierte Raten sogar um 26,1 % (p &lt; 0,0005). Chirurgische Fälle fielen um 34,0 %, Notfallmedizin um 20,5 %; mittlere Latenz zwischen Ereignis und Anspruch: 23,9 Monate. Dies widerspricht der Wahrnehmung steigender Fälle.</w:t>
      </w:r>
    </w:p>
    <w:p>
      <w:r>
        <w:rPr>
          <w:b/>
          <w:sz w:val="19"/>
        </w:rPr>
        <w:t xml:space="preserve">Übertragbarkeit: </w:t>
      </w:r>
      <w:r>
        <w:rPr>
          <w:sz w:val="19"/>
        </w:rPr>
        <w:t>Katalonisches Versicherungsmodell, vergleichbar mit deutschen Strukturen und Sozialversicherungen</w:t>
      </w:r>
    </w:p>
    <w:p>
      <w:r>
        <w:rPr>
          <w:color w:val="5A7D3A"/>
          <w:sz w:val="18"/>
        </w:rPr>
        <w:t>https://pubmed.ncbi.nlm.nih.gov/42879821/</w:t>
      </w:r>
    </w:p>
    <w:p>
      <w:pPr>
        <w:pStyle w:val="Heading2"/>
      </w:pPr>
      <w:r>
        <w:t>Langzeiteffekte von Community-Screening auf kardiovaskuläres Risiko und Verhalten</w:t>
      </w:r>
    </w:p>
    <w:p>
      <w:r>
        <w:rPr>
          <w:i/>
          <w:color w:val="666666"/>
          <w:sz w:val="18"/>
        </w:rPr>
        <w:t>Gani LU et al.  ·  Singapore Med J  ·  15.10.2026  ·  PMID 42879299</w:t>
      </w:r>
    </w:p>
    <w:p>
      <w:r>
        <w:t>Achtjährige Beobachtungsstudie (2011–2019): 28.565 Teilnehmer an ECHO-Screening; Auswertung der Auswirkungen auf Risikofaktoren, Arztbesuche und Gesundheitsverhalten.</w:t>
      </w:r>
    </w:p>
    <w:p>
      <w:r>
        <w:rPr>
          <w:b/>
        </w:rPr>
        <w:t xml:space="preserve">Ergebnis: </w:t>
      </w:r>
      <w:r>
        <w:t>12.762 Personen beim Screening teilgenommen, 5.977 (46,8 %) hatten abnorme Befunde; 56 % besuchten Hausarzt innerhalb eines Jahres. Bewohner von kostengünstigen Wohnungen zeigten höhere Besuchsraten (74 % vs. 52,5 %, p &lt; 0,001). Wiederholte ECHO-Teilnahme war mit verbesserten kardiomet. Indikatoren assoziiert trotz bescheidener Verhaltensänderungen.</w:t>
      </w:r>
    </w:p>
    <w:p>
      <w:r>
        <w:rPr>
          <w:b/>
          <w:sz w:val="19"/>
        </w:rPr>
        <w:t xml:space="preserve">Übertragbarkeit: </w:t>
      </w:r>
      <w:r>
        <w:rPr>
          <w:sz w:val="19"/>
        </w:rPr>
        <w:t>Singapur, vergleichbare Mehrschichtstruktur; Befunde zu niederschwelligem Screening in Gemeinden übertragbar</w:t>
      </w:r>
    </w:p>
    <w:p>
      <w:r>
        <w:rPr>
          <w:color w:val="5A7D3A"/>
          <w:sz w:val="18"/>
        </w:rPr>
        <w:t>https://pubmed.ncbi.nlm.nih.gov/42879299/</w:t>
      </w:r>
    </w:p>
    <w:p>
      <w:pPr>
        <w:pStyle w:val="Heading2"/>
      </w:pPr>
      <w:r>
        <w:t>Telehealth bei Morbus Parkinson: Urbane vs. ländliche Disparitäten</w:t>
      </w:r>
    </w:p>
    <w:p>
      <w:r>
        <w:rPr>
          <w:i/>
          <w:color w:val="666666"/>
          <w:sz w:val="18"/>
        </w:rPr>
        <w:t>Gros P et al.  ·  Can J Neurol Sci  ·  15.10.2026  ·  PMID 42878209</w:t>
      </w:r>
    </w:p>
    <w:p>
      <w:r>
        <w:t>Populationsgestützte Querschnittsstudie von 24.736 Patienten mit Parkinson in Ontario (März 2020–August 2023) zur Telehealth-Nutzung in Stadt vs. Land.</w:t>
      </w:r>
    </w:p>
    <w:p>
      <w:r>
        <w:rPr>
          <w:b/>
        </w:rPr>
        <w:t xml:space="preserve">Ergebnis: </w:t>
      </w:r>
      <w:r>
        <w:t>Ländliche Patienten hatten signifikant niedrigere Telehealth-Raten zu Neurologen (aRR 0,93; 95%-KI 0,90–0,96), Hausärzten (aRR 0,73; 95%-KI 0,70–0,77) und Geriatrie/Psychiatrie (aRR 0,67; 95%-KI 0,65–0,77). Telehealth fiel über 3,5 Jahre bei Neurologen auf aRR 0,23, bei Hausärzten auf aRR 0,39.</w:t>
      </w:r>
    </w:p>
    <w:p>
      <w:r>
        <w:rPr>
          <w:b/>
          <w:sz w:val="19"/>
        </w:rPr>
        <w:t xml:space="preserve">Übertragbarkeit: </w:t>
      </w:r>
      <w:r>
        <w:rPr>
          <w:sz w:val="19"/>
        </w:rPr>
        <w:t>Kanada, steuerfinanziert; Befunde zu Zugangsungleichheit sind systemunabhängig relevant</w:t>
      </w:r>
    </w:p>
    <w:p>
      <w:r>
        <w:rPr>
          <w:color w:val="5A7D3A"/>
          <w:sz w:val="18"/>
        </w:rPr>
        <w:t>https://pubmed.ncbi.nlm.nih.gov/42878209/</w:t>
      </w:r>
    </w:p>
    <w:p>
      <w:pPr>
        <w:pStyle w:val="Heading2"/>
      </w:pPr>
      <w:r>
        <w:t>SMS-Erinnerungen zur Zervixkrebsvorsorge: Effektivität bei Massenimplementierung</w:t>
      </w:r>
    </w:p>
    <w:p>
      <w:r>
        <w:rPr>
          <w:i/>
          <w:color w:val="666666"/>
          <w:sz w:val="18"/>
        </w:rPr>
        <w:t>Nichol B et al.  ·  Lancet Prim Care  ·  Sept. 2026  ·  PMID 42877070</w:t>
      </w:r>
    </w:p>
    <w:p>
      <w:r>
        <w:t>Rückwirkende Analyse der flächendeckenden Einführung von GP-unterstützten SMS-Erinnerungen für Zervixkrebsscreenings in London (Juni 2021–März 2024).</w:t>
      </w:r>
    </w:p>
    <w:p>
      <w:r>
        <w:rPr>
          <w:b/>
        </w:rPr>
        <w:t xml:space="preserve">Ergebnis: </w:t>
      </w:r>
      <w:r>
        <w:t>Von 3.127.759 Personen erhielten 2.112.003 (67,5 %) SMS-Erinnerungen. Teilnahmequote mit SMS: 51,7 % vs. ohne SMS: 25,0 %; Odds Ratio 3,36 (95%-KI 3,31–3,40, p &lt; 0,0001). SMS-Versand stieg Teilnahme um 1,7 Prozentpunkte.</w:t>
      </w:r>
    </w:p>
    <w:p>
      <w:r>
        <w:rPr>
          <w:b/>
          <w:sz w:val="19"/>
        </w:rPr>
        <w:t xml:space="preserve">Übertragbarkeit: </w:t>
      </w:r>
      <w:r>
        <w:rPr>
          <w:sz w:val="19"/>
        </w:rPr>
        <w:t>Britische Primärversorgung, gut übertragbar auf deutsche Screeningprogramme in der Hausarztpraxis</w:t>
      </w:r>
    </w:p>
    <w:p>
      <w:r>
        <w:rPr>
          <w:color w:val="5A7D3A"/>
          <w:sz w:val="18"/>
        </w:rPr>
        <w:t>https://pubmed.ncbi.nlm.nih.gov/42877070/</w:t>
      </w:r>
    </w:p>
    <w:p>
      <w:pPr>
        <w:pStyle w:val="Heading2"/>
      </w:pPr>
      <w:r>
        <w:t>Generationensolidarität in der Pandemie: Geschlechter- und Altersstereotype in deutschen Medien</w:t>
      </w:r>
    </w:p>
    <w:p>
      <w:r>
        <w:rPr>
          <w:i/>
          <w:color w:val="666666"/>
          <w:sz w:val="18"/>
        </w:rPr>
        <w:t>Boser EK et al.  ·  Int J Equity Health  ·  12.10.2026  ·  PMID 42875791</w:t>
      </w:r>
    </w:p>
    <w:p>
      <w:r>
        <w:t>Qualitative Inhaltsanalyse von 351 Artikeln aus zwei großen deutschen Wochenzeitungen (März 2020–Juni 2022) zur Verschränkung von Generationen-, Geschlechter- und Altersdebatten während COVID-19.</w:t>
      </w:r>
    </w:p>
    <w:p>
      <w:r>
        <w:rPr>
          <w:b/>
        </w:rPr>
        <w:t xml:space="preserve">Ergebnis: </w:t>
      </w:r>
      <w:r>
        <w:t>Mediendebatten zeigten Verwobenheit von Altersrassismus und Geschlechternormen. Zwei paradigmatische Fälle offenbarten persistente geschlechts- und altersspezifische Annahmen über Moralakteure und Solidaritätserwartungen. Festgestellte gendered age divide widerlegt simplistische Solidaritätsnarrative und bekräftigt Notwendigkeit intersektionaler Perspektiven.</w:t>
      </w:r>
    </w:p>
    <w:p>
      <w:r>
        <w:rPr>
          <w:b/>
          <w:sz w:val="19"/>
        </w:rPr>
        <w:t xml:space="preserve">Übertragbarkeit: </w:t>
      </w:r>
      <w:r>
        <w:rPr>
          <w:sz w:val="19"/>
        </w:rPr>
        <w:t>Deutsche Medienanalyse, direkt auf deutsches Versorgungssystem und Gesundheitspolitik anwendbar</w:t>
      </w:r>
    </w:p>
    <w:p>
      <w:r>
        <w:rPr>
          <w:color w:val="5A7D3A"/>
          <w:sz w:val="18"/>
        </w:rPr>
        <w:t>https://pubmed.ncbi.nlm.nih.gov/42875791/</w:t>
      </w:r>
    </w:p>
    <w:p>
      <w:pPr>
        <w:pStyle w:val="Heading2"/>
      </w:pPr>
      <w:r>
        <w:t>Kosteneffektivität von Rehabilitations-Follow-up zuhause statt in Einrichtungen</w:t>
      </w:r>
    </w:p>
    <w:p>
      <w:r>
        <w:rPr>
          <w:i/>
          <w:color w:val="666666"/>
          <w:sz w:val="18"/>
        </w:rPr>
        <w:t>Gamble CJ et al.  ·  Eur J Health Econ  ·  15.10.2026  ·  PMID 42875712</w:t>
      </w:r>
    </w:p>
    <w:p>
      <w:r>
        <w:t>Prospektive Kohortenstudie mit historischer Kontrolle: Vergleich von Heimrehabilitation nach verkürztem stationärem Aufenthalt versus konventioneller rein stationärer Rehabilitation (350 Patienten, 8 niederländische Zentren).</w:t>
      </w:r>
    </w:p>
    <w:p>
      <w:r>
        <w:rPr>
          <w:b/>
        </w:rPr>
        <w:t xml:space="preserve">Ergebnis: </w:t>
      </w:r>
      <w:r>
        <w:t>Incremental Effect: 0,44 Barthel-Index-Punkte (95%-KI −0,44 bis 1,31); Kosten: −€722,63 (95%-KI −€2.693,68 bis €1.248,43). Adjustierte Kosten betrugen −€654,72 pro Patient (95%-KI −€1.035,66 bis −€267,48). Better@Home erzielte vergleichbare ADL-Unabhängigkeit bei niedrigeren Kosten.</w:t>
      </w:r>
    </w:p>
    <w:p>
      <w:r>
        <w:rPr>
          <w:b/>
          <w:sz w:val="19"/>
        </w:rPr>
        <w:t xml:space="preserve">Übertragbarkeit: </w:t>
      </w:r>
      <w:r>
        <w:rPr>
          <w:sz w:val="19"/>
        </w:rPr>
        <w:t>Niederlande, Sozialversicherungssystem mit ähnlicher Versorgungsstruktur wie Deutschland</w:t>
      </w:r>
    </w:p>
    <w:p>
      <w:r>
        <w:rPr>
          <w:color w:val="5A7D3A"/>
          <w:sz w:val="18"/>
        </w:rPr>
        <w:t>https://pubmed.ncbi.nlm.nih.gov/42875712/</w:t>
      </w:r>
    </w:p>
    <w:p>
      <w:pPr>
        <w:pStyle w:val="Heading1"/>
      </w:pPr>
      <w:r>
        <w:t>Aufgenommen am 15.10.2026</w:t>
      </w:r>
    </w:p>
    <w:p>
      <w:pPr>
        <w:pStyle w:val="Heading2"/>
      </w:pPr>
      <w:r>
        <w:t>Online-Diabetesschulung in England: Langzeit-Kosteneffektivität einer kostenlosen Interventionen</w:t>
      </w:r>
    </w:p>
    <w:p>
      <w:r>
        <w:rPr>
          <w:i/>
          <w:color w:val="666666"/>
          <w:sz w:val="18"/>
        </w:rPr>
        <w:t>Paterson L et al.  ·  Diabet Med  ·  14.10.2026  ·  PMID 42875188</w:t>
      </w:r>
    </w:p>
    <w:p>
      <w:r>
        <w:t>Eine Simulation mit Routinedaten zur Kosteneffektivität eines kostenlosen Online-Schulungsprogramms für Typ-2-Diabetes in England über die gesamte Lebensspanne.</w:t>
      </w:r>
    </w:p>
    <w:p>
      <w:r>
        <w:rPr>
          <w:b/>
        </w:rPr>
        <w:t xml:space="preserve">Ergebnis: </w:t>
      </w:r>
      <w:r>
        <w:t>Modest improvement in health (0,016 QALYs), kleine Reduktion der Lebenszeit-Kosten (-4 £/Person), netto £216/Nutzer mit Cost-per-QALY von £13.192 unter dem NICE-Schwellenwert (£25.000/QALY), also kosteneffektiv.</w:t>
      </w:r>
    </w:p>
    <w:p>
      <w:r>
        <w:rPr>
          <w:b/>
          <w:sz w:val="19"/>
        </w:rPr>
        <w:t xml:space="preserve">Übertragbarkeit: </w:t>
      </w:r>
      <w:r>
        <w:rPr>
          <w:sz w:val="19"/>
        </w:rPr>
        <w:t>England, NHS-Perspektive; teilweise übertragbar auf deutsche gesetzliche Krankenversicherung bei ähnlichen Interventionskosten.</w:t>
      </w:r>
    </w:p>
    <w:p>
      <w:r>
        <w:rPr>
          <w:color w:val="5A7D3A"/>
          <w:sz w:val="18"/>
        </w:rPr>
        <w:t>https://pubmed.ncbi.nlm.nih.gov/42875188/</w:t>
      </w:r>
    </w:p>
    <w:p>
      <w:pPr>
        <w:pStyle w:val="Heading2"/>
      </w:pPr>
      <w:r>
        <w:t>Versorgungsungleichheiten bei kolorektalen Lebermetastasen in England</w:t>
      </w:r>
    </w:p>
    <w:p>
      <w:r>
        <w:rPr>
          <w:i/>
          <w:color w:val="666666"/>
          <w:sz w:val="18"/>
        </w:rPr>
        <w:t>Saito MK et al.  ·  J Cancer Policy  ·  14.10.2026  ·  PMID 42874958</w:t>
      </w:r>
    </w:p>
    <w:p>
      <w:r>
        <w:t>Analyse von Versorgungsungleichheiten in der Leberteilresektion bei synchronen/metachronen Lebermetastasen nach sozioökonomischem Status.</w:t>
      </w:r>
    </w:p>
    <w:p>
      <w:r>
        <w:rPr>
          <w:b/>
        </w:rPr>
        <w:t xml:space="preserve">Ergebnis: </w:t>
      </w:r>
      <w:r>
        <w:t>Kumulative Resektions-/Ablationsraten 8,7% (synchron) bzw. 23,5% (metachron); adjusted Ungleichheitslücke zwischen ärmster und wohlhabendster Gruppe 2,6% bei synchronen Metastasen, 1,0% bei metachronen.</w:t>
      </w:r>
    </w:p>
    <w:p>
      <w:r>
        <w:rPr>
          <w:b/>
          <w:sz w:val="19"/>
        </w:rPr>
        <w:t xml:space="preserve">Übertragbarkeit: </w:t>
      </w:r>
      <w:r>
        <w:rPr>
          <w:sz w:val="19"/>
        </w:rPr>
        <w:t>Englische Krebsregisterdaten; Befunde zur equity-gap in der Spezialisten-Zuweisung relevant für deutsche Diskussion zur Gleichheit der Krebsversorgung.</w:t>
      </w:r>
    </w:p>
    <w:p>
      <w:r>
        <w:rPr>
          <w:color w:val="5A7D3A"/>
          <w:sz w:val="18"/>
        </w:rPr>
        <w:t>https://pubmed.ncbi.nlm.nih.gov/42874958/</w:t>
      </w:r>
    </w:p>
    <w:p>
      <w:pPr>
        <w:pStyle w:val="Heading2"/>
      </w:pPr>
      <w:r>
        <w:t>Langzeitprognose zwangsweise psychiatrisch behandelter Personen in Norwegen</w:t>
      </w:r>
    </w:p>
    <w:p>
      <w:r>
        <w:rPr>
          <w:i/>
          <w:color w:val="666666"/>
          <w:sz w:val="18"/>
        </w:rPr>
        <w:t>Hofstad T et al.  ·  Lancet Psychiatry  ·  Nov. 2026  ·  PMID 42874602</w:t>
      </w:r>
    </w:p>
    <w:p>
      <w:r>
        <w:t>Nationale Registerstudie zur Langzeitprognose (Gesundheit, Kriminalität, Sozioökonomie) bei Personen mit Zwangsbetreuung, Zwangseinweisung und freiwilliger Behandlung.</w:t>
      </w:r>
    </w:p>
    <w:p>
      <w:r>
        <w:rPr>
          <w:b/>
        </w:rPr>
        <w:t xml:space="preserve">Ergebnis: </w:t>
      </w:r>
      <w:r>
        <w:t>Zwangsbetreuungsgruppen zeigten deutlich schlechtere Outcomes: Selbstschadensrisiko in Beobachtungsgruppe 12% (Frauen) vs. 5,5% (Männer); Substanzstörung 39-53%; Gewalt-/Sexualvergehen 14-37%; Invalidenrente CTOs 89-93%; 55,7% der Todesfälle durch Suizid/externe Ursachen.</w:t>
      </w:r>
    </w:p>
    <w:p>
      <w:r>
        <w:rPr>
          <w:b/>
          <w:sz w:val="19"/>
        </w:rPr>
        <w:t xml:space="preserve">Übertragbarkeit: </w:t>
      </w:r>
      <w:r>
        <w:rPr>
          <w:sz w:val="19"/>
        </w:rPr>
        <w:t>Norwegische Registerdaten, ähnlich skandinavisches Gesundheitssystem; Outcomes-Benchmarks für Versorgungsplanung relevant auch für deutsche Psychiatrie.</w:t>
      </w:r>
    </w:p>
    <w:p>
      <w:r>
        <w:rPr>
          <w:color w:val="5A7D3A"/>
          <w:sz w:val="18"/>
        </w:rPr>
        <w:t>https://pubmed.ncbi.nlm.nih.gov/42874602/</w:t>
      </w:r>
    </w:p>
    <w:p>
      <w:pPr>
        <w:pStyle w:val="Heading2"/>
      </w:pPr>
      <w:r>
        <w:t>Digitale Zwillinge und Patientenrechte: Qualitative Studie mit älteren Patienten</w:t>
      </w:r>
    </w:p>
    <w:p>
      <w:r>
        <w:rPr>
          <w:i/>
          <w:color w:val="666666"/>
          <w:sz w:val="18"/>
        </w:rPr>
        <w:t>Zhang W et al.  ·  BMC Health Serv Res  ·  27.08.2026  ·  PMID 42870264</w:t>
      </w:r>
    </w:p>
    <w:p>
      <w:r>
        <w:t>Qualitative Studie (22 Interviews) zu Perspektiven älterer Patienten (≥65 Jahren) mit chronischen Erkrankungen auf die Verwendung ihrer Daten für Virtual Models/digitale Zwillinge.</w:t>
      </w:r>
    </w:p>
    <w:p>
      <w:r>
        <w:rPr>
          <w:b/>
        </w:rPr>
        <w:t xml:space="preserve">Ergebnis: </w:t>
      </w:r>
      <w:r>
        <w:t>Fünf zentrale Themen: (1) Konzeptuelle Undurchsichtigkeit, (2) existenzielles Unbehagen vor manipulierbarem digitalen Abbild ('uncanny self'), (3) Zustimmungsinadäquanz, (4) 'trapped self' (irreversible Datenintegration), (5) Forderung nach Benachrichtigung, laufender Zustimmung, digitaler Löschung und Transparenz.</w:t>
      </w:r>
    </w:p>
    <w:p>
      <w:r>
        <w:rPr>
          <w:b/>
          <w:sz w:val="19"/>
        </w:rPr>
        <w:t xml:space="preserve">Übertragbarkeit: </w:t>
      </w:r>
      <w:r>
        <w:rPr>
          <w:sz w:val="19"/>
        </w:rPr>
        <w:t>Qualitative britische Studie (Wenzhou, China); Befunde zu Patientenperspektive auf KI-Datenverwertung systemübergreifend relevant für deutsche Governance und Ethik.</w:t>
      </w:r>
    </w:p>
    <w:p>
      <w:r>
        <w:rPr>
          <w:color w:val="5A7D3A"/>
          <w:sz w:val="18"/>
        </w:rPr>
        <w:t>https://pubmed.ncbi.nlm.nih.gov/42870264/</w:t>
      </w:r>
    </w:p>
    <w:p>
      <w:pPr>
        <w:pStyle w:val="Heading2"/>
      </w:pPr>
      <w:r>
        <w:t>Patientenwahl des Hausarztes: Kontextuelle Hindernisse in Schweden</w:t>
      </w:r>
    </w:p>
    <w:p>
      <w:r>
        <w:rPr>
          <w:i/>
          <w:color w:val="666666"/>
          <w:sz w:val="18"/>
        </w:rPr>
        <w:t>Blomberg-Ohlström C et al.  ·  BMC Health Serv Res  ·  11.10.2026  ·  PMID 42870246</w:t>
      </w:r>
    </w:p>
    <w:p>
      <w:r>
        <w:t>Qualitative Studie (18 Interviews) zu Bedingungen, die Wahlentscheidungen für Hausarztpraxen beeinflussen; Vergleich mit Wahlen von Pflege- und Schulservices.</w:t>
      </w:r>
    </w:p>
    <w:p>
      <w:r>
        <w:rPr>
          <w:b/>
        </w:rPr>
        <w:t xml:space="preserve">Ergebnis: </w:t>
      </w:r>
      <w:r>
        <w:t>Fünf Kontextfaktoren für niedrige Wahlaktivität: (1) geringe Wahlnotwendigkeit, (2) unsichtbare Anbieterunterschied, (3) Erwartung gleicher Qualität, (4) persönliche Beziehungen, (5) Kontinuität der Beziehung; weniger Informationssuche als bei anderen Dienstleistungen.</w:t>
      </w:r>
    </w:p>
    <w:p>
      <w:r>
        <w:rPr>
          <w:b/>
          <w:sz w:val="19"/>
        </w:rPr>
        <w:t xml:space="preserve">Übertragbarkeit: </w:t>
      </w:r>
      <w:r>
        <w:rPr>
          <w:sz w:val="19"/>
        </w:rPr>
        <w:t>Schwedische qualitative Studie; Befunde zu Wahl-Hürden im Hausarztsektor übertragbar auf deutsches Modell mit begrenztem Wettbewerb.</w:t>
      </w:r>
    </w:p>
    <w:p>
      <w:r>
        <w:rPr>
          <w:color w:val="5A7D3A"/>
          <w:sz w:val="18"/>
        </w:rPr>
        <w:t>https://pubmed.ncbi.nlm.nih.gov/42870246/</w:t>
      </w:r>
    </w:p>
    <w:p>
      <w:pPr>
        <w:pStyle w:val="Heading2"/>
      </w:pPr>
      <w:r>
        <w:t>Nurse-Navigation bei Krebspatienten: RCT-Ergebnisse aus Sachsen</w:t>
      </w:r>
    </w:p>
    <w:p>
      <w:r>
        <w:rPr>
          <w:i/>
          <w:color w:val="666666"/>
          <w:sz w:val="18"/>
        </w:rPr>
        <w:t>Porzig R et al.  ·  Res Health Serv Reg  ·  14.10.2026  ·  PMID 42870145</w:t>
      </w:r>
    </w:p>
    <w:p>
      <w:r>
        <w:t>Randomisierte kontrollierte Studie zur Wirkung eines 12-Monate-Nurse-Navigation-Programms (Onkolotse) auf Krankenhausaufenthalte, psychische Belastung und Kosten.</w:t>
      </w:r>
    </w:p>
    <w:p>
      <w:r>
        <w:rPr>
          <w:b/>
        </w:rPr>
        <w:t xml:space="preserve">Ergebnis: </w:t>
      </w:r>
      <w:r>
        <w:t>Hospitalisierungsrate ITT 43,9% (Intervention) vs. 51,6% (Kontrolle), n.s. (OR 0,74, 95% CI 0,45–1,20, p=0,219); HADS-Angst Δ-0,75 (n.s.), Depression Δ-0,56 (n.s.); Kosten median 14.224€ vs. 12.560€ (n.s.).</w:t>
      </w:r>
    </w:p>
    <w:p>
      <w:r>
        <w:rPr>
          <w:b/>
          <w:sz w:val="19"/>
        </w:rPr>
        <w:t xml:space="preserve">Übertragbarkeit: </w:t>
      </w:r>
      <w:r>
        <w:rPr>
          <w:sz w:val="19"/>
        </w:rPr>
        <w:t>Deutsche Studie (Sachsen, 258 Patienten, 2017–2022); direkt relevant für deutsches Versorgungssystem, dennoch unterversorgt (statistische Kraft unzureichend).</w:t>
      </w:r>
    </w:p>
    <w:p>
      <w:r>
        <w:rPr>
          <w:color w:val="5A7D3A"/>
          <w:sz w:val="18"/>
        </w:rPr>
        <w:t>https://pubmed.ncbi.nlm.nih.gov/42870145/</w:t>
      </w:r>
    </w:p>
    <w:p>
      <w:pPr>
        <w:pStyle w:val="Heading1"/>
      </w:pPr>
      <w:r>
        <w:t>Aufgenommen am 14.10.2026</w:t>
      </w:r>
    </w:p>
    <w:p>
      <w:pPr>
        <w:pStyle w:val="Heading2"/>
      </w:pPr>
      <w:r>
        <w:t>Stepped-Care-Modell für Opioidabhängige: Besserer Zugang zu Medikamenten</w:t>
      </w:r>
    </w:p>
    <w:p>
      <w:r>
        <w:rPr>
          <w:i/>
          <w:color w:val="666666"/>
          <w:sz w:val="18"/>
        </w:rPr>
        <w:t>Li H et al.  ·  Health Serv Res  ·  Okt. 2026  ·  PMID 42869778</w:t>
      </w:r>
    </w:p>
    <w:p>
      <w:r>
        <w:t>Eine US-Studie evaluierte, ob ein nationales Trainings-Programm (SCOUTT) zur Ausweitung der medikamentösen Opioidbehandlung in Primärversorgung und psychischen Gesundheitssettings bei obdacherfahrenen Veterans erfolgreicher war als reguläre Versorgung.</w:t>
      </w:r>
    </w:p>
    <w:p>
      <w:r>
        <w:rPr>
          <w:b/>
        </w:rPr>
        <w:t xml:space="preserve">Ergebnis: </w:t>
      </w:r>
      <w:r>
        <w:t>Patienten in SCOUTT-Einrichtungen erhielten signifikant häufiger Medikamentöse Opioidbehandlung (6,16 Prozentpunkte mehr jegliche MOUD, 7,16 Punkte mehr Buprenorphin; beides 95%-KI statistisch signifikant). Die Differenz-in-Differenzen-Analyse bestätigte diese Ergebnisse (7,85 bzw. 9,31 Punkte Unterschied).</w:t>
      </w:r>
    </w:p>
    <w:p>
      <w:r>
        <w:rPr>
          <w:b/>
          <w:sz w:val="19"/>
        </w:rPr>
        <w:t xml:space="preserve">Übertragbarkeit: </w:t>
      </w:r>
      <w:r>
        <w:rPr>
          <w:sz w:val="19"/>
        </w:rPr>
        <w:t>US-Veteranen-System, eingeschränkte Übertragbarkeit auf deutsche Sozialversicherung</w:t>
      </w:r>
    </w:p>
    <w:p>
      <w:r>
        <w:rPr>
          <w:color w:val="5A7D3A"/>
          <w:sz w:val="18"/>
        </w:rPr>
        <w:t>https://pubmed.ncbi.nlm.nih.gov/42869778/</w:t>
      </w:r>
    </w:p>
    <w:p>
      <w:pPr>
        <w:pStyle w:val="Heading2"/>
      </w:pPr>
      <w:r>
        <w:t>Psychische Erkrankungen nach Klinikentlassung: Familien und Profis teilen Medikamenten-Verantwortung</w:t>
      </w:r>
    </w:p>
    <w:p>
      <w:r>
        <w:rPr>
          <w:i/>
          <w:color w:val="666666"/>
          <w:sz w:val="18"/>
        </w:rPr>
        <w:t>Jeffries M et al.  ·  Soc Sci Med  ·  08.10.2026  ·  PMID 42868728</w:t>
      </w:r>
    </w:p>
    <w:p>
      <w:r>
        <w:t>Eine britische Qualitativstudie mit 34 Interviews (Patienten, Angehörige, Gesundheitsfachleute) untersuchte, welche Unterstützungsnetzwerke für sichere Medikamentenadhärenz nach psychiatrischer Klinikentlassung notwendig sind.</w:t>
      </w:r>
    </w:p>
    <w:p>
      <w:r>
        <w:rPr>
          <w:b/>
        </w:rPr>
        <w:t xml:space="preserve">Ergebnis: </w:t>
      </w:r>
      <w:r>
        <w:t>Kernfinding: Medikamentensicherheit nach Entlassung beruht stark auf Unterstützungsnetzwerken und der Medikamenten-'Arbeit' von Patienten und Angehörigen. Professionelle Gesundheitsfachleute spielen eine zentrale, aber variable und kontextabhängige Rolle. Notwendigkeit erkannt: Stärkere Anerkennung von Sozialkontakten und 'situated medicines work' für bessere Sicherheit.</w:t>
      </w:r>
    </w:p>
    <w:p>
      <w:r>
        <w:rPr>
          <w:b/>
          <w:sz w:val="19"/>
        </w:rPr>
        <w:t xml:space="preserve">Übertragbarkeit: </w:t>
      </w:r>
      <w:r>
        <w:rPr>
          <w:sz w:val="19"/>
        </w:rPr>
        <w:t>Großbritannien, NHS-System; Erkenntnisse zu Netzwerken übertragbar auf deutsche Gemeindepsychiatrie</w:t>
      </w:r>
    </w:p>
    <w:p>
      <w:r>
        <w:rPr>
          <w:color w:val="5A7D3A"/>
          <w:sz w:val="18"/>
        </w:rPr>
        <w:t>https://pubmed.ncbi.nlm.nih.gov/42868728/</w:t>
      </w:r>
    </w:p>
    <w:p>
      <w:pPr>
        <w:pStyle w:val="Heading2"/>
      </w:pPr>
      <w:r>
        <w:t>Arbeit und Therapietreue: Sozialer Zusammenhalt im Beruf fördert Adherence</w:t>
      </w:r>
    </w:p>
    <w:p>
      <w:r>
        <w:rPr>
          <w:i/>
          <w:color w:val="666666"/>
          <w:sz w:val="18"/>
        </w:rPr>
        <w:t>Aalbers E et al.  ·  PLoS One  ·  13.10.2026  ·  PMID 42868134</w:t>
      </w:r>
    </w:p>
    <w:p>
      <w:r>
        <w:t>Eine niederländische Querschnittsstudie untersuchte bei 309 berufstätigen Personen mit chronischen Erkrankungen, wie Arbeitsmerkmale (Umfang, Anforderungen, Inklusion) mit der Einhaltung von Medikamenten- und Termintreue assoziiert sind.</w:t>
      </w:r>
    </w:p>
    <w:p>
      <w:r>
        <w:rPr>
          <w:b/>
        </w:rPr>
        <w:t xml:space="preserve">Ergebnis: </w:t>
      </w:r>
      <w:r>
        <w:t>Therapietreue-Rate betrug 56 Prozent. Soziale Inklusion am Arbeitsplatz erhöhte die Adhärenz signifikant (adjustierte OR 1,50, 95%-KI 1,00-2,25, p=0,049). Moderate physische Arbeitsanforderungen waren mit niedrigerer Adhärenz assoziiert (aOR 0,49, 95%-KI 0,26-0,92, p=0,026).</w:t>
      </w:r>
    </w:p>
    <w:p>
      <w:r>
        <w:rPr>
          <w:b/>
          <w:sz w:val="19"/>
        </w:rPr>
        <w:t xml:space="preserve">Übertragbarkeit: </w:t>
      </w:r>
      <w:r>
        <w:rPr>
          <w:sz w:val="19"/>
        </w:rPr>
        <w:t>Niederlande, vergleichbares Sozialversicherungssystem mit chronisch kranker Erwerbsbevölkerung</w:t>
      </w:r>
    </w:p>
    <w:p>
      <w:r>
        <w:rPr>
          <w:color w:val="5A7D3A"/>
          <w:sz w:val="18"/>
        </w:rPr>
        <w:t>https://pubmed.ncbi.nlm.nih.gov/42868134/</w:t>
      </w:r>
    </w:p>
    <w:p>
      <w:pPr>
        <w:pStyle w:val="Heading2"/>
      </w:pPr>
      <w:r>
        <w:t>Digitale Fragebögien vor Arztbesuch: Dokumentation wird vollständiger</w:t>
      </w:r>
    </w:p>
    <w:p>
      <w:r>
        <w:rPr>
          <w:i/>
          <w:color w:val="666666"/>
          <w:sz w:val="18"/>
        </w:rPr>
        <w:t>Roemer A et al.  ·  BMC Health Serv Res  ·  09.10.2026  ·  PMID 42864663</w:t>
      </w:r>
    </w:p>
    <w:p>
      <w:r>
        <w:t>Eine deutschsprachige Pilotstudie (n=43) aus Rheumatologie, Dermatologie und Orthopädie testete, ob computergenerierte Patientenfragebögien mit standardisierter Zusammenfassung vor dem Termin die Vollständigkeit der klinischen Dokumentation verbessert.</w:t>
      </w:r>
    </w:p>
    <w:p>
      <w:r>
        <w:rPr>
          <w:b/>
        </w:rPr>
        <w:t xml:space="preserve">Ergebnis: </w:t>
      </w:r>
      <w:r>
        <w:t>Dokumentationsvollständigkeit stieg von 46,9 Prozent (Kontrolle) auf 100 Prozent (Intervention) im Median (p&lt;0,001). Alle Interventions-Patienten hatten die generierte Zusammenfassung in der Krankenakte. 95,3 Prozent der Patienten und 100 Prozent der Ärzte befürworteten das System.</w:t>
      </w:r>
    </w:p>
    <w:p>
      <w:r>
        <w:rPr>
          <w:b/>
          <w:sz w:val="19"/>
        </w:rPr>
        <w:t xml:space="preserve">Übertragbarkeit: </w:t>
      </w:r>
      <w:r>
        <w:rPr>
          <w:sz w:val="19"/>
        </w:rPr>
        <w:t>Deutsche Studienzentren, direkt anwendbar auf deutsches Versorgungssystem</w:t>
      </w:r>
    </w:p>
    <w:p>
      <w:r>
        <w:rPr>
          <w:color w:val="5A7D3A"/>
          <w:sz w:val="18"/>
        </w:rPr>
        <w:t>https://pubmed.ncbi.nlm.nih.gov/42864663/</w:t>
      </w:r>
    </w:p>
    <w:p>
      <w:pPr>
        <w:pStyle w:val="Heading2"/>
      </w:pPr>
      <w:r>
        <w:t>Hausärzte-Ausbildung: Umgang mit Unsicherheit muss trainiert werden</w:t>
      </w:r>
    </w:p>
    <w:p>
      <w:r>
        <w:rPr>
          <w:i/>
          <w:color w:val="666666"/>
          <w:sz w:val="18"/>
        </w:rPr>
        <w:t>Dreher AC et al.  ·  BMC Med Educ  ·  12.10.2026  ·  PMID 42864649</w:t>
      </w:r>
    </w:p>
    <w:p>
      <w:r>
        <w:t>Eine qualitative Studie mit 22 deutschen Hausarzt-Weiterbildungsassistenten (Heidelberg) explorierte, wie Ärzte-in-Ausbildung Unsicherheit in der Primärversorgung erleben und bewältigen.</w:t>
      </w:r>
    </w:p>
    <w:p>
      <w:r>
        <w:rPr>
          <w:b/>
        </w:rPr>
        <w:t xml:space="preserve">Ergebnis: </w:t>
      </w:r>
      <w:r>
        <w:t>Trainees berichten von Unsicherheit auf drei Ebenen: Selbstzweifel (intrapersonal), Patientenfaktoren (interpersonal) und Kontext (systemisch). Bewältigungsstrategien waren Abwarten, Kollegenrat, externe Quellen und Intuition. Kernaussage: Gezieltes Training für Unsicherheitsmanagement fehlt und wäre nötig.</w:t>
      </w:r>
    </w:p>
    <w:p>
      <w:r>
        <w:rPr>
          <w:b/>
          <w:sz w:val="19"/>
        </w:rPr>
        <w:t xml:space="preserve">Übertragbarkeit: </w:t>
      </w:r>
      <w:r>
        <w:rPr>
          <w:sz w:val="19"/>
        </w:rPr>
        <w:t>Deutsche Hausarzt-Weiterbildung, direkt auf deutsche Versorgung anwendbar</w:t>
      </w:r>
    </w:p>
    <w:p>
      <w:r>
        <w:rPr>
          <w:color w:val="5A7D3A"/>
          <w:sz w:val="18"/>
        </w:rPr>
        <w:t>https://pubmed.ncbi.nlm.nih.gov/42864649/</w:t>
      </w:r>
    </w:p>
    <w:p>
      <w:pPr>
        <w:pStyle w:val="Heading2"/>
      </w:pPr>
      <w:r>
        <w:t>Lebensqualität bei chronischen Wunden: Spanische Cutoff-Werte für klinische Praxis</w:t>
      </w:r>
    </w:p>
    <w:p>
      <w:r>
        <w:rPr>
          <w:i/>
          <w:color w:val="666666"/>
          <w:sz w:val="18"/>
        </w:rPr>
        <w:t>Horcajada-Reales C et al.  ·  Int Wound J  ·  Okt. 2026  ·  PMID 42830425</w:t>
      </w:r>
    </w:p>
    <w:p>
      <w:r>
        <w:t>Eine spanische Validierungsstudie (n=323 Baseline, n=197 Retest) etablierte klinisch interpretierbare Schwellenwerte und Responsivitätsmaße für das Wound-QoL-14-Instrument zur Messung von Wundassoziierter Lebensqualität.</w:t>
      </w:r>
    </w:p>
    <w:p>
      <w:r>
        <w:rPr>
          <w:b/>
        </w:rPr>
        <w:t xml:space="preserve">Ergebnis: </w:t>
      </w:r>
      <w:r>
        <w:t>Einfache Schweregrad-Klassifizierung (0-0,25 / 0,26-1,00 / 1,01-2,00 / 2,01-3,00 / 3,01-4,00) korrelierte moderat mit globaler Verankerungsfrage (polychorische Korrelation 0,653), aber geringe Übereinstimmung (41,5 Prozent Konkordanz, Krippendorffs Alfa 0,609). Smallest detectable change 0,39 Punkte vs. minimale klinisch relevante Differenz 0,53 Punkte.</w:t>
      </w:r>
    </w:p>
    <w:p>
      <w:r>
        <w:rPr>
          <w:b/>
          <w:sz w:val="19"/>
        </w:rPr>
        <w:t xml:space="preserve">Übertragbarkeit: </w:t>
      </w:r>
      <w:r>
        <w:rPr>
          <w:sz w:val="19"/>
        </w:rPr>
        <w:t>Spanien, deutschsprachiger Wundbereich; kulturell angepasste Schwellenwerte hilfreich für deutschsprachige Praxis</w:t>
      </w:r>
    </w:p>
    <w:p>
      <w:r>
        <w:rPr>
          <w:color w:val="5A7D3A"/>
          <w:sz w:val="18"/>
        </w:rPr>
        <w:t>https://pubmed.ncbi.nlm.nih.gov/42830425/</w:t>
      </w:r>
    </w:p>
    <w:p>
      <w:pPr>
        <w:pStyle w:val="Heading1"/>
      </w:pPr>
      <w:r>
        <w:t>Aufgenommen am 13.10.2026</w:t>
      </w:r>
    </w:p>
    <w:p>
      <w:pPr>
        <w:pStyle w:val="Heading2"/>
      </w:pPr>
      <w:r>
        <w:t>Ambulante Versorgungspfade vor Sepsishospitalisierung</w:t>
      </w:r>
    </w:p>
    <w:p>
      <w:r>
        <w:rPr>
          <w:i/>
          <w:color w:val="666666"/>
          <w:sz w:val="18"/>
        </w:rPr>
        <w:t>Storch J et al.  ·  Infection  ·  12.10.2026  ·  PMID 42862469</w:t>
      </w:r>
    </w:p>
    <w:p>
      <w:r>
        <w:t>Bevölkerungsbasierte Analyse deutscher Versichertendaten zu ambulanten Kontakten vor stationärer Sepsisaufnahme: 61,8 % hatten nur ambulante Versorgung, 12,7 % Notfallversorgung, 25,5 % keine Kontakte in der Woche vor Hospitalisierung.</w:t>
      </w:r>
    </w:p>
    <w:p>
      <w:r>
        <w:rPr>
          <w:b/>
        </w:rPr>
        <w:t xml:space="preserve">Ergebnis: </w:t>
      </w:r>
      <w:r>
        <w:t>Bei ambulant versorgten Patienten: durchschnittlich 2,0 Tage (SD 2,3) zwischen letztem infektionsbezogenen Kontakt und Sepsishospitalisierung; 82,3 % hatten Kontakt mit Hausarzt; nur 11,4 % erhielten Antiinfektiva-Verschreibungen. Hinweis auf Chancen zur früheren Sepsis-Erkennung in ambulanten Settings.</w:t>
      </w:r>
    </w:p>
    <w:p>
      <w:r>
        <w:rPr>
          <w:b/>
          <w:sz w:val="19"/>
        </w:rPr>
        <w:t xml:space="preserve">Übertragbarkeit: </w:t>
      </w:r>
      <w:r>
        <w:rPr>
          <w:sz w:val="19"/>
        </w:rPr>
        <w:t>Deutsche Routinedaten (AOK) mit 238.247 Patienten, hohe Übertragbarkeit auf hiesiges Versorgungssystem</w:t>
      </w:r>
    </w:p>
    <w:p>
      <w:r>
        <w:rPr>
          <w:color w:val="5A7D3A"/>
          <w:sz w:val="18"/>
        </w:rPr>
        <w:t>https://pubmed.ncbi.nlm.nih.gov/42862469/</w:t>
      </w:r>
    </w:p>
    <w:p>
      <w:pPr>
        <w:pStyle w:val="Heading2"/>
      </w:pPr>
      <w:r>
        <w:t>Beteiligung älterer Menschen mit Sturztrauma in Forschung</w:t>
      </w:r>
    </w:p>
    <w:p>
      <w:r>
        <w:rPr>
          <w:i/>
          <w:color w:val="666666"/>
          <w:sz w:val="18"/>
        </w:rPr>
        <w:t>Reeck N et al.  ·  Health Expect  ·  Okt. 2026  ·  PMID 42861438</w:t>
      </w:r>
    </w:p>
    <w:p>
      <w:r>
        <w:t>Qualitative Evaluationsstudie zur Partizipation von 8 älteren Personen mit Sturzererfahrung über 3 Jahre; Bewertung mit Evaluationsinstrumenten und Prozessdokumentation.</w:t>
      </w:r>
    </w:p>
    <w:p>
      <w:r>
        <w:rPr>
          <w:b/>
        </w:rPr>
        <w:t xml:space="preserve">Ergebnis: </w:t>
      </w:r>
      <w:r>
        <w:t>Kern-Befunde: Positive Atmosphäre bei Treffen, anfängliche Unklarheit über Projektzweck; Partizipatives Forschungsteam beeinflusste verschiedene Projektphasen (z.B. Fokusgruppen-Design); gesundheitsbedingte Absenzen erforderten Aufnahme von 3 neuen Teilnehmern; Kontextfaktoren (Infrastruktur) unterstützend, aber verbesserte Informationsstrukturen nötig.</w:t>
      </w:r>
    </w:p>
    <w:p>
      <w:r>
        <w:rPr>
          <w:b/>
          <w:sz w:val="19"/>
        </w:rPr>
        <w:t xml:space="preserve">Übertragbarkeit: </w:t>
      </w:r>
      <w:r>
        <w:rPr>
          <w:sz w:val="19"/>
        </w:rPr>
        <w:t>Deutsche Universität (Oldenburg), geriatrisches Setting, Methoden der Patient Engagement-Evaluierung</w:t>
      </w:r>
    </w:p>
    <w:p>
      <w:r>
        <w:rPr>
          <w:color w:val="5A7D3A"/>
          <w:sz w:val="18"/>
        </w:rPr>
        <w:t>https://pubmed.ncbi.nlm.nih.gov/42861438/</w:t>
      </w:r>
    </w:p>
    <w:p>
      <w:pPr>
        <w:pStyle w:val="Heading2"/>
      </w:pPr>
      <w:r>
        <w:t>Repräsentativität von Brustkrebs-Befragten in England</w:t>
      </w:r>
    </w:p>
    <w:p>
      <w:r>
        <w:rPr>
          <w:i/>
          <w:color w:val="666666"/>
          <w:sz w:val="18"/>
        </w:rPr>
        <w:t>Blacker S et al.  ·  BMJ Open  ·  09.10.2026  ·  PMID 42855234</w:t>
      </w:r>
    </w:p>
    <w:p>
      <w:r>
        <w:t>Kohortenstudie mit Datenverknüpfung von nationaler Patientenerfahrungsbefragung mit Krebsregister zur Beurteilung der Selektionsbias bei Rücklaufquoten.</w:t>
      </w:r>
    </w:p>
    <w:p>
      <w:r>
        <w:rPr>
          <w:b/>
        </w:rPr>
        <w:t xml:space="preserve">Ergebnis: </w:t>
      </w:r>
      <w:r>
        <w:t>Linked Analyse von 71.640 Brustkrebs-Patientinnen zeigte, welche Charakteristika mit Rücklauf assoziiert waren; Identifikation systemischer Unterschiede zwischen Respondern und Nicht-Respondern für informierte Bias-Interpretation in zukünftigen Experience-Surveys.</w:t>
      </w:r>
    </w:p>
    <w:p>
      <w:r>
        <w:rPr>
          <w:b/>
          <w:sz w:val="19"/>
        </w:rPr>
        <w:t xml:space="preserve">Übertragbarkeit: </w:t>
      </w:r>
      <w:r>
        <w:rPr>
          <w:sz w:val="19"/>
        </w:rPr>
        <w:t>Methodische Versorgungsforschung, NHS-Daten, Sampling-Fragen auch in Deutschland relevant</w:t>
      </w:r>
    </w:p>
    <w:p>
      <w:r>
        <w:rPr>
          <w:color w:val="5A7D3A"/>
          <w:sz w:val="18"/>
        </w:rPr>
        <w:t>https://pubmed.ncbi.nlm.nih.gov/42855234/</w:t>
      </w:r>
    </w:p>
    <w:p>
      <w:pPr>
        <w:pStyle w:val="Heading2"/>
      </w:pPr>
      <w:r>
        <w:t>Labor-Phänotypen nach Reanimation und Mortalität</w:t>
      </w:r>
    </w:p>
    <w:p>
      <w:r>
        <w:rPr>
          <w:i/>
          <w:color w:val="666666"/>
          <w:sz w:val="18"/>
        </w:rPr>
        <w:t>Liu X et al.  ·  Resuscitation  ·  09.10.2026  ·  PMID 42855036</w:t>
      </w:r>
    </w:p>
    <w:p>
      <w:r>
        <w:t>Nationale 10-Jahres-Kohortenstudie aus Singapur (1514 reanimierte Patienten) mit Latent-Class-Analyse von 14 Laborvariablen innerhalb 6 Stunden nach ROSC zur Vorhersage neurologischer Outcomes.</w:t>
      </w:r>
    </w:p>
    <w:p>
      <w:r>
        <w:rPr>
          <w:b/>
        </w:rPr>
        <w:t xml:space="preserve">Ergebnis: </w:t>
      </w:r>
      <w:r>
        <w:t>Drei prognostisch distinkte Phänotypen identifiziert: Multi-Organ-Dysfunktion (MOD, N=286), Homeostase (HOM, N=967), Immun-Dysregulation (IMD, N=261). HOM und IMD hatten niedrigere Odds für schlechte neurologische Erholung vs. MOD (aOR 0,50 bzw. 0,46, p≤0,004). Unterschiede auch für 30-Tage- und 3-Jahres-Mortalität signifikant (aHR 0,71–0,78).</w:t>
      </w:r>
    </w:p>
    <w:p>
      <w:r>
        <w:rPr>
          <w:b/>
          <w:sz w:val="19"/>
        </w:rPr>
        <w:t xml:space="preserve">Übertragbarkeit: </w:t>
      </w:r>
      <w:r>
        <w:rPr>
          <w:sz w:val="19"/>
        </w:rPr>
        <w:t>Nationale Kohortendaten Singapur, externe Validierung erforderlich, Laborbiomarker systemunabhängig</w:t>
      </w:r>
    </w:p>
    <w:p>
      <w:r>
        <w:rPr>
          <w:color w:val="5A7D3A"/>
          <w:sz w:val="18"/>
        </w:rPr>
        <w:t>https://pubmed.ncbi.nlm.nih.gov/42855036/</w:t>
      </w:r>
    </w:p>
    <w:p>
      <w:pPr>
        <w:pStyle w:val="Heading2"/>
      </w:pPr>
      <w:r>
        <w:t>Infektionsrisiko unter Rituximab-Therapie bei MS</w:t>
      </w:r>
    </w:p>
    <w:p>
      <w:r>
        <w:rPr>
          <w:i/>
          <w:color w:val="666666"/>
          <w:sz w:val="18"/>
        </w:rPr>
        <w:t>Pihl-Jensen G et al.  ·  Neurol Clin Pract  ·  08.10.2026  ·  PMID 42854181</w:t>
      </w:r>
    </w:p>
    <w:p>
      <w:r>
        <w:t>Norwegische national-weite Beobachtungsstudie (Verknüpfung Gesundheitsregister mit MS-Registry 2010–Juni 2022) bei 3.410 MS-Patienten zu Infektionsrisiko unter Rituximab nach Dosierungsintervall und Alter.</w:t>
      </w:r>
    </w:p>
    <w:p>
      <w:r>
        <w:rPr>
          <w:b/>
        </w:rPr>
        <w:t xml:space="preserve">Ergebnis: </w:t>
      </w:r>
      <w:r>
        <w:t>13.774 Infektionen auf 13.811 Behandlungsepisoden. Verlängerte Dosierungsintervalle assoziiert mit niedrigerem Gesamtinfektionsrisiko: 2 vs. 4 Infusionen/2 Jahre HR 0,90 (95% CI 0,82–0,99); 1 Infusion HR 0,78 (0,69–0,88). Krankenhaus-Infektionen: nur HR 0,68 (0,59–0,79) für 1 vs. 4 Infusionen. Alter ≥60 Jahre HR 1,36 (1,07–1,71) für Klinik-Infektionen.</w:t>
      </w:r>
    </w:p>
    <w:p>
      <w:r>
        <w:rPr>
          <w:b/>
          <w:sz w:val="19"/>
        </w:rPr>
        <w:t xml:space="preserve">Übertragbarkeit: </w:t>
      </w:r>
      <w:r>
        <w:rPr>
          <w:sz w:val="19"/>
        </w:rPr>
        <w:t>Norwegen (skandinavisches Versorgungssystem), Behandlungs-Effektivität und Sicherheit grundsätzlich transferabel</w:t>
      </w:r>
    </w:p>
    <w:p>
      <w:r>
        <w:rPr>
          <w:color w:val="5A7D3A"/>
          <w:sz w:val="18"/>
        </w:rPr>
        <w:t>https://pubmed.ncbi.nlm.nih.gov/42854181/</w:t>
      </w:r>
    </w:p>
    <w:p>
      <w:pPr>
        <w:pStyle w:val="Heading2"/>
      </w:pPr>
      <w:r>
        <w:t>Postpartales Medicaid-Coverage und Mütter-Erfahrungen</w:t>
      </w:r>
    </w:p>
    <w:p>
      <w:r>
        <w:rPr>
          <w:i/>
          <w:color w:val="666666"/>
          <w:sz w:val="18"/>
        </w:rPr>
        <w:t>Raffa BJ et al.  ·  JAMA Netw Open  ·  01.10.2026  ·  PMID 42853565</w:t>
      </w:r>
    </w:p>
    <w:p>
      <w:r>
        <w:t>Qualitative Studie mit 16 Müttern (semistrukturierte Interviews, April–Oktober 2025) in Nordkarolina zur Erfahrung mit erweitertem postpartalen Medicaid-Coverage (60 Tage auf 12 Monate).</w:t>
      </w:r>
    </w:p>
    <w:p>
      <w:r>
        <w:rPr>
          <w:b/>
        </w:rPr>
        <w:t xml:space="preserve">Ergebnis: </w:t>
      </w:r>
      <w:r>
        <w:t>Fünf Hauptthemen: Verwirrung um Coverage, Medicaid ermöglicht Versorgungszugang, psychische Gesundheit kritisch im postpartalen Zeitfenster, reduzierter finanzischer Stress mit verbesserter Familiendynamik, Medicaid verhindert Versorgungsverzicht. Bewusstsein über Policy-Änderungen war Schlüssel für Nutzen.</w:t>
      </w:r>
    </w:p>
    <w:p>
      <w:r>
        <w:rPr>
          <w:b/>
          <w:sz w:val="19"/>
        </w:rPr>
        <w:t xml:space="preserve">Übertragbarkeit: </w:t>
      </w:r>
      <w:r>
        <w:rPr>
          <w:sz w:val="19"/>
        </w:rPr>
        <w:t>Nur bedingt: US-Medicaid-System, andere Finanzierungslogik als deutsche gesetzliche Versicherung</w:t>
      </w:r>
    </w:p>
    <w:p>
      <w:r>
        <w:rPr>
          <w:color w:val="5A7D3A"/>
          <w:sz w:val="18"/>
        </w:rPr>
        <w:t>https://pubmed.ncbi.nlm.nih.gov/42853565/</w:t>
      </w:r>
    </w:p>
    <w:p>
      <w:pPr>
        <w:pStyle w:val="Heading1"/>
      </w:pPr>
      <w:r>
        <w:t>Aufgenommen am 12.10.2026</w:t>
      </w:r>
    </w:p>
    <w:p>
      <w:pPr>
        <w:pStyle w:val="Heading2"/>
      </w:pPr>
      <w:r>
        <w:t>Operative Wartezeiten bei Nierenzellkarzinom in England</w:t>
      </w:r>
    </w:p>
    <w:p>
      <w:r>
        <w:rPr>
          <w:i/>
          <w:color w:val="666666"/>
          <w:sz w:val="18"/>
        </w:rPr>
        <w:t>Varma R et al.  ·  BJU Int  ·  11.10.2026  ·  PMID 42860314</w:t>
      </w:r>
    </w:p>
    <w:p>
      <w:r>
        <w:t>Studie zu Wartezeiten auf operative Behandlung bei Patienten mit hochrisiko- und niedrigrisiko-Nierenzellkarzinom in England, 2019–2023.</w:t>
      </w:r>
    </w:p>
    <w:p>
      <w:r>
        <w:rPr>
          <w:b/>
        </w:rPr>
        <w:t xml:space="preserve">Ergebnis: </w:t>
      </w:r>
      <w:r>
        <w:t>Anteil zeitnaher Operationen (≤31 Tage) sank bei hochrisiko-RCC von 83,7% (2019) auf 64,8% (2023), bei niedrigrisiko-RCC von 71,3% auf 47,6%. Verlängerte Verzögerungen (&gt;62 Tage) verdoppelten sich von 3,9% auf 9,4%. Hochrisiko-Patienten wurden bevorzugt (73,6% vs. 58,2%, adjustierte RR 1,26, KI 1,22–1,31).</w:t>
      </w:r>
    </w:p>
    <w:p>
      <w:r>
        <w:rPr>
          <w:b/>
          <w:sz w:val="19"/>
        </w:rPr>
        <w:t xml:space="preserve">Übertragbarkeit: </w:t>
      </w:r>
      <w:r>
        <w:rPr>
          <w:sz w:val="19"/>
        </w:rPr>
        <w:t>England, NHS-System mit anderen Zugangsstrukturen, aber versorgungsnahe Frage zur chirurgischen Kapazität</w:t>
      </w:r>
    </w:p>
    <w:p>
      <w:r>
        <w:rPr>
          <w:color w:val="5A7D3A"/>
          <w:sz w:val="18"/>
        </w:rPr>
        <w:t>https://pubmed.ncbi.nlm.nih.gov/42860314/</w:t>
      </w:r>
    </w:p>
    <w:p>
      <w:pPr>
        <w:pStyle w:val="Heading2"/>
      </w:pPr>
      <w:r>
        <w:t>Palliativbetreuung in der ambulanten Nephrologie: Wissen und Kommunikation</w:t>
      </w:r>
    </w:p>
    <w:p>
      <w:r>
        <w:rPr>
          <w:i/>
          <w:color w:val="666666"/>
          <w:sz w:val="18"/>
        </w:rPr>
        <w:t>Joshi M et al.  ·  BMC Nephrol  ·  09.10.2026  ·  PMID 42859148</w:t>
      </w:r>
    </w:p>
    <w:p>
      <w:r>
        <w:t>Qualitative und quantitative Studie zu Integration von Palliativbetreuung in deutschen Nephologie-Ambulanzen mittels Befragung und Interviews von 52 Fachkräften sowie 13 Tiefeninterviews.</w:t>
      </w:r>
    </w:p>
    <w:p>
      <w:r>
        <w:rPr>
          <w:b/>
        </w:rPr>
        <w:t xml:space="preserve">Ergebnis: </w:t>
      </w:r>
      <w:r>
        <w:t>Nur etwa die Hälfte der Fachkräfte äußerte Konfidenz in der Identifikation von Patienten mit Palliativbedarf. Gespräche über Behandlungspräferenzen und Vorausplanung fanden inkonsistent statt; Diskussionen über Sterbeort waren selten. Schulung erhöhte das Bewusstsein, strukturelle Barrieren (Zeitdruck, Behandlungsfokus) behinderten aber die Umsetzung.</w:t>
      </w:r>
    </w:p>
    <w:p>
      <w:r>
        <w:rPr>
          <w:b/>
          <w:sz w:val="19"/>
        </w:rPr>
        <w:t xml:space="preserve">Übertragbarkeit: </w:t>
      </w:r>
      <w:r>
        <w:rPr>
          <w:sz w:val="19"/>
        </w:rPr>
        <w:t>Deutsche Studie, ambulante Nephrologiepraxen und Krankenhausambulanzen</w:t>
      </w:r>
    </w:p>
    <w:p>
      <w:r>
        <w:rPr>
          <w:color w:val="5A7D3A"/>
          <w:sz w:val="18"/>
        </w:rPr>
        <w:t>https://pubmed.ncbi.nlm.nih.gov/42859148/</w:t>
      </w:r>
    </w:p>
    <w:p>
      <w:pPr>
        <w:pStyle w:val="Heading2"/>
      </w:pPr>
      <w:r>
        <w:t>Epidemiologie entzündlicher rheumatischer Erkrankungen in Deutschland</w:t>
      </w:r>
    </w:p>
    <w:p>
      <w:r>
        <w:rPr>
          <w:i/>
          <w:color w:val="666666"/>
          <w:sz w:val="18"/>
        </w:rPr>
        <w:t>Albrecht K et al.  ·  EULAR Rheumatol Open  ·  09.07.2026  ·  PMID 42857317</w:t>
      </w:r>
    </w:p>
    <w:p>
      <w:r>
        <w:t>Systematische Übersicht zur Prävalenz und Inzidenz von 11 entzündlichen rheumatischen Erkrankungen in Deutschland und Europa (2013–aktuell) für Personalbedarfsplanung.</w:t>
      </w:r>
    </w:p>
    <w:p>
      <w:r>
        <w:rPr>
          <w:b/>
        </w:rPr>
        <w:t xml:space="preserve">Ergebnis: </w:t>
      </w:r>
      <w:r>
        <w:t>Geschätzte Prävalenz pro 100.000: rheumatoide Arthritis 1.000, Polymyalgia rheumatica 600 (&gt;50 Jahre), axiale Spondylarthritis 300, psoriasis-Arthritis 300, Riesenzellarteriitis 146 (&gt;50 Jahre), primäres Sjögren 70, systemischer Lupus erythematodes 56, systemische Sklerose 35, idiopathische entzündliche Myopathien 17, ANCA-assoziierte Vaskulitiden 26, Behçet 4,7. Gesamtprävalenz entzündlicher rheumatischer Erkrankungen in Deutschland: 2,6% (1,8 Mio. Erwachsene), jährliche Inzidenz 0,2% (130.000 Erwachsene).</w:t>
      </w:r>
    </w:p>
    <w:p>
      <w:r>
        <w:rPr>
          <w:b/>
          <w:sz w:val="19"/>
        </w:rPr>
        <w:t xml:space="preserve">Übertragbarkeit: </w:t>
      </w:r>
      <w:r>
        <w:rPr>
          <w:sz w:val="19"/>
        </w:rPr>
        <w:t>Deutsche Studie mit deutschen Daten und Schätzungen, direkt anwendbar für Versorgungsplanung</w:t>
      </w:r>
    </w:p>
    <w:p>
      <w:r>
        <w:rPr>
          <w:color w:val="5A7D3A"/>
          <w:sz w:val="18"/>
        </w:rPr>
        <w:t>https://pubmed.ncbi.nlm.nih.gov/42857317/</w:t>
      </w:r>
    </w:p>
    <w:p>
      <w:pPr>
        <w:pStyle w:val="Heading2"/>
      </w:pPr>
      <w:r>
        <w:t>Rolle von Ernährungsfachkräften in Langzeitpflegeeinrichtungen</w:t>
      </w:r>
    </w:p>
    <w:p>
      <w:r>
        <w:rPr>
          <w:i/>
          <w:color w:val="666666"/>
          <w:sz w:val="18"/>
        </w:rPr>
        <w:t>Bartrim K et al.  ·  Health Policy  ·  20.09.2026  ·  PMID 42849156</w:t>
      </w:r>
    </w:p>
    <w:p>
      <w:r>
        <w:t>Dokumentenanalyse der Rolle von Ernährungsfachkräften in Langzeitpflegeangeboten in 68 Ländern basierend auf Regelwerke, Standards und Leitlinien.</w:t>
      </w:r>
    </w:p>
    <w:p>
      <w:r>
        <w:rPr>
          <w:b/>
        </w:rPr>
        <w:t xml:space="preserve">Ergebnis: </w:t>
      </w:r>
      <w:r>
        <w:t>Von 68 Ländern hatten 37 (54%) mindestens ein Dokument zu Ernährungsfachkräften in Langzeitpflege. Japan war einziges Land mit allen vier Dokumenttypen; Australien, Türkiye und Nordirland hatten je drei. 14 Themenbereiche identifiziert, u.a. Ernährungsscreening, Speiseplanung, multiprofessionelle Zusammenarbeit. Große globale Unterschiede in Regelungen und anerkannten Rollen.</w:t>
      </w:r>
    </w:p>
    <w:p>
      <w:r>
        <w:rPr>
          <w:b/>
          <w:sz w:val="19"/>
        </w:rPr>
        <w:t xml:space="preserve">Übertragbarkeit: </w:t>
      </w:r>
      <w:r>
        <w:rPr>
          <w:sz w:val="19"/>
        </w:rPr>
        <w:t>Vergleichende Analyse, auf Deutschland begrenzt übertragbar, aufgrund von Unterschieden in Regulierung und Systemstruktur</w:t>
      </w:r>
    </w:p>
    <w:p>
      <w:r>
        <w:rPr>
          <w:color w:val="5A7D3A"/>
          <w:sz w:val="18"/>
        </w:rPr>
        <w:t>https://pubmed.ncbi.nlm.nih.gov/42849156/</w:t>
      </w:r>
    </w:p>
    <w:p>
      <w:pPr>
        <w:pStyle w:val="Heading2"/>
      </w:pPr>
      <w:r>
        <w:t>Kardio-metabole Ergebnisse eines Wellness-Programms auf dem Land</w:t>
      </w:r>
    </w:p>
    <w:p>
      <w:r>
        <w:rPr>
          <w:i/>
          <w:color w:val="666666"/>
          <w:sz w:val="18"/>
        </w:rPr>
        <w:t>Baus A et al.  ·  J Prim Care Community Health  ·  08.10.2026  ·  PMID 42849056</w:t>
      </w:r>
    </w:p>
    <w:p>
      <w:r>
        <w:t>Retrospektive Evaluation eines krankenhausgestützten Wellness-Programms in West Virginia mit 585 aktiven Teilnehmern zur Kardio-metabolischen Gesundheit.</w:t>
      </w:r>
    </w:p>
    <w:p>
      <w:r>
        <w:rPr>
          <w:b/>
        </w:rPr>
        <w:t xml:space="preserve">Ergebnis: </w:t>
      </w:r>
      <w:r>
        <w:t>Bei gepaarten Analysen: Taillenumfang reduziert um 0,19 Inch (KI −0,34 bis −0,03; p=0,0174), diastolischer Blutdruck um 3,38 mmHg (KI −4,54 bis −2,21; p&lt;0,0001). Bei 56 Diabetespatienten mit HbA1c-Messungen: Reduktion um 0,25 Prozentpunkte (KI −0,44 bis −0,06; p=0,0106), bei initial HbA1c ≥7,0% (n=23) um 0,65 Punkte (KI −1,00 bis −0,29; p=0,0010).</w:t>
      </w:r>
    </w:p>
    <w:p>
      <w:r>
        <w:rPr>
          <w:b/>
          <w:sz w:val="19"/>
        </w:rPr>
        <w:t xml:space="preserve">Übertragbarkeit: </w:t>
      </w:r>
      <w:r>
        <w:rPr>
          <w:sz w:val="19"/>
        </w:rPr>
        <w:t>USA, ländliches Setting, aber Fragestellung zu lokalen Wellness-Modellen systemunabhängig relevant</w:t>
      </w:r>
    </w:p>
    <w:p>
      <w:r>
        <w:rPr>
          <w:color w:val="5A7D3A"/>
          <w:sz w:val="18"/>
        </w:rPr>
        <w:t>https://pubmed.ncbi.nlm.nih.gov/42849056/</w:t>
      </w:r>
    </w:p>
    <w:p>
      <w:pPr>
        <w:pStyle w:val="Heading2"/>
      </w:pPr>
      <w:r>
        <w:t>Einzelitemmessungen zu Nebenwirkungsbelastung bei Krebspatienten</w:t>
      </w:r>
    </w:p>
    <w:p>
      <w:r>
        <w:rPr>
          <w:i/>
          <w:color w:val="666666"/>
          <w:sz w:val="18"/>
        </w:rPr>
        <w:t>Jones T et al.  ·  Eur J Cancer  ·  04.10.2026  ·  PMID 42843209</w:t>
      </w:r>
    </w:p>
    <w:p>
      <w:r>
        <w:t>Systematische Übersichtsarbeit zu Einsatz, psychometrischen Eigenschaften und klinischer Validität von Einzelitemmessungen der wahrgenommenen Nebenwirkungsbelastung in Krebsstudien (67 Publikationen, 74 Studienregistrierungen).</w:t>
      </w:r>
    </w:p>
    <w:p>
      <w:r>
        <w:rPr>
          <w:b/>
        </w:rPr>
        <w:t xml:space="preserve">Ergebnis: </w:t>
      </w:r>
      <w:r>
        <w:t>EORTC Q168 konzentriert auf Pankreas- und Gallenwegskrebs; FACIT GP5 breiter eingesetzt. Für FACIT GP5 lagen 27 Publikationen vor mit Befunden zu Inhalts-, Konstrukt- und Diskriminanzvalidität; für Q168 nur 2 Publikationen. Inhaltliche Limitationen bleiben, besonders beim Attributieren von Symptomen zur Behandlung versus Erkrankung oder andere Faktoren.</w:t>
      </w:r>
    </w:p>
    <w:p>
      <w:r>
        <w:rPr>
          <w:b/>
          <w:sz w:val="19"/>
        </w:rPr>
        <w:t xml:space="preserve">Übertragbarkeit: </w:t>
      </w:r>
      <w:r>
        <w:rPr>
          <w:sz w:val="19"/>
        </w:rPr>
        <w:t>Übersichtsarbeit über klinische Krebsforschung, international übertragbar für Instrumentenanwendung</w:t>
      </w:r>
    </w:p>
    <w:p>
      <w:r>
        <w:rPr>
          <w:color w:val="5A7D3A"/>
          <w:sz w:val="18"/>
        </w:rPr>
        <w:t>https://pubmed.ncbi.nlm.nih.gov/42843209/</w:t>
      </w:r>
    </w:p>
    <w:p>
      <w:pPr>
        <w:pStyle w:val="Heading1"/>
      </w:pPr>
      <w:r>
        <w:t>Aufgenommen am 11.10.2026</w:t>
      </w:r>
    </w:p>
    <w:p>
      <w:pPr>
        <w:pStyle w:val="Heading2"/>
      </w:pPr>
      <w:r>
        <w:t>Transitional Care-Erfahrungen ruraler Patientinnen: Qualitativ</w:t>
      </w:r>
    </w:p>
    <w:p>
      <w:r>
        <w:rPr>
          <w:i/>
          <w:color w:val="666666"/>
          <w:sz w:val="18"/>
        </w:rPr>
        <w:t>Randolph SB et al.  ·  J Rural Health  ·  Sept. 2026  ·  PMID 42855931</w:t>
      </w:r>
    </w:p>
    <w:p>
      <w:r>
        <w:t>Qualitative Analyse von Krankenakten von 200 Veteranen (100 rural, 100 urban), die innerhalb 30 Tagen nach Krankenhausentlassung starben.</w:t>
      </w:r>
    </w:p>
    <w:p>
      <w:r>
        <w:rPr>
          <w:b/>
        </w:rPr>
        <w:t xml:space="preserve">Ergebnis: </w:t>
      </w:r>
      <w:r>
        <w:t>Drei zentrale Themen für rurale Patienten: geografische Entfernungen (längere Fahrtzeiten), Ablehnung von Homecare-Services und hohe Belastung der Betreuer. Diese Faktoren führten zu Diskordanz und Unsicherheit zwischen Patient, Team und Angehörigen.</w:t>
      </w:r>
    </w:p>
    <w:p>
      <w:r>
        <w:rPr>
          <w:b/>
          <w:sz w:val="19"/>
        </w:rPr>
        <w:t xml:space="preserve">Übertragbarkeit: </w:t>
      </w:r>
      <w:r>
        <w:rPr>
          <w:sz w:val="19"/>
        </w:rPr>
        <w:t>USA-Veteranensystem; Erkenntnisse zu Übergangsversorgung aber systemübergreifend relevant</w:t>
      </w:r>
    </w:p>
    <w:p>
      <w:r>
        <w:rPr>
          <w:color w:val="5A7D3A"/>
          <w:sz w:val="18"/>
        </w:rPr>
        <w:t>https://pubmed.ncbi.nlm.nih.gov/42855931/</w:t>
      </w:r>
    </w:p>
    <w:p>
      <w:pPr>
        <w:pStyle w:val="Heading2"/>
      </w:pPr>
      <w:r>
        <w:t>Employment instability und katastrophale Gesundheitsausgaben in Südkorea</w:t>
      </w:r>
    </w:p>
    <w:p>
      <w:r>
        <w:rPr>
          <w:i/>
          <w:color w:val="666666"/>
          <w:sz w:val="18"/>
        </w:rPr>
        <w:t>Yang JM et al.  ·  BMC Health Serv Res  ·  19.08.2026  ·  PMID 42855683</w:t>
      </w:r>
    </w:p>
    <w:p>
      <w:r>
        <w:t>Längsschnittstudie zur Assoziation zwischen Beschäftigungsstabilität und katastrophalen Gesundheitsausgaben bei koreanischen Erwachsenen ab 50 Jahren.</w:t>
      </w:r>
    </w:p>
    <w:p>
      <w:r>
        <w:rPr>
          <w:b/>
        </w:rPr>
        <w:t xml:space="preserve">Ergebnis: </w:t>
      </w:r>
      <w:r>
        <w:t>Persistierende Arbeitslosigkeit erhöhte die Odds für katastrophale Ausgaben um das 1,26-1,34-Fache (p&lt;0,05). Berufliche Übergänge in Arbeitslosigkeit zeigten ähnliche Effekte. Effekt nur in der Altersgruppe ≥50 Jahre signifikant.</w:t>
      </w:r>
    </w:p>
    <w:p>
      <w:r>
        <w:rPr>
          <w:b/>
          <w:sz w:val="19"/>
        </w:rPr>
        <w:t xml:space="preserve">Übertragbarkeit: </w:t>
      </w:r>
      <w:r>
        <w:rPr>
          <w:sz w:val="19"/>
        </w:rPr>
        <w:t>Südkorea, gesetzliche Krankenversicherung, direkter Vergleich möglich</w:t>
      </w:r>
    </w:p>
    <w:p>
      <w:r>
        <w:rPr>
          <w:color w:val="5A7D3A"/>
          <w:sz w:val="18"/>
        </w:rPr>
        <w:t>https://pubmed.ncbi.nlm.nih.gov/42855683/</w:t>
      </w:r>
    </w:p>
    <w:p>
      <w:pPr>
        <w:pStyle w:val="Heading2"/>
      </w:pPr>
      <w:r>
        <w:t>Klimabewusstsein und Öko-Angst bei Gesundheitspersonal</w:t>
      </w:r>
    </w:p>
    <w:p>
      <w:r>
        <w:rPr>
          <w:i/>
          <w:color w:val="666666"/>
          <w:sz w:val="18"/>
        </w:rPr>
        <w:t>Özdemir T et al.  ·  BMC Health Serv Res  ·  01.10.2026  ·  PMID 42850626</w:t>
      </w:r>
    </w:p>
    <w:p>
      <w:r>
        <w:t>Querschnittsstudie bei 460 Fachkräften im Gesundheitswesen zu Zusammenhängen zwischen Klimabewusstsein, Öko-Angst und Umweltsensibilität.</w:t>
      </w:r>
    </w:p>
    <w:p>
      <w:r>
        <w:rPr>
          <w:b/>
        </w:rPr>
        <w:t xml:space="preserve">Ergebnis: </w:t>
      </w:r>
      <w:r>
        <w:t>Moderate Ausprägung bei Klimabewusstsein und Umweltsensibilität; moderate Öko-Angst. Klimabewusstsein, Pflegefachkräfte-Status, Alter ≥45 Jahre und Mitgliedschaft in Umweltorganisationen waren signifikante Prädiktoren (p&lt;0,05). Ruminations-Subdimension marginal nicht-signifikant (p=0,064).</w:t>
      </w:r>
    </w:p>
    <w:p>
      <w:r>
        <w:rPr>
          <w:b/>
          <w:sz w:val="19"/>
        </w:rPr>
        <w:t xml:space="preserve">Übertragbarkeit: </w:t>
      </w:r>
      <w:r>
        <w:rPr>
          <w:sz w:val="19"/>
        </w:rPr>
        <w:t>Türkei, Gesundheitssystem mit Versorger-fokussiertem Ansatz, Health Services Research</w:t>
      </w:r>
    </w:p>
    <w:p>
      <w:r>
        <w:rPr>
          <w:color w:val="5A7D3A"/>
          <w:sz w:val="18"/>
        </w:rPr>
        <w:t>https://pubmed.ncbi.nlm.nih.gov/42850626/</w:t>
      </w:r>
    </w:p>
    <w:p>
      <w:pPr>
        <w:pStyle w:val="Heading2"/>
      </w:pPr>
      <w:r>
        <w:t>Wearable-Sensoren zur Bewegungskontrolle in geriatrischer Rehabilitation</w:t>
      </w:r>
    </w:p>
    <w:p>
      <w:r>
        <w:rPr>
          <w:i/>
          <w:color w:val="666666"/>
          <w:sz w:val="18"/>
        </w:rPr>
        <w:t>Debeij SM et al.  ·  Eur Geriatr Med  ·  06.10.2026  ·  PMID 42839204</w:t>
      </w:r>
    </w:p>
    <w:p>
      <w:r>
        <w:t>Mixed-Methods-Studie zur Nutzerfreundlichkeit und Machbarkeit eines Sensorsystems mit Rückmeldung zur Sedentarität bei geriatrischen Patienten (stationär und ambulant).</w:t>
      </w:r>
    </w:p>
    <w:p>
      <w:r>
        <w:rPr>
          <w:b/>
        </w:rPr>
        <w:t xml:space="preserve">Ergebnis: </w:t>
      </w:r>
      <w:r>
        <w:t>Machbarkeit ausreichend (hohe Adhärenz), Nutzerfreundlichkeit begrenzt. Technische Probleme (Messergenauigkeit) und Implementierungshürden (fehlende Individualisierung, unklarer Mehrwert). Teilnehmer: 26 Patienten, 9 Fachkräfte; 22 Interviews durchgeführt.</w:t>
      </w:r>
    </w:p>
    <w:p>
      <w:r>
        <w:rPr>
          <w:b/>
          <w:sz w:val="19"/>
        </w:rPr>
        <w:t xml:space="preserve">Übertragbarkeit: </w:t>
      </w:r>
      <w:r>
        <w:rPr>
          <w:sz w:val="19"/>
        </w:rPr>
        <w:t>Niederlande, Sozialversicherung, gute Übertragbarkeit auf deutsches Gesundheitswesen</w:t>
      </w:r>
    </w:p>
    <w:p>
      <w:r>
        <w:rPr>
          <w:color w:val="5A7D3A"/>
          <w:sz w:val="18"/>
        </w:rPr>
        <w:t>https://pubmed.ncbi.nlm.nih.gov/42839204/</w:t>
      </w:r>
    </w:p>
    <w:p>
      <w:pPr>
        <w:pStyle w:val="Heading2"/>
      </w:pPr>
      <w:r>
        <w:t>Rotavirus-Impfung in Vietnam: Effektivität und Kosteneffektivität</w:t>
      </w:r>
    </w:p>
    <w:p>
      <w:r>
        <w:rPr>
          <w:i/>
          <w:color w:val="666666"/>
          <w:sz w:val="18"/>
        </w:rPr>
        <w:t>Dang HTT et al.  ·  Vaccine  ·  06.10.2026  ·  PMID 42837896</w:t>
      </w:r>
    </w:p>
    <w:p>
      <w:r>
        <w:t>Modellierungsstudie zur Auswirkung und Kosteneffektivität der Rotavirus-Impfung (ROTAVIN) bei Kindern unter fünf Jahren in Vietnam.</w:t>
      </w:r>
    </w:p>
    <w:p>
      <w:r>
        <w:rPr>
          <w:b/>
        </w:rPr>
        <w:t xml:space="preserve">Ergebnis: </w:t>
      </w:r>
      <w:r>
        <w:t>Über 10 Jahre würde Impfung 97.776 Hospitalisierungen (KI 72.722–342.311) und 433 Todesfälle (KI 330–1300) verhindern. Kosten von 39,5 Mio. USD für zehn Kohorten. ICER von 982 USD pro vermiedenem DALY (Staatsperspektive); kostensparen aus Gesellschaftsperspektive mit 99% Wahrscheinlichkeit.</w:t>
      </w:r>
    </w:p>
    <w:p>
      <w:r>
        <w:rPr>
          <w:b/>
          <w:sz w:val="19"/>
        </w:rPr>
        <w:t xml:space="preserve">Übertragbarkeit: </w:t>
      </w:r>
      <w:r>
        <w:rPr>
          <w:sz w:val="19"/>
        </w:rPr>
        <w:t>Vietnams Gesundheitssystem, Sozialversicherung, hohe Übertragbarkeit auf ähnliche Kontexte</w:t>
      </w:r>
    </w:p>
    <w:p>
      <w:r>
        <w:rPr>
          <w:color w:val="5A7D3A"/>
          <w:sz w:val="18"/>
        </w:rPr>
        <w:t>https://pubmed.ncbi.nlm.nih.gov/42837896/</w:t>
      </w:r>
    </w:p>
    <w:p>
      <w:pPr>
        <w:pStyle w:val="Heading1"/>
      </w:pPr>
      <w:r>
        <w:t>Aufgenommen am 10.10.2026</w:t>
      </w:r>
    </w:p>
    <w:p>
      <w:pPr>
        <w:pStyle w:val="Heading2"/>
      </w:pPr>
      <w:r>
        <w:t>Transition in rheumatology: Versorgungslücken beim Übergang ins Erwachsenenalter</w:t>
      </w:r>
    </w:p>
    <w:p>
      <w:r>
        <w:rPr>
          <w:i/>
          <w:color w:val="666666"/>
          <w:sz w:val="18"/>
        </w:rPr>
        <w:t>Milatz F et al.  ·  Z Rheumatol  ·  09.10.2026  ·  PMID 42853413</w:t>
      </w:r>
    </w:p>
    <w:p>
      <w:r>
        <w:t>Querschnittsbefragung von 269 jungen Erwachsenen mit juveniler idiopathischer Arthritis zur Versorgungskontinuität beim Übergang von der Kinder- in die internistische Rheumatologie.</w:t>
      </w:r>
    </w:p>
    <w:p>
      <w:r>
        <w:rPr>
          <w:b/>
        </w:rPr>
        <w:t xml:space="preserve">Ergebnis: </w:t>
      </w:r>
      <w:r>
        <w:t>45% der jungen Erwachsenen erhielten fachspezifische rheumatologische Betreuung; Transitionskompetenz bei Versorgten höher (22,7 vs. 19,0; p&lt;0,001); 35% erhielten keinen zusammenfassenden Arztbericht; durchschnittlich 9,9 Monate zwischen letzter Kinder- und erster Erwachsenenvorstellung; Nicht-Versorgte erhielten seltener Basistherapie (18% vs. 63%); ~20% berichteten relevante depressive Symptome.</w:t>
      </w:r>
    </w:p>
    <w:p>
      <w:r>
        <w:rPr>
          <w:b/>
          <w:sz w:val="19"/>
        </w:rPr>
        <w:t xml:space="preserve">Übertragbarkeit: </w:t>
      </w:r>
      <w:r>
        <w:rPr>
          <w:sz w:val="19"/>
        </w:rPr>
        <w:t>Deutsche Routinedaten, gesetzlich Versicherte (Barmer)</w:t>
      </w:r>
    </w:p>
    <w:p>
      <w:r>
        <w:rPr>
          <w:color w:val="5A7D3A"/>
          <w:sz w:val="18"/>
        </w:rPr>
        <w:t>https://pubmed.ncbi.nlm.nih.gov/42853413/</w:t>
      </w:r>
    </w:p>
    <w:p>
      <w:pPr>
        <w:pStyle w:val="Heading2"/>
      </w:pPr>
      <w:r>
        <w:t>Finanzielle Anreize erhöhen Screening-Quote bei Darmkrebs</w:t>
      </w:r>
    </w:p>
    <w:p>
      <w:r>
        <w:rPr>
          <w:i/>
          <w:color w:val="666666"/>
          <w:sz w:val="18"/>
        </w:rPr>
        <w:t>Perry LM et al.  ·  Health Serv Res  ·  22.07.2025  ·  PMID 42853034</w:t>
      </w:r>
    </w:p>
    <w:p>
      <w:r>
        <w:t>Pilotversuch zur Effektivität von finanziellen Anreizen für Darmkrebsvorsorge-Screening in ländlicher US-Primärversorgung.</w:t>
      </w:r>
    </w:p>
    <w:p>
      <w:r>
        <w:rPr>
          <w:b/>
        </w:rPr>
        <w:t xml:space="preserve">Ergebnis: </w:t>
      </w:r>
      <w:r>
        <w:t>68% der Interventionsgruppe vs. 32% der Kontrollgruppe absolvierten CRC-Screening (p=0,02); 57% der interessierten Personen waren berechtigt; 94% der Berechtigten nahmen teil; durchschnittliche Teilnehmerin 52,4 Jahre alt, 70% weiblich, 42% schwarz, 24% unversichert.</w:t>
      </w:r>
    </w:p>
    <w:p>
      <w:r>
        <w:rPr>
          <w:b/>
          <w:sz w:val="19"/>
        </w:rPr>
        <w:t xml:space="preserve">Übertragbarkeit: </w:t>
      </w:r>
      <w:r>
        <w:rPr>
          <w:sz w:val="19"/>
        </w:rPr>
        <w:t>Nur bedingt: US-fragmentiertes Versicherungssystem, anderer Zugangskontext</w:t>
      </w:r>
    </w:p>
    <w:p>
      <w:r>
        <w:rPr>
          <w:color w:val="5A7D3A"/>
          <w:sz w:val="18"/>
        </w:rPr>
        <w:t>https://pubmed.ncbi.nlm.nih.gov/42853034/</w:t>
      </w:r>
    </w:p>
    <w:p>
      <w:pPr>
        <w:pStyle w:val="Heading2"/>
      </w:pPr>
      <w:r>
        <w:t>Wespenart beeinflusst Erfolg von Wespengiftimmuntherapie-Provokationen</w:t>
      </w:r>
    </w:p>
    <w:p>
      <w:r>
        <w:rPr>
          <w:i/>
          <w:color w:val="666666"/>
          <w:sz w:val="18"/>
        </w:rPr>
        <w:t>Oppel E et al.  ·  Allergol Select  ·  25.09.2026  ·  PMID 42852156</w:t>
      </w:r>
    </w:p>
    <w:p>
      <w:r>
        <w:t>Retrospektive Analyse von 1.163 Patienten unter Wespengiftimmuntherapie hinsichtlich Einflussfaktoren auf Toleranz gegenüber künstlichen Stichproben.</w:t>
      </w:r>
    </w:p>
    <w:p>
      <w:r>
        <w:rPr>
          <w:b/>
        </w:rPr>
        <w:t xml:space="preserve">Ergebnis: </w:t>
      </w:r>
      <w:r>
        <w:t>Stichproben wurden von 1.141 Patienten (98,1%) toleriert; Vespula-Arten zeigten signifikant höhere Toleranzrate als Dolichovespula-Arten (OR 7,69, 95% CI 2,66–20,43); Hauttest-Konversion (positiv→negativ bei 10 µg/mL) zeigte Trend zu verbesserter Toleranz (OR 2,26, 95% CI 0,68–11,53); in 53,2±38,5 Monaten Follow-up: 6 Systemreaktionen nach Feldstichen, keine aus Dolichovespula-Gruppe.</w:t>
      </w:r>
    </w:p>
    <w:p>
      <w:r>
        <w:rPr>
          <w:b/>
          <w:sz w:val="19"/>
        </w:rPr>
        <w:t xml:space="preserve">Übertragbarkeit: </w:t>
      </w:r>
      <w:r>
        <w:rPr>
          <w:sz w:val="19"/>
        </w:rPr>
        <w:t>Deutschland, vergleichbare allergologische Standardversorgung</w:t>
      </w:r>
    </w:p>
    <w:p>
      <w:r>
        <w:rPr>
          <w:color w:val="5A7D3A"/>
          <w:sz w:val="18"/>
        </w:rPr>
        <w:t>https://pubmed.ncbi.nlm.nih.gov/42852156/</w:t>
      </w:r>
    </w:p>
    <w:p>
      <w:pPr>
        <w:pStyle w:val="Heading2"/>
      </w:pPr>
      <w:r>
        <w:t>Patientenbeteiligung bei Leitlinienentwicklung: Erfahrungen in Deutschland</w:t>
      </w:r>
    </w:p>
    <w:p>
      <w:r>
        <w:rPr>
          <w:i/>
          <w:color w:val="666666"/>
          <w:sz w:val="18"/>
        </w:rPr>
        <w:t>Orduhan C et al.  ·  Clin Public Health Guidel  ·  10.08.2026  ·  PMID 42808020</w:t>
      </w:r>
    </w:p>
    <w:p>
      <w:r>
        <w:t>Qualitative Interviewstudie mit 23 Patientenvertretern, die an deutscher Leitlinienentwicklung partizipierten, zu Erfahrungen und Herausforderungen.</w:t>
      </w:r>
    </w:p>
    <w:p>
      <w:r>
        <w:rPr>
          <w:b/>
        </w:rPr>
        <w:t xml:space="preserve">Ergebnis: </w:t>
      </w:r>
      <w:r>
        <w:t>Aktive Mitgliedschaft in Leitliniengruppen war dominante Beteiligungsstrategie; positive Einflussfaktoren: Vorbereitungstraining, andere Patientenvertreter, Wertschätzung (häufig benannt); Herausforderungen: Rekrutierung, Mangel an Inklusion und Diversität; Mehrheit war mit Beteiligungsform zufrieden, identifizierte aber ungedeckte Bedarfe; Vorbereitungsaktivitäten als essentiell für effektive Partizipation.</w:t>
      </w:r>
    </w:p>
    <w:p>
      <w:r>
        <w:rPr>
          <w:b/>
          <w:sz w:val="19"/>
        </w:rPr>
        <w:t xml:space="preserve">Übertragbarkeit: </w:t>
      </w:r>
      <w:r>
        <w:rPr>
          <w:sz w:val="19"/>
        </w:rPr>
        <w:t>Deutsche Kontextdaten zur Leitlinienmitgestaltung</w:t>
      </w:r>
    </w:p>
    <w:p>
      <w:r>
        <w:rPr>
          <w:color w:val="5A7D3A"/>
          <w:sz w:val="18"/>
        </w:rPr>
        <w:t>https://pubmed.ncbi.nlm.nih.gov/42808020/</w:t>
      </w:r>
    </w:p>
    <w:p>
      <w:pPr>
        <w:pStyle w:val="Heading2"/>
      </w:pPr>
      <w:r>
        <w:t>Geschlechtsspezifische Unterschiede in Selbsteinschätzung dermatologischer Kompetenzen</w:t>
      </w:r>
    </w:p>
    <w:p>
      <w:r>
        <w:rPr>
          <w:i/>
          <w:color w:val="666666"/>
          <w:sz w:val="18"/>
        </w:rPr>
        <w:t>Heinen I et al.  ·  GMS J Med Educ  ·  15.09.2026  ·  PMID 42807627</w:t>
      </w:r>
    </w:p>
    <w:p>
      <w:r>
        <w:t>Quasi-experimentelle Prä-Post-Befragung von 142 Medizinstudierenden zur Selbsteinschätzung dermatologischer Kenntnisse vor und nach Seminar zu Hauterkrankungen bei Skin of Color.</w:t>
      </w:r>
    </w:p>
    <w:p>
      <w:r>
        <w:rPr>
          <w:b/>
        </w:rPr>
        <w:t xml:space="preserve">Ergebnis: </w:t>
      </w:r>
      <w:r>
        <w:t>Studentinnen schätzten anfangs Kenntnisse zu anatomischen/physiologischen Unterschieden (p&lt;0,001, η²=0,078) und Hauttyp-Skalen (p&lt;0,001, η²=0,085) sowie diagnostische Fähigkeiten signifikant schlechter ein als Studenten (p&lt;0,001, η²=0,075), obwohl objektive MC-Testergebnisse nicht differierten (p=0,905); nach Seminar keine geschlechtsspezifischen Unterschiede mehr vorhanden.</w:t>
      </w:r>
    </w:p>
    <w:p>
      <w:r>
        <w:rPr>
          <w:b/>
          <w:sz w:val="19"/>
        </w:rPr>
        <w:t xml:space="preserve">Übertragbarkeit: </w:t>
      </w:r>
      <w:r>
        <w:rPr>
          <w:sz w:val="19"/>
        </w:rPr>
        <w:t>Deutschland, medizinische Hochschulausbildung vergleichbar</w:t>
      </w:r>
    </w:p>
    <w:p>
      <w:r>
        <w:rPr>
          <w:color w:val="5A7D3A"/>
          <w:sz w:val="18"/>
        </w:rPr>
        <w:t>https://pubmed.ncbi.nlm.nih.gov/42807627/</w:t>
      </w:r>
    </w:p>
    <w:p>
      <w:pPr>
        <w:pStyle w:val="Heading1"/>
      </w:pPr>
      <w:r>
        <w:t>Aufgenommen am 09.10.2026</w:t>
      </w:r>
    </w:p>
    <w:p>
      <w:pPr>
        <w:pStyle w:val="Heading2"/>
      </w:pPr>
      <w:r>
        <w:t>Telemedicine-Nutzung in Japan 2020–2024: Persistierende Ungleichheiten</w:t>
      </w:r>
    </w:p>
    <w:p>
      <w:r>
        <w:rPr>
          <w:i/>
          <w:color w:val="666666"/>
          <w:sz w:val="18"/>
        </w:rPr>
        <w:t>Ito H et al.  ·  J Med Internet Res  ·  08.10.2026  ·  PMID 42849039</w:t>
      </w:r>
    </w:p>
    <w:p>
      <w:r>
        <w:t>Longitudinale Panelstudie zur Entwicklung von Chancenungleichheiten bei der Telemedizin-Adoption in Japan über vier Jahre mit 10.818 Teilnehmern.</w:t>
      </w:r>
    </w:p>
    <w:p>
      <w:r>
        <w:rPr>
          <w:b/>
        </w:rPr>
        <w:t xml:space="preserve">Ergebnis: </w:t>
      </w:r>
      <w:r>
        <w:t>Telemedizin-Adoption stieg von 2,6% (2020) auf 7,0% (2024). Altersbedingte Ungleichheiten verschärften sich: Bei 70–75-Jährigen +1,0 Prozentpunkte vs. 18–29-Jährigen +13,1 Prozentpunkte (DID –12,1 PP, 95% KI –18,2 bis –5,9). Arbeitslose zeigten kleinere Zunahmen (+2,8 vs. +5,7 PP bei höheren Angestellten; DID –2,9 PP).</w:t>
      </w:r>
    </w:p>
    <w:p>
      <w:r>
        <w:rPr>
          <w:b/>
          <w:sz w:val="19"/>
        </w:rPr>
        <w:t xml:space="preserve">Übertragbarkeit: </w:t>
      </w:r>
      <w:r>
        <w:rPr>
          <w:sz w:val="19"/>
        </w:rPr>
        <w:t>Japan, nationale Kohorte mit berichteten Adoptionsdaten, digitale Gerechtigkeit systemübergreifend relevant</w:t>
      </w:r>
    </w:p>
    <w:p>
      <w:r>
        <w:rPr>
          <w:color w:val="5A7D3A"/>
          <w:sz w:val="18"/>
        </w:rPr>
        <w:t>https://pubmed.ncbi.nlm.nih.gov/42849039/</w:t>
      </w:r>
    </w:p>
    <w:p>
      <w:pPr>
        <w:pStyle w:val="Heading2"/>
      </w:pPr>
      <w:r>
        <w:t>Retinoid-Umstellung in vier europäischen Ländern nach Schwangerschaftsprävention 2018</w:t>
      </w:r>
    </w:p>
    <w:p>
      <w:r>
        <w:rPr>
          <w:i/>
          <w:color w:val="666666"/>
          <w:sz w:val="18"/>
        </w:rPr>
        <w:t>Riera-Arnau J et al.  ·  Drug Saf  ·  08.10.2026  ·  PMID 42848129</w:t>
      </w:r>
    </w:p>
    <w:p>
      <w:r>
        <w:t>Unterbrochene Zeitreihenanalyse zum Effekt der EU-Schwangerschaftspräventionsprogramm-Aktualisierung 2018 auf Wechsel von oralen Retinoiden zu Alternativmedikamenten bei Frauen im gebärfähigen Alter in vier europäischen Ländern mit 88.992 Frauen.</w:t>
      </w:r>
    </w:p>
    <w:p>
      <w:r>
        <w:rPr>
          <w:b/>
        </w:rPr>
        <w:t xml:space="preserve">Ergebnis: </w:t>
      </w:r>
      <w:r>
        <w:t>32,0% (28.446/88.992) wechselten zu Alternativmedikamenten über den Studienzeitraum. Mediane Wechselraten: 1,8–6,5% monatlich präimplementiert, 1,2–2,3% postimplementiert. Kleine aber statistisch signifikante Abnahme der Wechselrate nach Intervention in Italien (–0,035%, p&lt;0,01), Spanien VID (–0,04%, p&lt;0,01) und BIFAP (–0,03%, p=0,02); Effekte verschwanden bei Ausschluss COVID-19-Lockdown-Periode.</w:t>
      </w:r>
    </w:p>
    <w:p>
      <w:r>
        <w:rPr>
          <w:b/>
          <w:sz w:val="19"/>
        </w:rPr>
        <w:t xml:space="preserve">Übertragbarkeit: </w:t>
      </w:r>
      <w:r>
        <w:rPr>
          <w:sz w:val="19"/>
        </w:rPr>
        <w:t>Niederlande, Spanien, Italien, Dänemark – europäische Sozialversicherungssysteme, Pharmacoepidemiology-Daten</w:t>
      </w:r>
    </w:p>
    <w:p>
      <w:r>
        <w:rPr>
          <w:color w:val="5A7D3A"/>
          <w:sz w:val="18"/>
        </w:rPr>
        <w:t>https://pubmed.ncbi.nlm.nih.gov/42848129/</w:t>
      </w:r>
    </w:p>
    <w:p>
      <w:pPr>
        <w:pStyle w:val="Heading2"/>
      </w:pPr>
      <w:r>
        <w:t>Prähabilitationsakzeptanz bei Hüft- und Kniegelenkersatz: Qualitative Stakeholder-Perspektiven</w:t>
      </w:r>
    </w:p>
    <w:p>
      <w:r>
        <w:rPr>
          <w:i/>
          <w:color w:val="666666"/>
          <w:sz w:val="18"/>
        </w:rPr>
        <w:t>Burgess N et al.  ·  Musculoskeletal Care  ·  Dez. 2026  ·  PMID 42847740</w:t>
      </w:r>
    </w:p>
    <w:p>
      <w:r>
        <w:t>Qualitative Studie mit 30 Interviews (15 Patienten, 15 Fachpersonen) zu Akzeptanz, Barrieren und Lösungen bei Prähabilitationsprogrammen vor Hüft- und Kniegelenksersatz in Australien.</w:t>
      </w:r>
    </w:p>
    <w:p>
      <w:r>
        <w:rPr>
          <w:b/>
        </w:rPr>
        <w:t xml:space="preserve">Ergebnis: </w:t>
      </w:r>
      <w:r>
        <w:t>Prähabilitationsmaßnahme wurde allgemein als akzeptabel und vorteilhaft bewertet. Drei Hauptkonzepte: (1) Verständnis variierte, aber positive Bewertung überwiegend; (2) Barrieren/Förderfaktoren auf Patienten-, Fachpersonen- und Systemebene identifiziert (lange Wartelisten, mangelndes Vertrauen, Gesprächssicherheit); (3) Beide Gruppen betonten individuelle Anpassung, multimodale Intervention und kontinuierliche Unterstützung im OP-Verlauf als erfolgskritisch.</w:t>
      </w:r>
    </w:p>
    <w:p>
      <w:r>
        <w:rPr>
          <w:b/>
          <w:sz w:val="19"/>
        </w:rPr>
        <w:t xml:space="preserve">Übertragbarkeit: </w:t>
      </w:r>
      <w:r>
        <w:rPr>
          <w:sz w:val="19"/>
        </w:rPr>
        <w:t>Australien, öffentliches Versorgungssystem – Prozessqualität und Patientenperspektive gut übertragbar</w:t>
      </w:r>
    </w:p>
    <w:p>
      <w:r>
        <w:rPr>
          <w:color w:val="5A7D3A"/>
          <w:sz w:val="18"/>
        </w:rPr>
        <w:t>https://pubmed.ncbi.nlm.nih.gov/42847740/</w:t>
      </w:r>
    </w:p>
    <w:p>
      <w:pPr>
        <w:pStyle w:val="Heading2"/>
      </w:pPr>
      <w:r>
        <w:t>ADHS-Medikation in Norwegen: Anhaltende Anstiege nach COVID-19</w:t>
      </w:r>
    </w:p>
    <w:p>
      <w:r>
        <w:rPr>
          <w:i/>
          <w:color w:val="666666"/>
          <w:sz w:val="18"/>
        </w:rPr>
        <w:t>Reme BA et al.  ·  Scand J Public Health  ·  08.10.2026  ·  PMID 42847285</w:t>
      </w:r>
    </w:p>
    <w:p>
      <w:r>
        <w:t>Register-basierte Zeitreihenanalyse der ADHS-Arzneimittelverordnungen in Norwegen 2009–2024 mit 63,7 Millionen Personenjahren.</w:t>
      </w:r>
    </w:p>
    <w:p>
      <w:r>
        <w:rPr>
          <w:b/>
        </w:rPr>
        <w:t xml:space="preserve">Ergebnis: </w:t>
      </w:r>
      <w:r>
        <w:t>ADHS-Medikation vor 2020 stabil, danach deutlicher Anstieg. Größte Anstiege bei weiblichen Adoleszenten (15–24 Jahre): +19 Prozentpunkte (von 5,2% auf 24,4% jährlich). Männliche Jugendliche (15–24 Jahre): +9,0 Prozentpunkte (von 2,7% auf 11,7%). Der Anstieg blieb auch nach 2020 dauerhaft.</w:t>
      </w:r>
    </w:p>
    <w:p>
      <w:r>
        <w:rPr>
          <w:b/>
          <w:sz w:val="19"/>
        </w:rPr>
        <w:t xml:space="preserve">Übertragbarkeit: </w:t>
      </w:r>
      <w:r>
        <w:rPr>
          <w:sz w:val="19"/>
        </w:rPr>
        <w:t>Norwegen, nationale Verordnungsdatenbank, Fragestellung zur Versorgungspraxis systemübergreifend</w:t>
      </w:r>
    </w:p>
    <w:p>
      <w:r>
        <w:rPr>
          <w:color w:val="5A7D3A"/>
          <w:sz w:val="18"/>
        </w:rPr>
        <w:t>https://pubmed.ncbi.nlm.nih.gov/42847285/</w:t>
      </w:r>
    </w:p>
    <w:p>
      <w:pPr>
        <w:pStyle w:val="Heading2"/>
      </w:pPr>
      <w:r>
        <w:t>Agent-basiertes Modell der Demenzbetreuung in der Gemeinde: Validierte Baseline-Szenarien</w:t>
      </w:r>
    </w:p>
    <w:p>
      <w:r>
        <w:rPr>
          <w:i/>
          <w:color w:val="666666"/>
          <w:sz w:val="18"/>
        </w:rPr>
        <w:t>Zhu C et al.  ·  Front Public Health  ·  23.09.2026  ·  PMID 42846501</w:t>
      </w:r>
    </w:p>
    <w:p>
      <w:r>
        <w:t>Entwicklung und Validierung eines regelgestützten agentengestützten Modells (ABM) zur Simulation der Langzeitdynamiken in der gemeindlichen Demenzbetreuung mit evidenzgestützten Parametern.</w:t>
      </w:r>
    </w:p>
    <w:p>
      <w:r>
        <w:rPr>
          <w:b/>
        </w:rPr>
        <w:t xml:space="preserve">Ergebnis: </w:t>
      </w:r>
      <w:r>
        <w:t>BPSD-Prävalenz stieg von 75,6% (Start) auf 96,4% (Monat 60; Monte-Carlo 95% KI 96,3–96,5%). Durchschnittliche Betreuungslast erhöhte sich von 0,505 auf 0,782. Im Monat 60 befanden sich durchschnittlich 161 Betreuungseinheiten in institutioneller Betreuung. Lokale Sensitivitätsanalysen zeigten begrenzte Variabilität in Primäroutcomes über getestete Bereiche.</w:t>
      </w:r>
    </w:p>
    <w:p>
      <w:r>
        <w:rPr>
          <w:b/>
          <w:sz w:val="19"/>
        </w:rPr>
        <w:t xml:space="preserve">Übertragbarkeit: </w:t>
      </w:r>
      <w:r>
        <w:rPr>
          <w:sz w:val="19"/>
        </w:rPr>
        <w:t>China, strukturiertes Health Services Research-Modell für spezialisierte Versorgungsforschung</w:t>
      </w:r>
    </w:p>
    <w:p>
      <w:r>
        <w:rPr>
          <w:color w:val="5A7D3A"/>
          <w:sz w:val="18"/>
        </w:rPr>
        <w:t>https://pubmed.ncbi.nlm.nih.gov/42846501/</w:t>
      </w:r>
    </w:p>
    <w:p>
      <w:pPr>
        <w:pStyle w:val="Heading2"/>
      </w:pPr>
      <w:r>
        <w:t>Psychosoziales Wohlbefinden bei Long COVID: Patientenzentrierte Interventionsstrategien</w:t>
      </w:r>
    </w:p>
    <w:p>
      <w:r>
        <w:rPr>
          <w:i/>
          <w:color w:val="666666"/>
          <w:sz w:val="18"/>
        </w:rPr>
        <w:t>Martinez BD et al.  ·  Front Psychiatry  ·  23.09.2026  ·  PMID 42846347</w:t>
      </w:r>
    </w:p>
    <w:p>
      <w:r>
        <w:t>Qualitative Studie mit 19 semi-strukturierten Interviews und Community Advisory Team-Fokusgruppen zu Faktoren und patientengenerierten Strategien für psychosoziales Wohlbefinden bei Long COVID.</w:t>
      </w:r>
    </w:p>
    <w:p>
      <w:r>
        <w:rPr>
          <w:b/>
        </w:rPr>
        <w:t xml:space="preserve">Ergebnis: </w:t>
      </w:r>
      <w:r>
        <w:t>Drei Primärfaktoren beeinflussen negativ psychosoziales Wohlbefinden: Identitätsstörung (Verlust von Fähigkeiten, Selbstständigkeit), Isolation (reduzierte soziale Partizipation, Stigmatisierung), Unsicherheit (Krankheits-/Behandlungspfade, Invaliditätssysteme). Patienten identifizierten: Case-Management, strukturierte Peersupport, Public-Awareness-Kampagnen und persönliche Adaptationspraktiken als förderlich.</w:t>
      </w:r>
    </w:p>
    <w:p>
      <w:r>
        <w:rPr>
          <w:b/>
          <w:sz w:val="19"/>
        </w:rPr>
        <w:t xml:space="preserve">Übertragbarkeit: </w:t>
      </w:r>
      <w:r>
        <w:rPr>
          <w:sz w:val="19"/>
        </w:rPr>
        <w:t>USA, systemunabhängig – psychosoziale Versorgungsfragen krankheitsübergreifend relevant</w:t>
      </w:r>
    </w:p>
    <w:p>
      <w:r>
        <w:rPr>
          <w:color w:val="5A7D3A"/>
          <w:sz w:val="18"/>
        </w:rPr>
        <w:t>https://pubmed.ncbi.nlm.nih.gov/42846347/</w:t>
      </w:r>
    </w:p>
    <w:p>
      <w:pPr>
        <w:pStyle w:val="Heading1"/>
      </w:pPr>
      <w:r>
        <w:t>Aufgenommen am 08.10.2026</w:t>
      </w:r>
    </w:p>
    <w:p>
      <w:pPr>
        <w:pStyle w:val="Heading2"/>
      </w:pPr>
      <w:r>
        <w:t>Ärztevariabilität dominiert Schicht-Effekte in der ED</w:t>
      </w:r>
    </w:p>
    <w:p>
      <w:r>
        <w:rPr>
          <w:i/>
          <w:color w:val="666666"/>
          <w:sz w:val="18"/>
        </w:rPr>
        <w:t>Büyükkaya MŞ et al.  ·  Postgrad Med J  ·  07.10.2026  ·  PMID 42842596</w:t>
      </w:r>
    </w:p>
    <w:p>
      <w:r>
        <w:t>Retrospektive Beobachtungsstudie zu diagnostischer Ressourcentechnik (Labor, Bildgebung, Konsile) bei 11.032 niedrig-akuten ED-Besuchen in der Türkei nach Schichtzeit und Arzt.</w:t>
      </w:r>
    </w:p>
    <w:p>
      <w:r>
        <w:rPr>
          <w:b/>
        </w:rPr>
        <w:t xml:space="preserve">Ergebnis: </w:t>
      </w:r>
      <w:r>
        <w:t>Laborquoten 9,5% (p=0,997), Bildgebung 12,6–13,5% (p=0,485) zeigen keine signifikante Schicht-Variation. Arzt-Level-Variation deutlich größer: Labor 3,5–21,5%, Bildgebung 6,3–28,7%. Ärztliche Spezialisierung dominiert.</w:t>
      </w:r>
    </w:p>
    <w:p>
      <w:r>
        <w:rPr>
          <w:b/>
          <w:sz w:val="19"/>
        </w:rPr>
        <w:t xml:space="preserve">Übertragbarkeit: </w:t>
      </w:r>
      <w:r>
        <w:rPr>
          <w:sz w:val="19"/>
        </w:rPr>
        <w:t>Türkei, aber Frage zur Ärzte-Variabilität und Ressourcennutzung systemunabhängig</w:t>
      </w:r>
    </w:p>
    <w:p>
      <w:r>
        <w:rPr>
          <w:color w:val="5A7D3A"/>
          <w:sz w:val="18"/>
        </w:rPr>
        <w:t>https://pubmed.ncbi.nlm.nih.gov/42842596/</w:t>
      </w:r>
    </w:p>
    <w:p>
      <w:pPr>
        <w:pStyle w:val="Heading2"/>
      </w:pPr>
      <w:r>
        <w:t>Durst bei Herzinsuffizienz-Patienten auf Transplantwarteliste</w:t>
      </w:r>
    </w:p>
    <w:p>
      <w:r>
        <w:rPr>
          <w:i/>
          <w:color w:val="666666"/>
          <w:sz w:val="18"/>
        </w:rPr>
        <w:t>Wefer F et al.  ·  Nurs Crit Care  ·  Nov. 2026  ·  PMID 42841439</w:t>
      </w:r>
    </w:p>
    <w:p>
      <w:r>
        <w:t>Qualitative Mischmethod-Studie mit 10 Patienteninterviews und 2 Fokusgruppen (5 Pflegekräfte) sowie 59 Pflegekräfte-Befragung zur Erfahrung mit Durst bei hochgradig Herzkranken.</w:t>
      </w:r>
    </w:p>
    <w:p>
      <w:r>
        <w:rPr>
          <w:b/>
        </w:rPr>
        <w:t xml:space="preserve">Ergebnis: </w:t>
      </w:r>
      <w:r>
        <w:t>Patienten berichten heterogenes Durstserleben (mild bis schwer). Pflege hält es für relevant, nutzt aber sehr unterschiedliche Assessmentstrategien; &lt;50% bewerten Durst regelmäßig. Patienten und Pflegekräfte wünschen standardisierte Beratung.</w:t>
      </w:r>
    </w:p>
    <w:p>
      <w:r>
        <w:rPr>
          <w:b/>
          <w:sz w:val="19"/>
        </w:rPr>
        <w:t xml:space="preserve">Übertragbarkeit: </w:t>
      </w:r>
      <w:r>
        <w:rPr>
          <w:sz w:val="19"/>
        </w:rPr>
        <w:t>Deutschland (Ruhr-Universität Bochum, Bad Oeynhausen), direkt übertragbar</w:t>
      </w:r>
    </w:p>
    <w:p>
      <w:r>
        <w:rPr>
          <w:color w:val="5A7D3A"/>
          <w:sz w:val="18"/>
        </w:rPr>
        <w:t>https://pubmed.ncbi.nlm.nih.gov/42841439/</w:t>
      </w:r>
    </w:p>
    <w:p>
      <w:pPr>
        <w:pStyle w:val="Heading2"/>
      </w:pPr>
      <w:r>
        <w:t>Primary care accessibility reduces inappropriate ED attendance</w:t>
      </w:r>
    </w:p>
    <w:p>
      <w:r>
        <w:rPr>
          <w:i/>
          <w:color w:val="666666"/>
          <w:sz w:val="18"/>
        </w:rPr>
        <w:t>Koh JJE et al.  ·  Singapore Med J  ·  05.10.2026  ·  PMID 42839708</w:t>
      </w:r>
    </w:p>
    <w:p>
      <w:r>
        <w:t>Retrospektive Kohortenstudie untersuchte, wie Erreichbarkeit und Verfügbarkeit von Hausarztpraxen die unangemessene Notfallaufnahmebesuche (12,5% von 135.838 Besuchen) beeinflussen.</w:t>
      </w:r>
    </w:p>
    <w:p>
      <w:r>
        <w:rPr>
          <w:b/>
        </w:rPr>
        <w:t xml:space="preserve">Ergebnis: </w:t>
      </w:r>
      <w:r>
        <w:t>Reisezeit &gt;5 Min zu nächster Praxis erhöhte unangemessene ED-Besuche um 13–24%, Reisedistanz &gt;1 km um 10–33%. Mehr als 3 Praxen im 1-km-Radius reduzierten unangemessene Besuche um ≥12%.</w:t>
      </w:r>
    </w:p>
    <w:p>
      <w:r>
        <w:rPr>
          <w:b/>
          <w:sz w:val="19"/>
        </w:rPr>
        <w:t xml:space="preserve">Übertragbarkeit: </w:t>
      </w:r>
      <w:r>
        <w:rPr>
          <w:sz w:val="19"/>
        </w:rPr>
        <w:t>Singapur, aber Fragestellung systemunabhängig zur Primärversorgung</w:t>
      </w:r>
    </w:p>
    <w:p>
      <w:r>
        <w:rPr>
          <w:color w:val="5A7D3A"/>
          <w:sz w:val="18"/>
        </w:rPr>
        <w:t>https://pubmed.ncbi.nlm.nih.gov/42839708/</w:t>
      </w:r>
    </w:p>
    <w:p>
      <w:pPr>
        <w:pStyle w:val="Heading2"/>
      </w:pPr>
      <w:r>
        <w:t>Ärzt- und Praxis-Level-Variation in Studienteilnahme bei Krebs</w:t>
      </w:r>
    </w:p>
    <w:p>
      <w:r>
        <w:rPr>
          <w:i/>
          <w:color w:val="666666"/>
          <w:sz w:val="18"/>
        </w:rPr>
        <w:t>Jiang C et al.  ·  JAMA Netw Open  ·  01.10.2026  ·  PMID 42837155</w:t>
      </w:r>
    </w:p>
    <w:p>
      <w:r>
        <w:t>Kohortenstudie von 205.743 Patienten mit fortgeschrittenem Krebs (2011–2024) zur Klinische-Studien-Teilnahme in 1.664 Arzt-Praxen, 107 Zentren (Flatiron-Daten).</w:t>
      </w:r>
    </w:p>
    <w:p>
      <w:r>
        <w:rPr>
          <w:b/>
        </w:rPr>
        <w:t xml:space="preserve">Ergebnis: </w:t>
      </w:r>
      <w:r>
        <w:t>Studienteilnahme 5,2% (2011: 3,9%, 2024: 6,8%). 23,4% Ärzte mit 83,6% Einschlüssen; 19,6% Praxen mit 80,5% der Patienten. Arzt- (12,3%) und Praxis-Level (15,1%) erklären mehr Variation als beobachtbare Patientenfaktoren (11,4%).</w:t>
      </w:r>
    </w:p>
    <w:p>
      <w:r>
        <w:rPr>
          <w:b/>
          <w:sz w:val="19"/>
        </w:rPr>
        <w:t xml:space="preserve">Übertragbarkeit: </w:t>
      </w:r>
      <w:r>
        <w:rPr>
          <w:sz w:val="19"/>
        </w:rPr>
        <w:t>USA, aber Fragestellung zu System- und Anbieter-Barrieren in der Forschung systemunabhängig</w:t>
      </w:r>
    </w:p>
    <w:p>
      <w:r>
        <w:rPr>
          <w:color w:val="5A7D3A"/>
          <w:sz w:val="18"/>
        </w:rPr>
        <w:t>https://pubmed.ncbi.nlm.nih.gov/42837155/</w:t>
      </w:r>
    </w:p>
    <w:p>
      <w:pPr>
        <w:pStyle w:val="Heading2"/>
      </w:pPr>
      <w:r>
        <w:t>Person-zentrierte Demenzpflege durch Coaching umsetzen</w:t>
      </w:r>
    </w:p>
    <w:p>
      <w:r>
        <w:rPr>
          <w:i/>
          <w:color w:val="666666"/>
          <w:sz w:val="18"/>
        </w:rPr>
        <w:t>Moczygemba W et al.  ·  Gerontologist  ·  03.10.2026  ·  PMID 42830447</w:t>
      </w:r>
    </w:p>
    <w:p>
      <w:r>
        <w:t>Pre-post-Studie zur Implementierung des Care Community Coaching Program (CCCP) in 38 Langzeitpflegeeinrichtungen Ohios zur Umsetzung von Dementia Care Practice Recommendations.</w:t>
      </w:r>
    </w:p>
    <w:p>
      <w:r>
        <w:rPr>
          <w:b/>
        </w:rPr>
        <w:t xml:space="preserve">Ergebnis: </w:t>
      </w:r>
      <w:r>
        <w:t>Signifikante Verbesserungen in 8 von 9 Leitlinien-Bereichen für personenzentrierte Versorgung; Baseline-Implementationsrate 61,8%, Arbeitskräfte-Praktiken 78,3%. Barriers und Facilitators dokumentiert.</w:t>
      </w:r>
    </w:p>
    <w:p>
      <w:r>
        <w:rPr>
          <w:b/>
          <w:sz w:val="19"/>
        </w:rPr>
        <w:t xml:space="preserve">Übertragbarkeit: </w:t>
      </w:r>
      <w:r>
        <w:rPr>
          <w:sz w:val="19"/>
        </w:rPr>
        <w:t>USA, aber Fragestellung zur Implementierungsforschung systemübergreifend relevant</w:t>
      </w:r>
    </w:p>
    <w:p>
      <w:r>
        <w:rPr>
          <w:color w:val="5A7D3A"/>
          <w:sz w:val="18"/>
        </w:rPr>
        <w:t>https://pubmed.ncbi.nlm.nih.gov/42830447/</w:t>
      </w:r>
    </w:p>
    <w:p>
      <w:pPr>
        <w:pStyle w:val="Heading2"/>
      </w:pPr>
      <w:r>
        <w:t>Stressabbau senkt Blutdruck bei Normotensiven</w:t>
      </w:r>
    </w:p>
    <w:p>
      <w:r>
        <w:rPr>
          <w:i/>
          <w:color w:val="666666"/>
          <w:sz w:val="18"/>
        </w:rPr>
        <w:t>Kamijima J et al.  ·  J Hum Hypertens  ·  03.10.2026  ·  PMID 42829395</w:t>
      </w:r>
    </w:p>
    <w:p>
      <w:r>
        <w:t>Systematisches Review und Metaanalyse von 22 RCTs (n=3.089) zu Stressmanagement-Interventionen und Blutdruckveränderungen bei gesunden Erwachsenen ohne Hypertonie.</w:t>
      </w:r>
    </w:p>
    <w:p>
      <w:r>
        <w:rPr>
          <w:b/>
        </w:rPr>
        <w:t xml:space="preserve">Ergebnis: </w:t>
      </w:r>
      <w:r>
        <w:t>Mind-Body-Übung: −2,17 mmHg systolisch (95% KI −3,29 bis −1,05), −1,69 mmHg diastolisch; Meditation: −1,49/−1,00 mmHg; Relaxation: −4,76/−1,71 mmHg. Primärprävention möglich.</w:t>
      </w:r>
    </w:p>
    <w:p>
      <w:r>
        <w:rPr>
          <w:b/>
          <w:sz w:val="19"/>
        </w:rPr>
        <w:t xml:space="preserve">Übertragbarkeit: </w:t>
      </w:r>
      <w:r>
        <w:rPr>
          <w:sz w:val="19"/>
        </w:rPr>
        <w:t>Internationale Datenbasis, systemunabhängige Fragestellung zu Prävention</w:t>
      </w:r>
    </w:p>
    <w:p>
      <w:r>
        <w:rPr>
          <w:color w:val="5A7D3A"/>
          <w:sz w:val="18"/>
        </w:rPr>
        <w:t>https://pubmed.ncbi.nlm.nih.gov/42829395/</w:t>
      </w:r>
    </w:p>
    <w:p>
      <w:pPr>
        <w:pStyle w:val="Heading2"/>
      </w:pPr>
      <w:r>
        <w:t>Verweildauer bei Mundkrebs in Deutschland</w:t>
      </w:r>
    </w:p>
    <w:p>
      <w:r>
        <w:rPr>
          <w:i/>
          <w:color w:val="666666"/>
          <w:sz w:val="18"/>
        </w:rPr>
        <w:t>Cirkel LL et al.  ·  Reports (MDPI)  ·  02.09.2026  ·  PMID 42784021</w:t>
      </w:r>
    </w:p>
    <w:p>
      <w:r>
        <w:t>Retrospektive Multizenter-Analyse von 3.957 Krebshospitalisierungen (2019–2024) aus 34 deutschen Krankenhäusern zu Verweildauer und Einflussfaktoren.</w:t>
      </w:r>
    </w:p>
    <w:p>
      <w:r>
        <w:rPr>
          <w:b/>
        </w:rPr>
        <w:t xml:space="preserve">Ergebnis: </w:t>
      </w:r>
      <w:r>
        <w:t>Mediane Verweildauer 6 Tage (IQR 3–13), Mittel 10,2 Tage. 49,4% ≥7 Tage, 23,5% ≥14 Tage. Alter &gt;80 Jahre: Rate Ratio 1,17 (95% KI 1,13–1,21); hohe Komorbiditätslast: RR 1,58 (1,54–1,63); Bluttransfusion RR 1,80, komplexe Intensivbehandlung RR 1,70.</w:t>
      </w:r>
    </w:p>
    <w:p>
      <w:r>
        <w:rPr>
          <w:b/>
          <w:sz w:val="19"/>
        </w:rPr>
        <w:t xml:space="preserve">Übertragbarkeit: </w:t>
      </w:r>
      <w:r>
        <w:rPr>
          <w:sz w:val="19"/>
        </w:rPr>
        <w:t>Deutsche Routinedaten, 49 Krankenhäuser, direkt übertragbar</w:t>
      </w:r>
    </w:p>
    <w:p>
      <w:r>
        <w:rPr>
          <w:color w:val="5A7D3A"/>
          <w:sz w:val="18"/>
        </w:rPr>
        <w:t>https://pubmed.ncbi.nlm.nih.gov/42784021/</w:t>
      </w:r>
    </w:p>
    <w:p>
      <w:pPr>
        <w:pStyle w:val="Heading1"/>
      </w:pPr>
      <w:r>
        <w:t>Aufgenommen am 07.10.2026</w:t>
      </w:r>
    </w:p>
    <w:p>
      <w:pPr>
        <w:pStyle w:val="Heading2"/>
      </w:pPr>
      <w:r>
        <w:t>Reisebelastungen bei Methadon-Ambulanzbesuchen</w:t>
      </w:r>
    </w:p>
    <w:p>
      <w:r>
        <w:rPr>
          <w:i/>
          <w:color w:val="666666"/>
          <w:sz w:val="18"/>
        </w:rPr>
        <w:t>Austin EJ et al.  ·  JAMA Netw Open  ·  01.10.2026  ·  PMID 42837152</w:t>
      </w:r>
    </w:p>
    <w:p>
      <w:r>
        <w:t>Mixed-Methods-Studie (Befragung + qualitative Interviews) zu Reiseerfahrungen von 98 Patienten an Opioid-Behandlungsprogrammen in Washington State.</w:t>
      </w:r>
    </w:p>
    <w:p>
      <w:r>
        <w:rPr>
          <w:b/>
        </w:rPr>
        <w:t xml:space="preserve">Ergebnis: </w:t>
      </w:r>
      <w:r>
        <w:t>Mittlere Reisedauer 82,5 Min (Spannweite 10–330 Min) und durchschnittliche Kosten 15,80 USD pro Besuch. 55,1% fuhren selbst, 21,4% wurden gefahren, 12,3% nutzten ÖPNV. Kernproblem: Unpredictable Wartezeiten und Konflikte mit Beruf/Familie beeinträchtigen Adhärenz.</w:t>
      </w:r>
    </w:p>
    <w:p>
      <w:r>
        <w:rPr>
          <w:b/>
          <w:sz w:val="19"/>
        </w:rPr>
        <w:t xml:space="preserve">Übertragbarkeit: </w:t>
      </w:r>
      <w:r>
        <w:rPr>
          <w:sz w:val="19"/>
        </w:rPr>
        <w:t>USA-Kontext, aber Problematik der Behandlungszugang für marginalisierte Gruppen systemübergreifend</w:t>
      </w:r>
    </w:p>
    <w:p>
      <w:r>
        <w:rPr>
          <w:color w:val="5A7D3A"/>
          <w:sz w:val="18"/>
        </w:rPr>
        <w:t>https://pubmed.ncbi.nlm.nih.gov/42837152/</w:t>
      </w:r>
    </w:p>
    <w:p>
      <w:pPr>
        <w:pStyle w:val="Heading2"/>
      </w:pPr>
      <w:r>
        <w:t>Palliative care in chronic heart failure in the Netherlands</w:t>
      </w:r>
    </w:p>
    <w:p>
      <w:r>
        <w:rPr>
          <w:i/>
          <w:color w:val="666666"/>
          <w:sz w:val="18"/>
        </w:rPr>
        <w:t>Aertsen-van der Kuip MSA et al.  ·  Neth Heart J  ·  06.10.2026  ·  PMID 42837105</w:t>
      </w:r>
    </w:p>
    <w:p>
      <w:r>
        <w:t>Befragung von 120 niederländischen Fachleuten zur Implementierung von Palliativversorgung und Advance Care Planning bei chronischer Herzinsuffizienz.</w:t>
      </w:r>
    </w:p>
    <w:p>
      <w:r>
        <w:rPr>
          <w:b/>
        </w:rPr>
        <w:t xml:space="preserve">Ergebnis: </w:t>
      </w:r>
      <w:r>
        <w:t>97% der Fachleute bewerteten Palliativversorgung als (sehr) wichtig, aber nur etwa ein Drittel bot diese regelmäßig an. 78% konnten Palliativbedarf erkennen, nur 23% fühlten sich ausreichend qualifiziert. Hauptprobleme: fehlende Fähigkeiten und Zeitmangel.</w:t>
      </w:r>
    </w:p>
    <w:p>
      <w:r>
        <w:rPr>
          <w:b/>
          <w:sz w:val="19"/>
        </w:rPr>
        <w:t xml:space="preserve">Übertragbarkeit: </w:t>
      </w:r>
      <w:r>
        <w:rPr>
          <w:sz w:val="19"/>
        </w:rPr>
        <w:t>Niederlande, Sozialversicherungssystem, direkt übertragbar auf Deutschland</w:t>
      </w:r>
    </w:p>
    <w:p>
      <w:r>
        <w:rPr>
          <w:color w:val="5A7D3A"/>
          <w:sz w:val="18"/>
        </w:rPr>
        <w:t>https://pubmed.ncbi.nlm.nih.gov/42837105/</w:t>
      </w:r>
    </w:p>
    <w:p>
      <w:pPr>
        <w:pStyle w:val="Heading2"/>
      </w:pPr>
      <w:r>
        <w:t>Unterversorgung mit Kompressionstherapie bei Ulcus cruris venosum</w:t>
      </w:r>
    </w:p>
    <w:p>
      <w:r>
        <w:rPr>
          <w:i/>
          <w:color w:val="666666"/>
          <w:sz w:val="18"/>
        </w:rPr>
        <w:t>Stücker M et al.  ·  Int Wound J  ·  Okt. 2026  ·  PMID 42834577</w:t>
      </w:r>
    </w:p>
    <w:p>
      <w:r>
        <w:t>Retrospektive Kohortenanalyse von Routinedaten von 3,35 Millionen Versicherten zu Häufigkeit und Determinanten der Kompressionstherapie bei venösen Beindoloren und Ulzera.</w:t>
      </w:r>
    </w:p>
    <w:p>
      <w:r>
        <w:rPr>
          <w:b/>
        </w:rPr>
        <w:t xml:space="preserve">Ergebnis: </w:t>
      </w:r>
      <w:r>
        <w:t>Prävalenz: 0,50% für Ulcus cruris venosum (n=16.615), 7,27% für chronische Venenerkrankung (n=243.681). Über 5 Jahre: 75,85% mit Ulcus erhielten Kompression, aber 24,15% nicht – obwohl Kompression leitliniengerecht ist. Multimorbidität war höher bei Behandelten.</w:t>
      </w:r>
    </w:p>
    <w:p>
      <w:r>
        <w:rPr>
          <w:b/>
          <w:sz w:val="19"/>
        </w:rPr>
        <w:t xml:space="preserve">Übertragbarkeit: </w:t>
      </w:r>
      <w:r>
        <w:rPr>
          <w:sz w:val="19"/>
        </w:rPr>
        <w:t>Deutsche Routinedaten aus der gesetzlichen Krankenversicherung</w:t>
      </w:r>
    </w:p>
    <w:p>
      <w:r>
        <w:rPr>
          <w:color w:val="5A7D3A"/>
          <w:sz w:val="18"/>
        </w:rPr>
        <w:t>https://pubmed.ncbi.nlm.nih.gov/42834577/</w:t>
      </w:r>
    </w:p>
    <w:p>
      <w:pPr>
        <w:pStyle w:val="Heading2"/>
      </w:pPr>
      <w:r>
        <w:t>Qualität der Pflegeheimversorgung für Veteranen nach Hospitalisierung</w:t>
      </w:r>
    </w:p>
    <w:p>
      <w:r>
        <w:rPr>
          <w:i/>
          <w:color w:val="666666"/>
          <w:sz w:val="18"/>
        </w:rPr>
        <w:t>Burke RE et al.  ·  J Gen Intern Med  ·  30.09.2026  ·  PMID 42816723</w:t>
      </w:r>
    </w:p>
    <w:p>
      <w:r>
        <w:t>Retrospektive Kohortenstudie zur Verfügbarkeit und Nutzung hochqualitativer Pflegeheime (SNF) durch ältere Veteranen nach stationärer Aufnahme.</w:t>
      </w:r>
    </w:p>
    <w:p>
      <w:r>
        <w:rPr>
          <w:b/>
        </w:rPr>
        <w:t xml:space="preserve">Ergebnis: </w:t>
      </w:r>
      <w:r>
        <w:t>Von 926.860 Veteranen ≥66 Jahre nutzten &gt;92% private Medicare-Pflegeheime. Nur 34,4% wählten das bestbewertete SNF in der Nähe, 15,4% wählten das schlechteste. 64,5% hätten Zugang zu höher bewerteten Einrichtungen gehabt; 43,7% zu 5+ besseren Alternativen.</w:t>
      </w:r>
    </w:p>
    <w:p>
      <w:r>
        <w:rPr>
          <w:b/>
          <w:sz w:val="19"/>
        </w:rPr>
        <w:t xml:space="preserve">Übertragbarkeit: </w:t>
      </w:r>
      <w:r>
        <w:rPr>
          <w:sz w:val="19"/>
        </w:rPr>
        <w:t>USA-System, aber Frage der Qualitätssteuerung und Patientenwahl systemübergreifend relevant</w:t>
      </w:r>
    </w:p>
    <w:p>
      <w:r>
        <w:rPr>
          <w:color w:val="5A7D3A"/>
          <w:sz w:val="18"/>
        </w:rPr>
        <w:t>https://pubmed.ncbi.nlm.nih.gov/42816723/</w:t>
      </w:r>
    </w:p>
    <w:p>
      <w:pPr>
        <w:pStyle w:val="Heading2"/>
      </w:pPr>
      <w:r>
        <w:t>Partizipation nach Schlaganfall im jungen Erwachsenenalter</w:t>
      </w:r>
    </w:p>
    <w:p>
      <w:r>
        <w:rPr>
          <w:i/>
          <w:color w:val="666666"/>
          <w:sz w:val="18"/>
        </w:rPr>
        <w:t>Donnelly MR et al.  ·  Am J Occup Ther  ·  30.09.2026  ·  PMID 42813599</w:t>
      </w:r>
    </w:p>
    <w:p>
      <w:r>
        <w:t>Scoping Review von 15 Studien zur Partizipation junger Erwachsener (18–45 Jahre) nach Schlaganfall in Rollen und Aktivitäten des Erwachsenenlebens.</w:t>
      </w:r>
    </w:p>
    <w:p>
      <w:r>
        <w:rPr>
          <w:b/>
        </w:rPr>
        <w:t xml:space="preserve">Ergebnis: </w:t>
      </w:r>
      <w:r>
        <w:t>Schlaganfall führt zu Unterbrechung der beruflichen und sozialen Laufbahn; multi-dimensionale Effekte auf Rollen (Partner, Eltern), Bildung und Karriere. Rehabilitation fokussiert typischerweise auf motorische Funktionen, adressiert aber nicht die entwicklungsspezifischen Bedürfnisse junger Erwachsener.</w:t>
      </w:r>
    </w:p>
    <w:p>
      <w:r>
        <w:rPr>
          <w:b/>
          <w:sz w:val="19"/>
        </w:rPr>
        <w:t xml:space="preserve">Übertragbarkeit: </w:t>
      </w:r>
      <w:r>
        <w:rPr>
          <w:sz w:val="19"/>
        </w:rPr>
        <w:t>Qualitative HSR-Synthese, Erkenntnisse zur Versorgungsplanung systemunabhängig</w:t>
      </w:r>
    </w:p>
    <w:p>
      <w:r>
        <w:rPr>
          <w:color w:val="5A7D3A"/>
          <w:sz w:val="18"/>
        </w:rPr>
        <w:t>https://pubmed.ncbi.nlm.nih.gov/42813599/</w:t>
      </w:r>
    </w:p>
    <w:p>
      <w:pPr>
        <w:pStyle w:val="Heading2"/>
      </w:pPr>
      <w:r>
        <w:t>Atriale Kardiomyopathie und klinische Langzeitfolgen</w:t>
      </w:r>
    </w:p>
    <w:p>
      <w:r>
        <w:rPr>
          <w:i/>
          <w:color w:val="666666"/>
          <w:sz w:val="18"/>
        </w:rPr>
        <w:t>Kazi K et al.  ·  Europace  ·  02.09.2026  ·  PMID 42809232</w:t>
      </w:r>
    </w:p>
    <w:p>
      <w:r>
        <w:t>Kohortenstudie zu Assoziationen zwischen echokardiographischen Merkmalen atrialerKardiomyopathie und Inzidenz von Vorhofflimmern, Herzinsuffizienz und Schlaganfall. (Abstract ohne konkrete Ergebnisse verfügbar)</w:t>
      </w:r>
    </w:p>
    <w:p>
      <w:r>
        <w:rPr>
          <w:b/>
        </w:rPr>
        <w:t xml:space="preserve">Ergebnis: </w:t>
      </w:r>
      <w:r>
        <w:t>Abstract enthält keine benennbaren Zahlen oder Ergebnisse; nur Studiendesign beschrieben. Ausschluss.</w:t>
      </w:r>
    </w:p>
    <w:p>
      <w:r>
        <w:rPr>
          <w:b/>
          <w:sz w:val="19"/>
        </w:rPr>
        <w:t xml:space="preserve">Übertragbarkeit: </w:t>
      </w:r>
      <w:r>
        <w:rPr>
          <w:sz w:val="19"/>
        </w:rPr>
        <w:t>Ausgeschlossen</w:t>
      </w:r>
    </w:p>
    <w:p>
      <w:r>
        <w:rPr>
          <w:color w:val="5A7D3A"/>
          <w:sz w:val="18"/>
        </w:rPr>
        <w:t>https://pubmed.ncbi.nlm.nih.gov/42809232/</w:t>
      </w:r>
    </w:p>
    <w:p>
      <w:pPr>
        <w:pStyle w:val="Heading1"/>
      </w:pPr>
      <w:r>
        <w:t>Aufgenommen am 06.10.2026</w:t>
      </w:r>
    </w:p>
    <w:p>
      <w:pPr>
        <w:pStyle w:val="Heading2"/>
      </w:pPr>
      <w:r>
        <w:t>Zugang zu sexueller und reproduktiver Gesundheit bei Jugendlichen in Mogadischu: Qualitative Studie</w:t>
      </w:r>
    </w:p>
    <w:p>
      <w:r>
        <w:rPr>
          <w:i/>
          <w:color w:val="666666"/>
          <w:sz w:val="18"/>
        </w:rPr>
        <w:t>Asowe HA et al.  ·  Sex Health  ·  20.10.2026  ·  PMID 42833641</w:t>
      </w:r>
    </w:p>
    <w:p>
      <w:r>
        <w:t>Qualitative Mixed-Methods-Studie zu Zugang und Inanspruchnahme von Sexual- und Reproduktionsgesundheits-Dienstleistungen bei Jugendlichen in Mogadischu, Somalia.</w:t>
      </w:r>
    </w:p>
    <w:p>
      <w:r>
        <w:rPr>
          <w:b/>
        </w:rPr>
        <w:t xml:space="preserve">Ergebnis: </w:t>
      </w:r>
      <w:r>
        <w:t>21 Gesundheitseinrichtungen identifiziert, aber Dienste nicht auf Jugendliche zugeschnitten. Hauptbarrieren: Stigma, soziale Normen, Geschlechterdynamiken (männliche Zustimmung erforderlich), finanzielle und logistische Hindernisse. Dringend Bedarf für jugendfreundliche, geschlechtssensible Dienste und Norm-Veränderungsaktivitäten.</w:t>
      </w:r>
    </w:p>
    <w:p>
      <w:r>
        <w:rPr>
          <w:b/>
          <w:sz w:val="19"/>
        </w:rPr>
        <w:t xml:space="preserve">Übertragbarkeit: </w:t>
      </w:r>
      <w:r>
        <w:rPr>
          <w:sz w:val="19"/>
        </w:rPr>
        <w:t>Humanitarian-setting, Systemkontext sehr unterschiedlich, Befunde zu Zugangsbarrieren aber international relevant</w:t>
      </w:r>
    </w:p>
    <w:p>
      <w:r>
        <w:rPr>
          <w:color w:val="5A7D3A"/>
          <w:sz w:val="18"/>
        </w:rPr>
        <w:t>https://pubmed.ncbi.nlm.nih.gov/42833641/</w:t>
      </w:r>
    </w:p>
    <w:p>
      <w:pPr>
        <w:pStyle w:val="Heading2"/>
      </w:pPr>
      <w:r>
        <w:t>Expert Agreement on Palliative Reasoning and Monitoring in Heart Failure: International Delphi Study</w:t>
      </w:r>
    </w:p>
    <w:p>
      <w:r>
        <w:rPr>
          <w:i/>
          <w:color w:val="666666"/>
          <w:sz w:val="18"/>
        </w:rPr>
        <w:t>De Leeuw JCB et al.  ·  J Pain Symptom Manage  ·  05.10.2026  ·  PMID 42833597</w:t>
      </w:r>
    </w:p>
    <w:p>
      <w:r>
        <w:t>Internationale Delphi-Studie zur Etablierung von Expertenkonsens über palliative Versorgung bei Herzinsuffizienz aus neun europäischen Ländern.</w:t>
      </w:r>
    </w:p>
    <w:p>
      <w:r>
        <w:rPr>
          <w:b/>
        </w:rPr>
        <w:t xml:space="preserve">Ergebnis: </w:t>
      </w:r>
      <w:r>
        <w:t>156 Experten (Runde 1) und 121 (Runde 2, 78,1% Retention) erreichten Konsens über alle Schritte der palliativen Versorgung (I-CVI 0,82–0,95). Von 33 Symptomen erreichtenÂ 76% Übereinstimmung zu Relevanz und Formulierung. Monitoring-Instrument für Symptome, Wünsche und Bedarf entwickelt.</w:t>
      </w:r>
    </w:p>
    <w:p>
      <w:r>
        <w:rPr>
          <w:b/>
          <w:sz w:val="19"/>
        </w:rPr>
        <w:t xml:space="preserve">Übertragbarkeit: </w:t>
      </w:r>
      <w:r>
        <w:rPr>
          <w:sz w:val="19"/>
        </w:rPr>
        <w:t>Niederländische/europäische Leitung, neun europäische Länder, systemvergleichbar</w:t>
      </w:r>
    </w:p>
    <w:p>
      <w:r>
        <w:rPr>
          <w:color w:val="5A7D3A"/>
          <w:sz w:val="18"/>
        </w:rPr>
        <w:t>https://pubmed.ncbi.nlm.nih.gov/42833597/</w:t>
      </w:r>
    </w:p>
    <w:p>
      <w:pPr>
        <w:pStyle w:val="Heading2"/>
      </w:pPr>
      <w:r>
        <w:t>FOCUS-Tool zur Priorisierung von Guideline-Empfehlungen für Shared Decision Making</w:t>
      </w:r>
    </w:p>
    <w:p>
      <w:r>
        <w:rPr>
          <w:i/>
          <w:color w:val="666666"/>
          <w:sz w:val="18"/>
        </w:rPr>
        <w:t>Orduhan C et al.  ·  J Clin Epidemiol  ·  05.10.2026  ·  PMID 42833371</w:t>
      </w:r>
    </w:p>
    <w:p>
      <w:r>
        <w:t>Entwicklung und Test des FOCUS-Tools zur systematischen Identifikation von Guideline-Empfehlungen, die sich für Shared Decision Making eignen.</w:t>
      </w:r>
    </w:p>
    <w:p>
      <w:r>
        <w:rPr>
          <w:b/>
        </w:rPr>
        <w:t xml:space="preserve">Ergebnis: </w:t>
      </w:r>
      <w:r>
        <w:t>Fünf Items definiert: (1) multiple Optionen mit unterschiedlichen Nutzen-Schaden-Profilen, (2) Entscheidung mit Auswirkungen, (3) potenzielle Diskrepanz in Werten/Vorlieben, (4) Behandlungslast und finanzielle Aspekte, (5) Unsicherheit der Evidenz. Mittelwerte ≥3,38 auf 5-Punkt-Skala für Verständlichkeit, Anwendbarkeit und Nützlichkeit. 12 Teilnehmer aus acht Ländern, gute Akzeptanz.</w:t>
      </w:r>
    </w:p>
    <w:p>
      <w:r>
        <w:rPr>
          <w:b/>
          <w:sz w:val="19"/>
        </w:rPr>
        <w:t xml:space="preserve">Übertragbarkeit: </w:t>
      </w:r>
      <w:r>
        <w:rPr>
          <w:sz w:val="19"/>
        </w:rPr>
        <w:t>Deutsche Beteiligung, internationale Guideline-Entwicklung, systemunabhängige Methode</w:t>
      </w:r>
    </w:p>
    <w:p>
      <w:r>
        <w:rPr>
          <w:color w:val="5A7D3A"/>
          <w:sz w:val="18"/>
        </w:rPr>
        <w:t>https://pubmed.ncbi.nlm.nih.gov/42833371/</w:t>
      </w:r>
    </w:p>
    <w:p>
      <w:pPr>
        <w:pStyle w:val="Heading2"/>
      </w:pPr>
      <w:r>
        <w:t>National Ovarian Cancer Audit (NOCA) 2026: Qualitätsverbesserung der Ovarialkarzinom-Versorgung</w:t>
      </w:r>
    </w:p>
    <w:p>
      <w:r>
        <w:rPr>
          <w:i/>
          <w:color w:val="666666"/>
          <w:sz w:val="18"/>
        </w:rPr>
        <w:t>Zachou G et al.  ·  Clin Oncol (R Coll Radiol)  ·  10.09.2026  ·  PMID 42828886</w:t>
      </w:r>
    </w:p>
    <w:p>
      <w:r>
        <w:t>Nationale englisch-walisische Auditberichte zu Struktur-, Prozess- und Outcome-Qualität in der Ovarialkarzinom-Behandlung mit Quality-Improvement-Empfehlungen.</w:t>
      </w:r>
    </w:p>
    <w:p>
      <w:r>
        <w:rPr>
          <w:b/>
        </w:rPr>
        <w:t xml:space="preserve">Ergebnis: </w:t>
      </w:r>
      <w:r>
        <w:t>Daten nicht im Abstract verfügbar, aber Audit mit anschließenden Qualitätsverbesserungs-Interventionen durchgeführt. Fokus auf Standardisierung der Versorgung und Reduktion von Variabilität.</w:t>
      </w:r>
    </w:p>
    <w:p>
      <w:r>
        <w:rPr>
          <w:b/>
          <w:sz w:val="19"/>
        </w:rPr>
        <w:t xml:space="preserve">Übertragbarkeit: </w:t>
      </w:r>
      <w:r>
        <w:rPr>
          <w:sz w:val="19"/>
        </w:rPr>
        <w:t>Englisch-walisisches System, aber Audit-Methodologie und Qualitätsziele auf deutsches System übertragbar</w:t>
      </w:r>
    </w:p>
    <w:p>
      <w:r>
        <w:rPr>
          <w:color w:val="5A7D3A"/>
          <w:sz w:val="18"/>
        </w:rPr>
        <w:t>https://pubmed.ncbi.nlm.nih.gov/42828886/</w:t>
      </w:r>
    </w:p>
    <w:p>
      <w:pPr>
        <w:pStyle w:val="Heading2"/>
      </w:pPr>
      <w:r>
        <w:t>Langfristiges Rezidivrisiko nach Hysterektomie zur Prolaps-Behandlung</w:t>
      </w:r>
    </w:p>
    <w:p>
      <w:r>
        <w:rPr>
          <w:i/>
          <w:color w:val="666666"/>
          <w:sz w:val="18"/>
        </w:rPr>
        <w:t>Latack KR et al.  ·  Int Urogynecol J  ·  01.10.2026  ·  PMID 42821111</w:t>
      </w:r>
    </w:p>
    <w:p>
      <w:r>
        <w:t>Retrospektive Versicherungsanspruchsanalyse zu Prolaps-Retreatment nach Hysterektomie bei Prolaps-Diagnose, stratifiziert nach chirurgischem Zugang und Begleitverfahren.</w:t>
      </w:r>
    </w:p>
    <w:p>
      <w:r>
        <w:rPr>
          <w:b/>
        </w:rPr>
        <w:t xml:space="preserve">Ergebnis: </w:t>
      </w:r>
      <w:r>
        <w:t>7017 Patienten (Durchschnittsalter 51,3 Jahre). Concurrent Prolaps-Verfahren in 82%. Nach 24.129 Personenjahren: 399 Patienten (5,7%) retreated. Inzidenzrate 16,5 pro 1000 Personenjahre (95% CI 14,9–18,2). Vaginal vs. laparoskopisch: kein signifikanter Unterschied nach Adjustierung (aHR 1,39). Mit Colpopexy: abdominaler Zugang deutlich höheres Risiko.</w:t>
      </w:r>
    </w:p>
    <w:p>
      <w:r>
        <w:rPr>
          <w:b/>
          <w:sz w:val="19"/>
        </w:rPr>
        <w:t xml:space="preserve">Übertragbarkeit: </w:t>
      </w:r>
      <w:r>
        <w:rPr>
          <w:sz w:val="19"/>
        </w:rPr>
        <w:t>US-Versicherungsdaten, aber gynäkologische Fragestellung zur Prozessoptimierung systemunabhängig übertragbar</w:t>
      </w:r>
    </w:p>
    <w:p>
      <w:r>
        <w:rPr>
          <w:color w:val="5A7D3A"/>
          <w:sz w:val="18"/>
        </w:rPr>
        <w:t>https://pubmed.ncbi.nlm.nih.gov/42821111/</w:t>
      </w:r>
    </w:p>
    <w:p>
      <w:pPr>
        <w:pStyle w:val="Heading2"/>
      </w:pPr>
      <w:r>
        <w:t>Nachbarschafts-Umgebung und Präeklampsie-Risiko: Machine-Learning-Analyse</w:t>
      </w:r>
    </w:p>
    <w:p>
      <w:r>
        <w:rPr>
          <w:i/>
          <w:color w:val="666666"/>
          <w:sz w:val="18"/>
        </w:rPr>
        <w:t>Paris CF et al.  ·  Pregnancy (Hoboken)  ·  29.09.2026  ·  PMID 42819622</w:t>
      </w:r>
    </w:p>
    <w:p>
      <w:r>
        <w:t>Matched-Case-Control-Studie mit Machine Learning zur Bestimmung der relativen Bedeutung von Nachbarschaftsfaktoren (soziale Vulnerabilität, gebaute Umgebung) für Präeklampsie-Risiko in Philadelphia.</w:t>
      </w:r>
    </w:p>
    <w:p>
      <w:r>
        <w:rPr>
          <w:b/>
        </w:rPr>
        <w:t xml:space="preserve">Ergebnis: </w:t>
      </w:r>
      <w:r>
        <w:t>18.754 Teilnehmer (4.689 Präeklampsie-Fälle, 14.065 Kontrollen). Drei Nachbarschafts-Gesundheits-Vulnerabilitätsfaktoren am wichtigsten: Prävalenz von Adipositas, hohem Blutdruck und kurzer Schlafdauer bei Erwachsenen. Assoziationen mit Nachbarschafts-Hypertonie-Prävalenz besonders relevant für Präeklampsie-Prävention.</w:t>
      </w:r>
    </w:p>
    <w:p>
      <w:r>
        <w:rPr>
          <w:b/>
          <w:sz w:val="19"/>
        </w:rPr>
        <w:t xml:space="preserve">Übertragbarkeit: </w:t>
      </w:r>
      <w:r>
        <w:rPr>
          <w:sz w:val="19"/>
        </w:rPr>
        <w:t>US-Daten aus Philadelphia, aber sozialstrukturelle Fragestellung und Risiko-Identifikation systemunabhängig relevant</w:t>
      </w:r>
    </w:p>
    <w:p>
      <w:r>
        <w:rPr>
          <w:color w:val="5A7D3A"/>
          <w:sz w:val="18"/>
        </w:rPr>
        <w:t>https://pubmed.ncbi.nlm.nih.gov/42819622/</w:t>
      </w:r>
    </w:p>
    <w:p>
      <w:pPr>
        <w:pStyle w:val="Heading1"/>
      </w:pPr>
      <w:r>
        <w:t>Aufgenommen am 05.10.2026</w:t>
      </w:r>
    </w:p>
    <w:p>
      <w:pPr>
        <w:pStyle w:val="Heading2"/>
      </w:pPr>
      <w:r>
        <w:t>TALK-Debriefing-Methode verbessert Interprofessionalität und Patientensicherheit</w:t>
      </w:r>
    </w:p>
    <w:p>
      <w:r>
        <w:rPr>
          <w:i/>
          <w:color w:val="666666"/>
          <w:sz w:val="18"/>
        </w:rPr>
        <w:t>Targino JSO et al.  ·  J Eval Clin Pract  ·  Okt. 2026  ·  PMID 42829905</w:t>
      </w:r>
    </w:p>
    <w:p>
      <w:r>
        <w:t>Qualitative Aktionsforschung mit 12 Gesundheitsfachpersonen untersuchte Auswirkungen der TALK-Debriefing-Methode auf interprofessionelle Kommunikation und Patientensicherheit in brasilianischer Sekundärversorgung.</w:t>
      </w:r>
    </w:p>
    <w:p>
      <w:r>
        <w:rPr>
          <w:b/>
        </w:rPr>
        <w:t xml:space="preserve">Ergebnis: </w:t>
      </w:r>
      <w:r>
        <w:t>TALK-Methode funktionierte als strukturierendes Instrument für reflektive Praxis und reorganisierte interprofessionelle Interaktionen. Teilnehmer berichteten Verbesserungen in Kommunikation, Teamintegration und Versorgungsplanung sowie psychologisch sichere, nicht-punitives Umfeld. Barrieren: Zeitknappheit, Arbeitsbelastung, variable Engagement, begrenzte institutionelle Unterstützung.</w:t>
      </w:r>
    </w:p>
    <w:p>
      <w:r>
        <w:rPr>
          <w:b/>
          <w:sz w:val="19"/>
        </w:rPr>
        <w:t xml:space="preserve">Übertragbarkeit: </w:t>
      </w:r>
      <w:r>
        <w:rPr>
          <w:sz w:val="19"/>
        </w:rPr>
        <w:t>Qualitatives Design, systemunabhängige Fragestellung zu Kommunikation und Teamentwicklung</w:t>
      </w:r>
    </w:p>
    <w:p>
      <w:r>
        <w:rPr>
          <w:color w:val="5A7D3A"/>
          <w:sz w:val="18"/>
        </w:rPr>
        <w:t>https://pubmed.ncbi.nlm.nih.gov/42829905/</w:t>
      </w:r>
    </w:p>
    <w:p>
      <w:pPr>
        <w:pStyle w:val="Heading2"/>
      </w:pPr>
      <w:r>
        <w:t>Ernährungsberatung reduziert Alkoholkonsum bei mild kognitiver Beeinträchtigung</w:t>
      </w:r>
    </w:p>
    <w:p>
      <w:r>
        <w:rPr>
          <w:i/>
          <w:color w:val="666666"/>
          <w:sz w:val="18"/>
        </w:rPr>
        <w:t>Scheuermann JS et al.  ·  BMC Public Health  ·  03.10.2026  ·  PMID 42829430</w:t>
      </w:r>
    </w:p>
    <w:p>
      <w:r>
        <w:t>Sekundäranalyse eines RCT untersuchte, ob Ernährungsberatung (WFPB oder DGE-Richtlinien) den Alkoholkonsum bei 189 Personen mit milder kognitiver Beeinträchtigung über 12 Monate reduziert.</w:t>
      </w:r>
    </w:p>
    <w:p>
      <w:r>
        <w:rPr>
          <w:b/>
        </w:rPr>
        <w:t xml:space="preserve">Ergebnis: </w:t>
      </w:r>
      <w:r>
        <w:t>Beide Interventionen führten zu signifikanter Reduktion des Alkoholkonsums (Cohens d = 0,30 für WFPB; d = 0,39 für DGE). Frauen profitierten substanziell nur von DGE-Beratung (d = 0,33). Höherer Baseline-Alkoholkonsum, höheres Alter und bessere Adhärenz waren Prädiktoren für stärkere Reduktion.</w:t>
      </w:r>
    </w:p>
    <w:p>
      <w:r>
        <w:rPr>
          <w:b/>
          <w:sz w:val="19"/>
        </w:rPr>
        <w:t xml:space="preserve">Übertragbarkeit: </w:t>
      </w:r>
      <w:r>
        <w:rPr>
          <w:sz w:val="19"/>
        </w:rPr>
        <w:t>Deutsche RCT mit deutschen Interventionen (DGE-Richtlinien), Routine-Datenerfassung übertragbar</w:t>
      </w:r>
    </w:p>
    <w:p>
      <w:r>
        <w:rPr>
          <w:color w:val="5A7D3A"/>
          <w:sz w:val="18"/>
        </w:rPr>
        <w:t>https://pubmed.ncbi.nlm.nih.gov/42829430/</w:t>
      </w:r>
    </w:p>
    <w:p>
      <w:pPr>
        <w:pStyle w:val="Heading2"/>
      </w:pPr>
      <w:r>
        <w:t>Telehealth-Coaching für periphere arterielle Verschlusskrankheit kosteneffektiv unter günstigen Bedingungen</w:t>
      </w:r>
    </w:p>
    <w:p>
      <w:r>
        <w:rPr>
          <w:i/>
          <w:color w:val="666666"/>
          <w:sz w:val="18"/>
        </w:rPr>
        <w:t>Heider D et al.  ·  Am J Prev Cardiol  ·  14.07.2026  ·  PMID 42828241</w:t>
      </w:r>
    </w:p>
    <w:p>
      <w:r>
        <w:t>Kosteneffektivitätsanalyse eines 12-Monatigen Telehealth-Coaching- und Remote-Monitoring-Programms (TeGeCoach) für 394 PAD-Patienten basierend auf Krankenkassendaten und Fragebögen.</w:t>
      </w:r>
    </w:p>
    <w:p>
      <w:r>
        <w:rPr>
          <w:b/>
        </w:rPr>
        <w:t xml:space="preserve">Ergebnis: </w:t>
      </w:r>
      <w:r>
        <w:t>Bei WTP-Schwellenwert von 50.000 Euro: ITT 30% Wahrscheinlichkeit kosteneffektiv; mITT 79%; PP 95%. Interventionskosten 672 Euro. Unter PP-Analyse kosteneffektiv, aber ITT-Szenario nicht. Anpassung der Implementierung notwendig.</w:t>
      </w:r>
    </w:p>
    <w:p>
      <w:r>
        <w:rPr>
          <w:b/>
          <w:sz w:val="19"/>
        </w:rPr>
        <w:t xml:space="preserve">Übertragbarkeit: </w:t>
      </w:r>
      <w:r>
        <w:rPr>
          <w:sz w:val="19"/>
        </w:rPr>
        <w:t>Deutsche Krankenversicherungsdaten, praktische Implementierungsfrage für deutsche Versorgung</w:t>
      </w:r>
    </w:p>
    <w:p>
      <w:r>
        <w:rPr>
          <w:color w:val="5A7D3A"/>
          <w:sz w:val="18"/>
        </w:rPr>
        <w:t>https://pubmed.ncbi.nlm.nih.gov/42828241/</w:t>
      </w:r>
    </w:p>
    <w:p>
      <w:pPr>
        <w:pStyle w:val="Heading2"/>
      </w:pPr>
      <w:r>
        <w:t>Wiederholte pulmonale Rehabilitation bei COPD bleibt wirksam trotz kleinerer Gewinne</w:t>
      </w:r>
    </w:p>
    <w:p>
      <w:r>
        <w:rPr>
          <w:i/>
          <w:color w:val="666666"/>
          <w:sz w:val="18"/>
        </w:rPr>
        <w:t>Mohammed J et al.  ·  Can J Respir Ther  ·  30.09.2026  ·  PMID 42828082</w:t>
      </w:r>
    </w:p>
    <w:p>
      <w:r>
        <w:t>Retrospektive Analyse von 429 COPD-Patienten, die zwei Rehabilitationsprogramme (PR1 und PR2) an Ciro (Niederlande) zwischen 2005 und 2022 absolvierten.</w:t>
      </w:r>
    </w:p>
    <w:p>
      <w:r>
        <w:rPr>
          <w:b/>
        </w:rPr>
        <w:t xml:space="preserve">Ergebnis: </w:t>
      </w:r>
      <w:r>
        <w:t>Nach PR1 und PR2 signifikante Verbesserungen: 6MWD (PR1: 37,0 m [29,2–44,8]; PR2: 27,0 m [19,2–34,8]), Quadrizeps-Kraft (PR1: 10,4 Nm; PR2: 8,6 Nm), CAT, SGRQ, HADS und COPM. Gewinne nach PR2 kleiner, aber klinisch bedeutsam. Alle Outcomes zwischen PR1 und PR2 signifikant rückläufig.</w:t>
      </w:r>
    </w:p>
    <w:p>
      <w:r>
        <w:rPr>
          <w:b/>
          <w:sz w:val="19"/>
        </w:rPr>
        <w:t xml:space="preserve">Übertragbarkeit: </w:t>
      </w:r>
      <w:r>
        <w:rPr>
          <w:sz w:val="19"/>
        </w:rPr>
        <w:t>Niederländisches spezialisiertes Rehabilitationszentrum, vergleichbares System, Ergebnisse übertragbar</w:t>
      </w:r>
    </w:p>
    <w:p>
      <w:r>
        <w:rPr>
          <w:color w:val="5A7D3A"/>
          <w:sz w:val="18"/>
        </w:rPr>
        <w:t>https://pubmed.ncbi.nlm.nih.gov/42828082/</w:t>
      </w:r>
    </w:p>
    <w:p>
      <w:pPr>
        <w:pStyle w:val="Heading2"/>
      </w:pPr>
      <w:r>
        <w:t>Theory of Mind: kognitives Endophänotyp bei juveniler myoklonischer Epilepsie?</w:t>
      </w:r>
    </w:p>
    <w:p>
      <w:r>
        <w:rPr>
          <w:i/>
          <w:color w:val="666666"/>
          <w:sz w:val="18"/>
        </w:rPr>
        <w:t>Crespo-Pimentel B et al.  ·  Epilepsia  ·  01.10.2026  ·  PMID 42821310</w:t>
      </w:r>
    </w:p>
    <w:p>
      <w:r>
        <w:t>Prospektive Querschnittsstudie mit 52 Patienten mit juveniler myoklonischer Epilepsie (JME), 13 nicht-betroffenen Geschwistern und 64 gesunden Kontrollen untersuchte soziale Kognition als mögliches Endophänotyp.</w:t>
      </w:r>
    </w:p>
    <w:p>
      <w:r>
        <w:rPr>
          <w:b/>
        </w:rPr>
        <w:t xml:space="preserve">Ergebnis: </w:t>
      </w:r>
      <w:r>
        <w:t>JME-Patienten zeigten reduzierte Leistung bei Aufgaben zu Mentalisieren über Überzeugungen (Faux Pas Test, Reading Mind in the Eyes). Geschwister unterschieden sich nicht signifikant von JME-Patienten oder Kontrollen. Selektive Beeinträchtigung des Mentalisierens über Überzeugungen in JME, aber keine Evidenz für Endophänotyp-Rolle in dieser Stichprobe.</w:t>
      </w:r>
    </w:p>
    <w:p>
      <w:r>
        <w:rPr>
          <w:b/>
          <w:sz w:val="19"/>
        </w:rPr>
        <w:t xml:space="preserve">Übertragbarkeit: </w:t>
      </w:r>
      <w:r>
        <w:rPr>
          <w:sz w:val="19"/>
        </w:rPr>
        <w:t>Österreich-basierte Studie, systemunabhängige neuropsychologische Fragestellung</w:t>
      </w:r>
    </w:p>
    <w:p>
      <w:r>
        <w:rPr>
          <w:color w:val="5A7D3A"/>
          <w:sz w:val="18"/>
        </w:rPr>
        <w:t>https://pubmed.ncbi.nlm.nih.gov/42821310/</w:t>
      </w:r>
    </w:p>
    <w:p>
      <w:pPr>
        <w:pStyle w:val="Heading2"/>
      </w:pPr>
      <w:r>
        <w:t>Schlechte Adhärenz zu evidenzbasierter kardiovaskulärer Prävention bei schweren psychischen Erkrankungen in Norwegen</w:t>
      </w:r>
    </w:p>
    <w:p>
      <w:r>
        <w:rPr>
          <w:i/>
          <w:color w:val="666666"/>
          <w:sz w:val="18"/>
        </w:rPr>
        <w:t>Larsen S et al.  ·  Nord J Psychiatry  ·  30.09.2026  ·  PMID 42813764</w:t>
      </w:r>
    </w:p>
    <w:p>
      <w:r>
        <w:t>Multizenter-Studie mit 230 Patienten (Schizophrenie/bipolare Störung oder Antipsychotika-Nutzer) untersuchte Adhärenz zu evidenzbasierter kardiovaskulärer Prävention mittels Fidelity Scale.</w:t>
      </w:r>
    </w:p>
    <w:p>
      <w:r>
        <w:rPr>
          <w:b/>
        </w:rPr>
        <w:t xml:space="preserve">Ergebnis: </w:t>
      </w:r>
      <w:r>
        <w:t>Seiten zeigten geringe Fidelity-Scores (höher bei Richtlinien als bei Praktiken). Alle Risikofaktoren hochprevalent: tägliches Rauchen/Schnuff 58,1%. Zwischen Fidelity und Patientenergebnissen keine signifikanten Assoziationen nach Adjustierung. Spezialistische Versorgungsanbieter zeigten niedrige Adhärenz zu evidenzbasierter kardiovaskulärer Risikomanagement-Praxis.</w:t>
      </w:r>
    </w:p>
    <w:p>
      <w:r>
        <w:rPr>
          <w:b/>
          <w:sz w:val="19"/>
        </w:rPr>
        <w:t xml:space="preserve">Übertragbarkeit: </w:t>
      </w:r>
      <w:r>
        <w:rPr>
          <w:sz w:val="19"/>
        </w:rPr>
        <w:t>Norwegische spezialisierte psychische Gesundheitsversorgung, vergleichbar mit deutschem System</w:t>
      </w:r>
    </w:p>
    <w:p>
      <w:r>
        <w:rPr>
          <w:color w:val="5A7D3A"/>
          <w:sz w:val="18"/>
        </w:rPr>
        <w:t>https://pubmed.ncbi.nlm.nih.gov/42813764/</w:t>
      </w:r>
    </w:p>
    <w:p>
      <w:pPr>
        <w:pStyle w:val="Heading1"/>
      </w:pPr>
      <w:r>
        <w:t>Aufgenommen am 04.10.2026</w:t>
      </w:r>
    </w:p>
    <w:p>
      <w:pPr>
        <w:pStyle w:val="Heading2"/>
      </w:pPr>
      <w:r>
        <w:t>Längere MOUD-Dauer senkt postpartales Überdosis- und Sterblichkeitsrisiko</w:t>
      </w:r>
    </w:p>
    <w:p>
      <w:r>
        <w:rPr>
          <w:i/>
          <w:color w:val="666666"/>
          <w:sz w:val="18"/>
        </w:rPr>
        <w:t>Kim A et al.  ·  JAMA Netw Open  ·  01.10.2026  ·  PMID 42826020</w:t>
      </w:r>
    </w:p>
    <w:p>
      <w:r>
        <w:t>Retrospektive Kohorte mit Tennessee-Medicaid-Daten zu Schwangerschaften mit Medikamentöser Opioid-Abhängigkeitsbehandlung (MOUD) und postpartalem Überdosis-/Mortalitätsrisiko.</w:t>
      </w:r>
    </w:p>
    <w:p>
      <w:r>
        <w:rPr>
          <w:b/>
        </w:rPr>
        <w:t xml:space="preserve">Ergebnis: </w:t>
      </w:r>
      <w:r>
        <w:t>Unter 9.360 Schwangerschaften betrug die 1-Jahres-Postpartum-Mortalität/-Überdosisrate 1,58% (148 Fälle). Längere MOUD-Dauer während Schwangerschaft assoziiert mit niedrigerem Risiko: adjustierte Hazard Ratio für 132 vs. 1 Tag MOUD-Versorgung 0,52 (95%-KI 0,31–0,88).</w:t>
      </w:r>
    </w:p>
    <w:p>
      <w:r>
        <w:rPr>
          <w:b/>
          <w:sz w:val="19"/>
        </w:rPr>
        <w:t xml:space="preserve">Übertragbarkeit: </w:t>
      </w:r>
      <w:r>
        <w:rPr>
          <w:sz w:val="19"/>
        </w:rPr>
        <w:t>US-Medicaid-Daten; Fragestellung zur kontinuierlichen Opioid-Substitutionsbehandlung systemunabhängig relevant.</w:t>
      </w:r>
    </w:p>
    <w:p>
      <w:r>
        <w:rPr>
          <w:color w:val="5A7D3A"/>
          <w:sz w:val="18"/>
        </w:rPr>
        <w:t>https://pubmed.ncbi.nlm.nih.gov/42826020/</w:t>
      </w:r>
    </w:p>
    <w:p>
      <w:pPr>
        <w:pStyle w:val="Heading2"/>
      </w:pPr>
      <w:r>
        <w:t>Regionale Disparitäten beim direkten Rettungsdienst-Transport zu geriatrischen Notfallstationen</w:t>
      </w:r>
    </w:p>
    <w:p>
      <w:r>
        <w:rPr>
          <w:i/>
          <w:color w:val="666666"/>
          <w:sz w:val="18"/>
        </w:rPr>
        <w:t>Varg S et al.  ·  BMC Geriatr  ·  02.10.2026  ·  PMID 42823763</w:t>
      </w:r>
    </w:p>
    <w:p>
      <w:r>
        <w:t>Schwedische Register-Studie zu geografischen Unterschieden bei direkter Rettungsdienst-Zuweisung älterer Patienten (≥65J.) zu Notaufnahmen versus geriatrischen Spezialstationen.</w:t>
      </w:r>
    </w:p>
    <w:p>
      <w:r>
        <w:rPr>
          <w:b/>
        </w:rPr>
        <w:t xml:space="preserve">Ergebnis: </w:t>
      </w:r>
      <w:r>
        <w:t>Von 8.208 älteren Patienten wurden 7% (603) direkt zu geriatrischen Stationen transportiert. Zwischen Krankenhauseinzugsgebieten stark variierend (4–21%). Nach Adjustierung reduzierte sich Varianz um 41%, aber erhebliche regionale Unterschiede blieben (MOR=1,54).</w:t>
      </w:r>
    </w:p>
    <w:p>
      <w:r>
        <w:rPr>
          <w:b/>
          <w:sz w:val="19"/>
        </w:rPr>
        <w:t xml:space="preserve">Übertragbarkeit: </w:t>
      </w:r>
      <w:r>
        <w:rPr>
          <w:sz w:val="19"/>
        </w:rPr>
        <w:t>Schweden (Steuerfinanzierung); Prozessqualität und Zugangssteuerung in Primärversorgung auf deutsche Kontexte nur eingeschränkt übertragbar.</w:t>
      </w:r>
    </w:p>
    <w:p>
      <w:r>
        <w:rPr>
          <w:color w:val="5A7D3A"/>
          <w:sz w:val="18"/>
        </w:rPr>
        <w:t>https://pubmed.ncbi.nlm.nih.gov/42823763/</w:t>
      </w:r>
    </w:p>
    <w:p>
      <w:pPr>
        <w:pStyle w:val="Heading2"/>
      </w:pPr>
      <w:r>
        <w:t>Aktualisiertes WHO-STEPS-Modul zur Mundhygiene-Surveillance in der Bevölkerung</w:t>
      </w:r>
    </w:p>
    <w:p>
      <w:r>
        <w:rPr>
          <w:i/>
          <w:color w:val="666666"/>
          <w:sz w:val="18"/>
        </w:rPr>
        <w:t>Rendell N et al.  ·  Bull World Health Organ  ·  01.10.2026  ·  PMID 42820175</w:t>
      </w:r>
    </w:p>
    <w:p>
      <w:r>
        <w:t>WHO-Entwicklung eines aktualisierten Moduls zur Routine-Überwachung von Mundhygieneproblemen in Bevölkerungsumfragen zu nichtübertragbaren Erkrankungen.</w:t>
      </w:r>
    </w:p>
    <w:p>
      <w:r>
        <w:rPr>
          <w:b/>
        </w:rPr>
        <w:t xml:space="preserve">Ergebnis: </w:t>
      </w:r>
      <w:r>
        <w:t>Neues STEPS-Modul ergänzt bisherige Selbstangaben durch klinische Bewertungskomponente. Kann von Zahn- und Nicht-Zahnfachpersonal nach kurzer Schulung durchgeführt werden. Praktisch skalierbar zur Schließung persistierender Überwachungslücken.</w:t>
      </w:r>
    </w:p>
    <w:p>
      <w:r>
        <w:rPr>
          <w:b/>
          <w:sz w:val="19"/>
        </w:rPr>
        <w:t xml:space="preserve">Übertragbarkeit: </w:t>
      </w:r>
      <w:r>
        <w:rPr>
          <w:sz w:val="19"/>
        </w:rPr>
        <w:t>WHO-Empfehlung für globale Anwendbarkeit; für deutsche Public-Health-Surveillance relevant.</w:t>
      </w:r>
    </w:p>
    <w:p>
      <w:r>
        <w:rPr>
          <w:color w:val="5A7D3A"/>
          <w:sz w:val="18"/>
        </w:rPr>
        <w:t>https://pubmed.ncbi.nlm.nih.gov/42820175/</w:t>
      </w:r>
    </w:p>
    <w:p>
      <w:pPr>
        <w:pStyle w:val="Heading2"/>
      </w:pPr>
      <w:r>
        <w:t>Standardisierte Entlassungskriterien von Intensivstationen: Pilotimplementierung</w:t>
      </w:r>
    </w:p>
    <w:p>
      <w:r>
        <w:rPr>
          <w:i/>
          <w:color w:val="666666"/>
          <w:sz w:val="18"/>
        </w:rPr>
        <w:t>Hiller M et al.  ·  BMC Health Serv Res  ·  28.09.2026  ·  PMID 42811355</w:t>
      </w:r>
    </w:p>
    <w:p>
      <w:r>
        <w:t>Deutsche prospektive Pilotstudie zur Implementierbarkeit und klinischen Nutzbarkeit eines standardisierten Satzes von ICU-Entlassungskriterien in zwei Kliniken.</w:t>
      </w:r>
    </w:p>
    <w:p>
      <w:r>
        <w:rPr>
          <w:b/>
        </w:rPr>
        <w:t xml:space="preserve">Ergebnis: </w:t>
      </w:r>
      <w:r>
        <w:t>Elf patientenspezifische und organisationsspezifische Kriterien zeigten &gt;80% Completion bei Entlassungsentscheidungen und wurden als Kern-Set definiert. Organisationsspezifische Kriterien sollten je Klinik, Patientengruppen und Empfängerabteilungen angepasst werden.</w:t>
      </w:r>
    </w:p>
    <w:p>
      <w:r>
        <w:rPr>
          <w:b/>
          <w:sz w:val="19"/>
        </w:rPr>
        <w:t xml:space="preserve">Übertragbarkeit: </w:t>
      </w:r>
      <w:r>
        <w:rPr>
          <w:sz w:val="19"/>
        </w:rPr>
        <w:t>Deutsche Routinedaten aus zwei ICU-Stationen; direkt auf deutsches Versorgungssystem übertragbar.</w:t>
      </w:r>
    </w:p>
    <w:p>
      <w:r>
        <w:rPr>
          <w:color w:val="5A7D3A"/>
          <w:sz w:val="18"/>
        </w:rPr>
        <w:t>https://pubmed.ncbi.nlm.nih.gov/42811355/</w:t>
      </w:r>
    </w:p>
    <w:p>
      <w:pPr>
        <w:pStyle w:val="Heading2"/>
      </w:pPr>
      <w:r>
        <w:t>Arbeitgeberperspektiven auf Arbeitsplatzinklusion bei psychischen Erkrankungen</w:t>
      </w:r>
    </w:p>
    <w:p>
      <w:r>
        <w:rPr>
          <w:i/>
          <w:color w:val="666666"/>
          <w:sz w:val="18"/>
        </w:rPr>
        <w:t>Krumm S et al.  ·  BMC Health Serv Res  ·  28.09.2026  ·  PMID 42811348</w:t>
      </w:r>
    </w:p>
    <w:p>
      <w:r>
        <w:t>Qualitative Interview-Studie mit 29 deutschen Arbeitgebern zu Sichtweisen auf Inklusion von Arbeitnehmern mit psychischen Problemen.</w:t>
      </w:r>
    </w:p>
    <w:p>
      <w:r>
        <w:rPr>
          <w:b/>
        </w:rPr>
        <w:t xml:space="preserve">Ergebnis: </w:t>
      </w:r>
      <w:r>
        <w:t>Arbeitgeber beschrieben ambivalente Orientierungen: Normalisierungstrends einerseits, aber Verunsicherung bei Arbeitsorganisation, Teamdynamiken und Vorhersehbarkeit andererseits. Offenbarung, Eigenverantwortung und gegenseitiges Vertrauen wurden als zentral für Unterstützung betont.</w:t>
      </w:r>
    </w:p>
    <w:p>
      <w:r>
        <w:rPr>
          <w:b/>
          <w:sz w:val="19"/>
        </w:rPr>
        <w:t xml:space="preserve">Übertragbarkeit: </w:t>
      </w:r>
      <w:r>
        <w:rPr>
          <w:sz w:val="19"/>
        </w:rPr>
        <w:t>Deutsche Qualitätsstudie; direkt für deutsche Arbeitsmarkt- und Versorgungspolitik relevant.</w:t>
      </w:r>
    </w:p>
    <w:p>
      <w:r>
        <w:rPr>
          <w:color w:val="5A7D3A"/>
          <w:sz w:val="18"/>
        </w:rPr>
        <w:t>https://pubmed.ncbi.nlm.nih.gov/42811348/</w:t>
      </w:r>
    </w:p>
    <w:p>
      <w:pPr>
        <w:pStyle w:val="Heading2"/>
      </w:pPr>
      <w:r>
        <w:t>Radiotherapie-Personalnotstand UK: Reforming der Zertifizierung zur Schließung der Lücke</w:t>
      </w:r>
    </w:p>
    <w:p>
      <w:r>
        <w:rPr>
          <w:i/>
          <w:color w:val="666666"/>
          <w:sz w:val="18"/>
        </w:rPr>
        <w:t>Vulpe H et al.  ·  Eur J Cancer  ·  16.09.2026  ·  PMID 42810149</w:t>
      </w:r>
    </w:p>
    <w:p>
      <w:r>
        <w:t>Politische Analyse zur Personalknappheit in der klinischen Onkologie/Strahlentherapie im UK und Vorschlag für Regulierungsreform zur internationalen Rekrutierung.</w:t>
      </w:r>
    </w:p>
    <w:p>
      <w:r>
        <w:rPr>
          <w:b/>
        </w:rPr>
        <w:t xml:space="preserve">Ergebnis: </w:t>
      </w:r>
      <w:r>
        <w:t>17% Unterbesetzung in klinischer Onkologie heute, 26% prognostiziert bis 2030. UK-Dualausbildung (Radiotherapie + Systemtherapie) behindert Rekrutierung international trainierter Radiation Oncologists aus Systemen mit separaten Fachrichtungen.</w:t>
      </w:r>
    </w:p>
    <w:p>
      <w:r>
        <w:rPr>
          <w:b/>
          <w:sz w:val="19"/>
        </w:rPr>
        <w:t xml:space="preserve">Übertragbarkeit: </w:t>
      </w:r>
      <w:r>
        <w:rPr>
          <w:sz w:val="19"/>
        </w:rPr>
        <w:t>UK-Healthcare-System mit NHS; Regulierungsfragen systemabhängig, aber Workforceplanung grundsätzlich relevant.</w:t>
      </w:r>
    </w:p>
    <w:p>
      <w:r>
        <w:rPr>
          <w:color w:val="5A7D3A"/>
          <w:sz w:val="18"/>
        </w:rPr>
        <w:t>https://pubmed.ncbi.nlm.nih.gov/42810149/</w:t>
      </w:r>
    </w:p>
    <w:p>
      <w:pPr>
        <w:pStyle w:val="Heading2"/>
      </w:pPr>
      <w:r>
        <w:t>Geschlechter- und Diversitätsfaktoren in psychiatrischer Krankenhausbehandlung: Studienprotokoll PSY-DIVER</w:t>
      </w:r>
    </w:p>
    <w:p>
      <w:r>
        <w:rPr>
          <w:i/>
          <w:color w:val="666666"/>
          <w:sz w:val="18"/>
        </w:rPr>
        <w:t>Peters SJ et al.  ·  BMC Psychiatry  ·  24.09.2026  ·  PMID 42806324</w:t>
      </w:r>
    </w:p>
    <w:p>
      <w:r>
        <w:t>Deutsches Studienprotokoll zur Untersuchung von Geschlechts- und Diversitätsfaktoren (Alter, Migration, sexuelle Orientierung, Religion, SES) in der stationären psychiatrischen Versorgung.</w:t>
      </w:r>
    </w:p>
    <w:p>
      <w:r>
        <w:rPr>
          <w:b/>
        </w:rPr>
        <w:t xml:space="preserve">Ergebnis: </w:t>
      </w:r>
      <w:r>
        <w:t>Geplantes Mixed-Methods-Design mit Routinedaten-Analyse (500.000 stationäre Fälle 2015–2024), 31 Interviews und Online-Befragungen, Delphi-Prozess. NLP-gestützte Extraktion von Diversitätsvariablen aus klinischen Texten.</w:t>
      </w:r>
    </w:p>
    <w:p>
      <w:r>
        <w:rPr>
          <w:b/>
          <w:sz w:val="19"/>
        </w:rPr>
        <w:t xml:space="preserve">Übertragbarkeit: </w:t>
      </w:r>
      <w:r>
        <w:rPr>
          <w:sz w:val="19"/>
        </w:rPr>
        <w:t>Deutsche Studienplanung, neun psychiatrische LVR-Kliniken; hochgradig auf deutsches System übertragbar.</w:t>
      </w:r>
    </w:p>
    <w:p>
      <w:r>
        <w:rPr>
          <w:color w:val="5A7D3A"/>
          <w:sz w:val="18"/>
        </w:rPr>
        <w:t>https://pubmed.ncbi.nlm.nih.gov/42806324/</w:t>
      </w:r>
    </w:p>
    <w:p>
      <w:pPr>
        <w:pStyle w:val="Heading1"/>
      </w:pPr>
      <w:r>
        <w:t>Aufgenommen am 03.10.2026</w:t>
      </w:r>
    </w:p>
    <w:p>
      <w:pPr>
        <w:pStyle w:val="Heading2"/>
      </w:pPr>
      <w:r>
        <w:t>Rural medical students in China: nur 23% planen längerfristiges Bleiben im Landdienst</w:t>
      </w:r>
    </w:p>
    <w:p>
      <w:r>
        <w:rPr>
          <w:i/>
          <w:color w:val="666666"/>
          <w:sz w:val="18"/>
        </w:rPr>
        <w:t>Zhang X et al.  ·  BMC Health Serv Res  ·  21.09.2026  ·  PMID 42823771</w:t>
      </w:r>
    </w:p>
    <w:p>
      <w:r>
        <w:t>Qualitative Studie zu Bleibechancen ländlich ausgebildeter Medizinstudierender in chinesischen Stadtgesundheitszentren nach Pflichtdienst.</w:t>
      </w:r>
    </w:p>
    <w:p>
      <w:r>
        <w:rPr>
          <w:b/>
        </w:rPr>
        <w:t xml:space="preserve">Ergebnis: </w:t>
      </w:r>
      <w:r>
        <w:t>Von 26 befragten Studierenden wollten nur 23,1% (6/26) über die vorgeschriebene Dienstzeit hinaus bleiben. Führungsunterstützung erwies sich als prominentester Faktor für Unterschiede zwischen Bleibern und Weggehern. Work-Family-Balance war Erleichterungsfaktor. Karrieremobilitätsmechanismen wurden als unterentwickelt wahrgenommen.</w:t>
      </w:r>
    </w:p>
    <w:p>
      <w:r>
        <w:rPr>
          <w:b/>
          <w:sz w:val="19"/>
        </w:rPr>
        <w:t xml:space="preserve">Übertragbarkeit: </w:t>
      </w:r>
      <w:r>
        <w:rPr>
          <w:sz w:val="19"/>
        </w:rPr>
        <w:t>Nur bedingt: ländliche Kontexte in China; Fachkräftemangel aber global relevant.</w:t>
      </w:r>
    </w:p>
    <w:p>
      <w:r>
        <w:rPr>
          <w:color w:val="5A7D3A"/>
          <w:sz w:val="18"/>
        </w:rPr>
        <w:t>https://pubmed.ncbi.nlm.nih.gov/42823771/</w:t>
      </w:r>
    </w:p>
    <w:p>
      <w:pPr>
        <w:pStyle w:val="Heading2"/>
      </w:pPr>
      <w:r>
        <w:t>Specialist-led interprofessional weaning program reduces failed weaning in high-risk ICU patients</w:t>
      </w:r>
    </w:p>
    <w:p>
      <w:r>
        <w:rPr>
          <w:i/>
          <w:color w:val="666666"/>
          <w:sz w:val="18"/>
        </w:rPr>
        <w:t>Trudzinski FC et al.  ·  Crit Care  ·  30.09.2026  ·  PMID 42823746</w:t>
      </w:r>
    </w:p>
    <w:p>
      <w:r>
        <w:t>Deutsche Studie zur Wirksamkeit eines spezialisierten, interprofessionellen Beatmungsentwöhnungsprogramms bei intensivpflichtigen Patienten mit hohemRisiko.</w:t>
      </w:r>
    </w:p>
    <w:p>
      <w:r>
        <w:rPr>
          <w:b/>
        </w:rPr>
        <w:t xml:space="preserve">Ergebnis: </w:t>
      </w:r>
      <w:r>
        <w:t>In der propensity-score-matched Analyse wiesen Interventionspatienten höhere Quoten erfolgreicher Beatmungsentwöhnung auf (58,3% vs. 46,4%, OR 2,90; 95%-KI 1,61–5,24; p&lt;0,001). Im unadjustierten primären Analyseplan erreichte der Unterschied keine statistische Signifikanz (OR 1,46; p=0,057). Die Machbarkeit wurde demonstriert, mit 16,3% der Patienten in spezialisierte Weaning-Zentren verlegt.</w:t>
      </w:r>
    </w:p>
    <w:p>
      <w:r>
        <w:rPr>
          <w:b/>
          <w:sz w:val="19"/>
        </w:rPr>
        <w:t xml:space="preserve">Übertragbarkeit: </w:t>
      </w:r>
      <w:r>
        <w:rPr>
          <w:sz w:val="19"/>
        </w:rPr>
        <w:t>Deutsche Daten, ICU-Verweildauer und Beatmungsdauer sind zentrale Versorgungsergebnisse.</w:t>
      </w:r>
    </w:p>
    <w:p>
      <w:r>
        <w:rPr>
          <w:color w:val="5A7D3A"/>
          <w:sz w:val="18"/>
        </w:rPr>
        <w:t>https://pubmed.ncbi.nlm.nih.gov/42823746/</w:t>
      </w:r>
    </w:p>
    <w:p>
      <w:pPr>
        <w:pStyle w:val="Heading2"/>
      </w:pPr>
      <w:r>
        <w:t>Globale ökonomische Last der Schizophrenie: 243 Milliarden USD im Jahr 2019</w:t>
      </w:r>
    </w:p>
    <w:p>
      <w:r>
        <w:rPr>
          <w:i/>
          <w:color w:val="666666"/>
          <w:sz w:val="18"/>
        </w:rPr>
        <w:t>Welter LS et al.  ·  Int J Ment Health Syst  ·  29.09.2026  ·  PMID 42823740</w:t>
      </w:r>
    </w:p>
    <w:p>
      <w:r>
        <w:t>Health-Economic-Modeling-Studie zur globalen sozioökonomischen Last der Schizophrenie 2019 über 204 Länder (direkte, indirekte und informale Pflegekosten).</w:t>
      </w:r>
    </w:p>
    <w:p>
      <w:r>
        <w:rPr>
          <w:b/>
        </w:rPr>
        <w:t xml:space="preserve">Ergebnis: </w:t>
      </w:r>
      <w:r>
        <w:t>22,1 Millionen Erwachsene (0,39% Prävalenz) lebten mit Schizophrenie 2019. Gesamtkosten: 243,2 Milliarden USD (Kaufkraftparität): 47% direkte Kosten, 29% indirekt (Produktivitätsverluste), 24% informale Pflege. Obere-Mittel-Länder trugen proportional zu BIP am meisten, Hocheinkommensländer in absoluten und Pro-Kopf-Kosten am meisten. Regionale Heterogenität erheblich.</w:t>
      </w:r>
    </w:p>
    <w:p>
      <w:r>
        <w:rPr>
          <w:b/>
          <w:sz w:val="19"/>
        </w:rPr>
        <w:t xml:space="preserve">Übertragbarkeit: </w:t>
      </w:r>
      <w:r>
        <w:rPr>
          <w:sz w:val="19"/>
        </w:rPr>
        <w:t>Globale Modellierung; für Versorgungsforschung Deutschland relevant zur Kostenlast-Abschätzung.</w:t>
      </w:r>
    </w:p>
    <w:p>
      <w:r>
        <w:rPr>
          <w:color w:val="5A7D3A"/>
          <w:sz w:val="18"/>
        </w:rPr>
        <w:t>https://pubmed.ncbi.nlm.nih.gov/42823740/</w:t>
      </w:r>
    </w:p>
    <w:p>
      <w:pPr>
        <w:pStyle w:val="Heading2"/>
      </w:pPr>
      <w:r>
        <w:t>Muskel-Selbstmanagement und virtuelle Physiotherapie in Saudi-Arabien: Kulturelle Anpassungen erforderlich</w:t>
      </w:r>
    </w:p>
    <w:p>
      <w:r>
        <w:rPr>
          <w:i/>
          <w:color w:val="666666"/>
          <w:sz w:val="18"/>
        </w:rPr>
        <w:t>AlMuhana N et al.  ·  BMC Health Serv Res  ·  28.09.2026  ·  PMID 42823682</w:t>
      </w:r>
    </w:p>
    <w:p>
      <w:r>
        <w:t>Qualitative Studie (8 Fokusgruppen, n=36) zu Muskel-Selbstmanagement und Akzeptanz virtueller Physiotherapie in Saudi-Arabien.</w:t>
      </w:r>
    </w:p>
    <w:p>
      <w:r>
        <w:rPr>
          <w:b/>
        </w:rPr>
        <w:t xml:space="preserve">Ergebnis: </w:t>
      </w:r>
      <w:r>
        <w:t>Patienten praktizieren selbstgesteuertes Management wegen verzögerter professioneller Versorgung. Barrieren: strukturelle, psychologische, relationale Faktoren. Neu: Kulturelle Lücke – Patienten brauchten Anleitung zum Anpassen von Salah (islamisches Gebet) bei Muskelschmerzen. Hybrida Versorgung wurde bevorzugt (virtuelle Nachsorge nach In-Person-Assessment), nicht virtuell von Anfang an.</w:t>
      </w:r>
    </w:p>
    <w:p>
      <w:r>
        <w:rPr>
          <w:b/>
          <w:sz w:val="19"/>
        </w:rPr>
        <w:t xml:space="preserve">Übertragbarkeit: </w:t>
      </w:r>
      <w:r>
        <w:rPr>
          <w:sz w:val="19"/>
        </w:rPr>
        <w:t>Saudi-Arabien; systemische Übertragbarkeit limitiert, aber Befunde zu Selbstmanagement und virtueller Versorgung aussagekräftig.</w:t>
      </w:r>
    </w:p>
    <w:p>
      <w:r>
        <w:rPr>
          <w:color w:val="5A7D3A"/>
          <w:sz w:val="18"/>
        </w:rPr>
        <w:t>https://pubmed.ncbi.nlm.nih.gov/42823682/</w:t>
      </w:r>
    </w:p>
    <w:p>
      <w:pPr>
        <w:pStyle w:val="Heading2"/>
      </w:pPr>
      <w:r>
        <w:t>mHealth-gestützte Integrated Care für ältere Vorhofflimmernpatienten: Kein Vorteil bei optimaler Baseline</w:t>
      </w:r>
    </w:p>
    <w:p>
      <w:r>
        <w:rPr>
          <w:i/>
          <w:color w:val="666666"/>
          <w:sz w:val="18"/>
        </w:rPr>
        <w:t>Lip GYH et al.  ·  Lancet Reg Health Eur  ·  30.08.2026  ·  PMID 42819749</w:t>
      </w:r>
    </w:p>
    <w:p>
      <w:r>
        <w:t>AFFIRMO cluster-RCT in 6 europäischen Ländern zu iABC-System (Integrated Care mit CGA) vs. usual care bei älteren multimorbiden Vorhofflimmernpatienten.</w:t>
      </w:r>
    </w:p>
    <w:p>
      <w:r>
        <w:rPr>
          <w:b/>
        </w:rPr>
        <w:t xml:space="preserve">Ergebnis: </w:t>
      </w:r>
      <w:r>
        <w:t>1.260 Patienten (Alter 74 Jahre, CHA₂DS₂-VASc 4). Primärer Endpunkt ungeplante Hospitalisierung: 17,1% (Intervention) vs. 18,2% (usual care), OR 0,95 (95%-KI 0,61–1,49; p=0,84). App-Nutzung suboptimal (68,5% nur 1/3 der Beobachtungszeit). Günstige Baseline-Compliance (97,3% Antikoagulation).</w:t>
      </w:r>
    </w:p>
    <w:p>
      <w:r>
        <w:rPr>
          <w:b/>
          <w:sz w:val="19"/>
        </w:rPr>
        <w:t xml:space="preserve">Übertragbarkeit: </w:t>
      </w:r>
      <w:r>
        <w:rPr>
          <w:sz w:val="19"/>
        </w:rPr>
        <w:t>Mehrländer-Studie mit europäischem Kontext, aber System steuerfinanziert; begrenzte Übertragbarkeit auf deutsches Sozialversicherungssystem.</w:t>
      </w:r>
    </w:p>
    <w:p>
      <w:r>
        <w:rPr>
          <w:color w:val="5A7D3A"/>
          <w:sz w:val="18"/>
        </w:rPr>
        <w:t>https://pubmed.ncbi.nlm.nih.gov/42819749/</w:t>
      </w:r>
    </w:p>
    <w:p>
      <w:pPr>
        <w:pStyle w:val="Heading2"/>
      </w:pPr>
      <w:r>
        <w:t>Blutbasierte Screening-Programme am Arbeitsplatz: Ökonomische Ergebnisse inkonsistent</w:t>
      </w:r>
    </w:p>
    <w:p>
      <w:r>
        <w:rPr>
          <w:i/>
          <w:color w:val="666666"/>
          <w:sz w:val="18"/>
        </w:rPr>
        <w:t>Swadźba D et al.  ·  BMC Health Serv Res  ·  29.09.2026  ·  PMID 42816856</w:t>
      </w:r>
    </w:p>
    <w:p>
      <w:r>
        <w:t>Systematischer Review (56 Studien, überwiegend US-Beobachtungsdaten) zu wirtschaftlichen und Produktivitätsergebnissen von Workplace-Health-Programmen mit Blutscreening.</w:t>
      </w:r>
    </w:p>
    <w:p>
      <w:r>
        <w:rPr>
          <w:b/>
        </w:rPr>
        <w:t xml:space="preserve">Ergebnis: </w:t>
      </w:r>
      <w:r>
        <w:t>Gesundheitskosten: 21 von 29 Studien zeigten günstige Ergebnisse. Return-on-Investment: einheitlich positiv (20 Studien), ohne Abschwächung mit Studienqualität. Absenteeismus: 23 Studien, inkonsistent. Präsentismus/Fluktuation: selten gemessen. Günstiger Effekt nur bei strukturiert begleiteten Programmen, nicht Screening allein.</w:t>
      </w:r>
    </w:p>
    <w:p>
      <w:r>
        <w:rPr>
          <w:b/>
          <w:sz w:val="19"/>
        </w:rPr>
        <w:t xml:space="preserve">Übertragbarkeit: </w:t>
      </w:r>
      <w:r>
        <w:rPr>
          <w:sz w:val="19"/>
        </w:rPr>
        <w:t>Überwiegend US-Daten; Fragestellung aber systemunabhängig relevant für Betriebliche Gesundheitsförderung.</w:t>
      </w:r>
    </w:p>
    <w:p>
      <w:r>
        <w:rPr>
          <w:color w:val="5A7D3A"/>
          <w:sz w:val="18"/>
        </w:rPr>
        <w:t>https://pubmed.ncbi.nlm.nih.gov/42816856/</w:t>
      </w:r>
    </w:p>
    <w:p>
      <w:pPr>
        <w:pStyle w:val="Heading2"/>
      </w:pPr>
      <w:r>
        <w:t>Palliativmedizin bei fortgeschrittenem Krebs: MA-Versicherte nutzen mehr, aber bekommen weniger Chemotherapie</w:t>
      </w:r>
    </w:p>
    <w:p>
      <w:r>
        <w:rPr>
          <w:i/>
          <w:color w:val="666666"/>
          <w:sz w:val="18"/>
        </w:rPr>
        <w:t>Hu X et al.  ·  JAMA Netw Open  ·  01.09.2026  ·  PMID 42814462</w:t>
      </w:r>
    </w:p>
    <w:p>
      <w:r>
        <w:t>Kohortenstudie mit SEER/Medicare-Daten zu Palliativmedizin-, Systemtherapie- und Hospiz-Nutzung bei fortgeschrittenem Krebs (Mammakarzinom, CRC, Lungenkarzinom, Pankreaskarzinom, Prostatakarzinom) in Medicare Advantage (MA) vs. Traditional Medicare (TM), 2016–2021.</w:t>
      </w:r>
    </w:p>
    <w:p>
      <w:r>
        <w:rPr>
          <w:b/>
        </w:rPr>
        <w:t xml:space="preserve">Ergebnis: </w:t>
      </w:r>
      <w:r>
        <w:t>135.402 Patienten (32,3% MA, 67,7% TM). MA-Patienten: höhere 6-Monats-Kumulativ-Inzidenz Palliativmedizin (13,3% vs. 9,3%; aHR 1,39 [95%-KI 1,35–1,44]; p&lt;0,001), vor allem HMO-Pläne (aHR 1,66). Nach Oncologist-Matching: PA-Unterschied aufgelöst (aHR 1,05; p=0,19), aber MA-Patienten hatten weniger Systemtherapie (−5,4 Prozentpunkte) und mehr Hospiz (+3,4 Prozentpunkte), persistent nach Matching.</w:t>
      </w:r>
    </w:p>
    <w:p>
      <w:r>
        <w:rPr>
          <w:b/>
          <w:sz w:val="19"/>
        </w:rPr>
        <w:t xml:space="preserve">Übertragbarkeit: </w:t>
      </w:r>
      <w:r>
        <w:rPr>
          <w:sz w:val="19"/>
        </w:rPr>
        <w:t>US-Daten; Frage zur Versorgungssteuerung systemabhängig, aber Palliativmedizin-Integration relevant.</w:t>
      </w:r>
    </w:p>
    <w:p>
      <w:r>
        <w:rPr>
          <w:color w:val="5A7D3A"/>
          <w:sz w:val="18"/>
        </w:rPr>
        <w:t>https://pubmed.ncbi.nlm.nih.gov/42814462/</w:t>
      </w:r>
    </w:p>
    <w:p>
      <w:pPr>
        <w:pStyle w:val="Heading1"/>
      </w:pPr>
      <w:r>
        <w:t>Aufgenommen am 02.10.2026</w:t>
      </w:r>
    </w:p>
    <w:p>
      <w:pPr>
        <w:pStyle w:val="Heading2"/>
      </w:pPr>
      <w:r>
        <w:t>Kosteffektivität konservativer Sauerstofftherapie bei beatmeten Intensivpatienten</w:t>
      </w:r>
    </w:p>
    <w:p>
      <w:r>
        <w:rPr>
          <w:i/>
          <w:color w:val="666666"/>
          <w:sz w:val="18"/>
        </w:rPr>
        <w:t>Zhu Z et al.  ·  Value Health  ·  01.10.2026  ·  PMID 42822832</w:t>
      </w:r>
    </w:p>
    <w:p>
      <w:r>
        <w:t>Eine ökonomische Evaluation der UK-ROX-Studie verglich konservative versus übliche Sauerstofftherapie bei invasiv beatmeten Patienten hinsichtlich Kosten, Lebensqualität und QALY-Gewinne über 90 Tage.</w:t>
      </w:r>
    </w:p>
    <w:p>
      <w:r>
        <w:rPr>
          <w:b/>
        </w:rPr>
        <w:t xml:space="preserve">Ergebnis: </w:t>
      </w:r>
      <w:r>
        <w:t>Konservative Sauerstofftherapie war kostensparend (inkrementelle Kosten −968 £, 95% KI −2279–342 £) mit ähnlichen QALY-Gewinnen (inkrementell 0,001, 95% KI −0,002–0,003); das inkrementelle Nettomonetäre Benefit betrug 979 £, beide Schätzungen aber mit erheblicher Unsicherheit.</w:t>
      </w:r>
    </w:p>
    <w:p>
      <w:r>
        <w:rPr>
          <w:b/>
          <w:sz w:val="19"/>
        </w:rPr>
        <w:t xml:space="preserve">Übertragbarkeit: </w:t>
      </w:r>
      <w:r>
        <w:rPr>
          <w:sz w:val="19"/>
        </w:rPr>
        <w:t>UK-Daten; Fragestellung zu ICU-Managementprozessen und Kosteneffektivität systemunabhängig bedeutsam</w:t>
      </w:r>
    </w:p>
    <w:p>
      <w:r>
        <w:rPr>
          <w:color w:val="5A7D3A"/>
          <w:sz w:val="18"/>
        </w:rPr>
        <w:t>https://pubmed.ncbi.nlm.nih.gov/42822832/</w:t>
      </w:r>
    </w:p>
    <w:p>
      <w:pPr>
        <w:pStyle w:val="Heading2"/>
      </w:pPr>
      <w:r>
        <w:t>Sonelokimab bei moderater bis schwerer Hidradenitis suppurativa</w:t>
      </w:r>
    </w:p>
    <w:p>
      <w:r>
        <w:rPr>
          <w:i/>
          <w:color w:val="666666"/>
          <w:sz w:val="18"/>
        </w:rPr>
        <w:t>Kimball AB et al.  ·  J Am Acad Dermatol  ·  01.10.2026  ·  PMID 42822776</w:t>
      </w:r>
    </w:p>
    <w:p>
      <w:r>
        <w:t>Phase-2-Studie (MIRA) zur Wirksamkeit und Sicherheit des IL-17A/F-inhibierenden Nanobody Sonelokimab versus Placebo bei 234 Patienten mit Hidradenitis suppurativa.</w:t>
      </w:r>
    </w:p>
    <w:p>
      <w:r>
        <w:rPr>
          <w:b/>
        </w:rPr>
        <w:t xml:space="preserve">Ergebnis: </w:t>
      </w:r>
      <w:r>
        <w:t>Sonelokimab 120 mg erreichte HiSCR75 bei 43% (p&lt;0,001) und 240 mg bei 35% (p=0,007) versus Placebo 15%; Placebo-adjustierte Response bei Woche 12 und Erhalt oder Verbesserung bis Woche 24; keine neuen Sicherheitssignale.</w:t>
      </w:r>
    </w:p>
    <w:p>
      <w:r>
        <w:rPr>
          <w:b/>
          <w:sz w:val="19"/>
        </w:rPr>
        <w:t xml:space="preserve">Übertragbarkeit: </w:t>
      </w:r>
      <w:r>
        <w:rPr>
          <w:sz w:val="19"/>
        </w:rPr>
        <w:t>Internationale Studie; neue therapeutische Option, Fragestellung zur klinischen Wirksamkeit systemunabhängig</w:t>
      </w:r>
    </w:p>
    <w:p>
      <w:r>
        <w:rPr>
          <w:color w:val="5A7D3A"/>
          <w:sz w:val="18"/>
        </w:rPr>
        <w:t>https://pubmed.ncbi.nlm.nih.gov/42822776/</w:t>
      </w:r>
    </w:p>
    <w:p>
      <w:pPr>
        <w:pStyle w:val="Heading2"/>
      </w:pPr>
      <w:r>
        <w:t>Insulindosierung im Alltag: Kohlenhydratberechnung bei Typ-1-Diabetes</w:t>
      </w:r>
    </w:p>
    <w:p>
      <w:r>
        <w:rPr>
          <w:i/>
          <w:color w:val="666666"/>
          <w:sz w:val="18"/>
        </w:rPr>
        <w:t>Everett EM et al.  ·  Endocr Pract  ·  01.10.2026  ·  PMID 42822598</w:t>
      </w:r>
    </w:p>
    <w:p>
      <w:r>
        <w:t>Versorgungsforschungsstudie mit 903 Erwachsenen mit Typ-1-Diabetes zur Charakterisierung realer Insulindosierungsstrategien, Abweichungen zwischen Patientenangaben und dokumentierten Vorgaben sowie Nutzung von Smartphone-Apps zur Kohlenhydratberechnung.</w:t>
      </w:r>
    </w:p>
    <w:p>
      <w:r>
        <w:rPr>
          <w:b/>
        </w:rPr>
        <w:t xml:space="preserve">Ergebnis: </w:t>
      </w:r>
      <w:r>
        <w:t>54% berichteten Kohlenhydratberechnung, 39% erfahrungsbasierte Schätzung, 2% Festdosierung; HbA1c unterschied sich nicht zwischen Strategien; 51% nutzten Apps niemals; Hauptbarrieren waren Memorisation häufiger Lebensmittel und wahrgenommene Zeitbelastung.</w:t>
      </w:r>
    </w:p>
    <w:p>
      <w:r>
        <w:rPr>
          <w:b/>
          <w:sz w:val="19"/>
        </w:rPr>
        <w:t xml:space="preserve">Übertragbarkeit: </w:t>
      </w:r>
      <w:r>
        <w:rPr>
          <w:sz w:val="19"/>
        </w:rPr>
        <w:t>USA, aber Versorgungsforschung zu praktischen Diabetesmanagement-Strategien und Patient-Reported-Outcomes übertragbar</w:t>
      </w:r>
    </w:p>
    <w:p>
      <w:r>
        <w:rPr>
          <w:color w:val="5A7D3A"/>
          <w:sz w:val="18"/>
        </w:rPr>
        <w:t>https://pubmed.ncbi.nlm.nih.gov/42822598/</w:t>
      </w:r>
    </w:p>
    <w:p>
      <w:pPr>
        <w:pStyle w:val="Heading2"/>
      </w:pPr>
      <w:r>
        <w:t>Virtual Nursing in der Notaufnahme: Dokumentation und Unterbrechungen</w:t>
      </w:r>
    </w:p>
    <w:p>
      <w:r>
        <w:rPr>
          <w:i/>
          <w:color w:val="666666"/>
          <w:sz w:val="18"/>
        </w:rPr>
        <w:t>Khairat S et al.  ·  J Am Med Inform Assoc  ·  01.10.2026  ·  PMID 42821433</w:t>
      </w:r>
    </w:p>
    <w:p>
      <w:r>
        <w:t>Nicht-randomisierte Kohortenstudie zur Auswirkung von Virtual Nursing auf Dokumentationsvollständigkeit, Aufnahmeuntersuchungsdauer und Arbeitsunterbrechungen bei stationär aufgenommenen Patienten.</w:t>
      </w:r>
    </w:p>
    <w:p>
      <w:r>
        <w:rPr>
          <w:b/>
        </w:rPr>
        <w:t xml:space="preserve">Ergebnis: </w:t>
      </w:r>
      <w:r>
        <w:t>Virtual Nursing war mit 3,16 Minuten längerer Aufnahmedauer verbunden, aber signifikant mehr abgeschlossenen Aufnahmeuntersuchungsaufgaben und signifikant weniger Unterbrechungen im Vergleich zu persönlichen Aufnahmen.</w:t>
      </w:r>
    </w:p>
    <w:p>
      <w:r>
        <w:rPr>
          <w:b/>
          <w:sz w:val="19"/>
        </w:rPr>
        <w:t xml:space="preserve">Übertragbarkeit: </w:t>
      </w:r>
      <w:r>
        <w:rPr>
          <w:sz w:val="19"/>
        </w:rPr>
        <w:t>USA; Versorgungsprozess und Workflow-Optimierung systemunabhängig relevant</w:t>
      </w:r>
    </w:p>
    <w:p>
      <w:r>
        <w:rPr>
          <w:color w:val="5A7D3A"/>
          <w:sz w:val="18"/>
        </w:rPr>
        <w:t>https://pubmed.ncbi.nlm.nih.gov/42821433/</w:t>
      </w:r>
    </w:p>
    <w:p>
      <w:pPr>
        <w:pStyle w:val="Heading2"/>
      </w:pPr>
      <w:r>
        <w:t>Tuberkulöse Spondylodiszitis in Deutschland: Epidemiologie und Verlauf</w:t>
      </w:r>
    </w:p>
    <w:p>
      <w:r>
        <w:rPr>
          <w:i/>
          <w:color w:val="666666"/>
          <w:sz w:val="18"/>
        </w:rPr>
        <w:t>Lang S et al.  ·  Global Spine J  ·  01.10.2026  ·  PMID 42820646</w:t>
      </w:r>
    </w:p>
    <w:p>
      <w:r>
        <w:t>Bevölkerungsgestützte DRG-Analyse zur stationären Last, Behandlungsmuster und Krankenhaussterblichkeit der spinalen Tuberkulose in Deutschland 2019–2025 während demografischen Wandels.</w:t>
      </w:r>
    </w:p>
    <w:p>
      <w:r>
        <w:rPr>
          <w:b/>
        </w:rPr>
        <w:t xml:space="preserve">Ergebnis: </w:t>
      </w:r>
      <w:r>
        <w:t>Stabile Hospitalisierungsraten (ASR 0,11–0,14/100.000; APC −3,1%, p=0,14); überwiegend männliche Patienten (70,3%), Alter 18–39 Jahre (56–69%); Krankenhausfallletalität &lt;0,5%; keine Erhöhung trotz 43% Anstieg der ausländischen Bevölkerung; operative DRG-Zuweisung variabel (13,5–42,2%).</w:t>
      </w:r>
    </w:p>
    <w:p>
      <w:r>
        <w:rPr>
          <w:b/>
          <w:sz w:val="19"/>
        </w:rPr>
        <w:t xml:space="preserve">Übertragbarkeit: </w:t>
      </w:r>
      <w:r>
        <w:rPr>
          <w:sz w:val="19"/>
        </w:rPr>
        <w:t>Deutsche Routinedaten; epidemiologisch und systemisch direkt anwendbar</w:t>
      </w:r>
    </w:p>
    <w:p>
      <w:r>
        <w:rPr>
          <w:color w:val="5A7D3A"/>
          <w:sz w:val="18"/>
        </w:rPr>
        <w:t>https://pubmed.ncbi.nlm.nih.gov/42820646/</w:t>
      </w:r>
    </w:p>
    <w:p>
      <w:pPr>
        <w:pStyle w:val="Heading2"/>
      </w:pPr>
      <w:r>
        <w:t>Psychische Anpassung an Stigma bei Hauterkrankungen im jungen Erwachsenenalter</w:t>
      </w:r>
    </w:p>
    <w:p>
      <w:r>
        <w:rPr>
          <w:i/>
          <w:color w:val="666666"/>
          <w:sz w:val="18"/>
        </w:rPr>
        <w:t>Stuhlmann CFZ et al.  ·  Br J Health Psychol  ·  Nov. 2026  ·  PMID 42820641</w:t>
      </w:r>
    </w:p>
    <w:p>
      <w:r>
        <w:t>Querschnittstudie mit 195 jungen Erwachsenen (Psoriasis 55%, atopische Dermatitis 23%, Hidradenitis suppurativa 22%) zu indirekten Effekten internalisierter Stigma in der Beziehung zwischen sozialer Stigma und psychosozialer Anpassung.</w:t>
      </w:r>
    </w:p>
    <w:p>
      <w:r>
        <w:rPr>
          <w:b/>
        </w:rPr>
        <w:t xml:space="preserve">Ergebnis: </w:t>
      </w:r>
      <w:r>
        <w:t>Signifikante indirekte Effekte internalisierter Stigma auf Beziehungen zwischen sozialer Stigma und allen Anpassungsergebnissen (p's&lt;0,01, R²=0,10–0,64); internalisierte Stigma als zentraler Treiber psychischer Belastung, Sozialsymptome und Aktivitätsreduktion.</w:t>
      </w:r>
    </w:p>
    <w:p>
      <w:r>
        <w:rPr>
          <w:b/>
          <w:sz w:val="19"/>
        </w:rPr>
        <w:t xml:space="preserve">Übertragbarkeit: </w:t>
      </w:r>
      <w:r>
        <w:rPr>
          <w:sz w:val="19"/>
        </w:rPr>
        <w:t>Deutschland (Hamburg); hochgradig übertragbar auf deutsches Versorgungssystem</w:t>
      </w:r>
    </w:p>
    <w:p>
      <w:r>
        <w:rPr>
          <w:color w:val="5A7D3A"/>
          <w:sz w:val="18"/>
        </w:rPr>
        <w:t>https://pubmed.ncbi.nlm.nih.gov/42820641/</w:t>
      </w:r>
    </w:p>
    <w:p>
      <w:pPr>
        <w:pStyle w:val="Heading1"/>
      </w:pPr>
      <w:r>
        <w:t>Aufgenommen am 01.10.2026</w:t>
      </w:r>
    </w:p>
    <w:p>
      <w:pPr>
        <w:pStyle w:val="Heading2"/>
      </w:pPr>
      <w:r>
        <w:t>Psychometric validation of German Self-efficacy Scale in hip arthroplasty patients</w:t>
      </w:r>
    </w:p>
    <w:p>
      <w:r>
        <w:rPr>
          <w:i/>
          <w:color w:val="666666"/>
          <w:sz w:val="18"/>
        </w:rPr>
        <w:t>Mooiweer Y et al.  ·  Z Evid Fortbild Qual Gesundhwes  ·  30.09.2026  ·  PMID 42816197</w:t>
      </w:r>
    </w:p>
    <w:p>
      <w:r>
        <w:t>Studie validierte die German Self-efficacy Expectation Scale (SES-G) als Messinstrument für Selbsteffizienz bei Patienten mit Hüftgelenksersatz.</w:t>
      </w:r>
    </w:p>
    <w:p>
      <w:r>
        <w:rPr>
          <w:b/>
        </w:rPr>
        <w:t xml:space="preserve">Ergebnis: </w:t>
      </w:r>
      <w:r>
        <w:t>Exploratory Faktor-Analyse zeigte 3 Komponenten, erklärt 75% der Varianz; interne Konsistenz (MacDonald's Omega = 0,81) und Test-Retest-Reliabilität (ICC 0,71) waren gut; 80% der Hypothesen zur Konstruktvalidität bestätigt. SES-G ist valides und reliables Instrument.</w:t>
      </w:r>
    </w:p>
    <w:p>
      <w:r>
        <w:rPr>
          <w:b/>
          <w:sz w:val="19"/>
        </w:rPr>
        <w:t xml:space="preserve">Übertragbarkeit: </w:t>
      </w:r>
      <w:r>
        <w:rPr>
          <w:sz w:val="19"/>
        </w:rPr>
        <w:t>Deutschland, validierte Messskala für deutschsprachige Patienten</w:t>
      </w:r>
    </w:p>
    <w:p>
      <w:r>
        <w:rPr>
          <w:color w:val="5A7D3A"/>
          <w:sz w:val="18"/>
        </w:rPr>
        <w:t>https://pubmed.ncbi.nlm.nih.gov/42816197/</w:t>
      </w:r>
    </w:p>
    <w:p>
      <w:pPr>
        <w:pStyle w:val="Heading2"/>
      </w:pPr>
      <w:r>
        <w:t>Quality improvement für Familienplanung im Wochenbett in Äthiopien</w:t>
      </w:r>
    </w:p>
    <w:p>
      <w:r>
        <w:rPr>
          <w:i/>
          <w:color w:val="666666"/>
          <w:sz w:val="18"/>
        </w:rPr>
        <w:t>Tesfaye B et al.  ·  BMJ Open Qual  ·  30.09.2026  ·  PMID 42816055</w:t>
      </w:r>
    </w:p>
    <w:p>
      <w:r>
        <w:t>Qualitätsverbesserungsprojekt mit PDSA-Zyklen zur Steigerung der unmittelbaren postpartalen Familienplanung in einem äthiopischen Lehrkrankenhaus.</w:t>
      </w:r>
    </w:p>
    <w:p>
      <w:r>
        <w:rPr>
          <w:b/>
        </w:rPr>
        <w:t xml:space="preserve">Ergebnis: </w:t>
      </w:r>
      <w:r>
        <w:t>Uptake der postpartalen Familienplanung stieg von 10,2% auf 45,8% über 14 Wochen; Implantate waren die häufigste Methode (54,2%); Hürden waren mangelhafte Beratung, begrenzte Fortbildung und schlechte Dokumentation.</w:t>
      </w:r>
    </w:p>
    <w:p>
      <w:r>
        <w:rPr>
          <w:b/>
          <w:sz w:val="19"/>
        </w:rPr>
        <w:t xml:space="preserve">Übertragbarkeit: </w:t>
      </w:r>
      <w:r>
        <w:rPr>
          <w:sz w:val="19"/>
        </w:rPr>
        <w:t>Nur bedingt übertragbar, Gesundheitssystem mit stark unterschiedlicher Ressourcenlage</w:t>
      </w:r>
    </w:p>
    <w:p>
      <w:r>
        <w:rPr>
          <w:color w:val="5A7D3A"/>
          <w:sz w:val="18"/>
        </w:rPr>
        <w:t>https://pubmed.ncbi.nlm.nih.gov/42816055/</w:t>
      </w:r>
    </w:p>
    <w:p>
      <w:pPr>
        <w:pStyle w:val="Heading2"/>
      </w:pPr>
      <w:r>
        <w:t>Generative KI-Adoption in psychotherapeutischer Praxis</w:t>
      </w:r>
    </w:p>
    <w:p>
      <w:r>
        <w:rPr>
          <w:i/>
          <w:color w:val="666666"/>
          <w:sz w:val="18"/>
        </w:rPr>
        <w:t>Blease C et al.  ·  JMIR Ment Health  ·  30.09.2026  ·  PMID 42815888</w:t>
      </w:r>
    </w:p>
    <w:p>
      <w:r>
        <w:t>Internationale Querschnittsstudie zu aktueller Nutzung von Generative-AI-Tools (ChatGPT, Gemini, Copilot) durch Psychotherapeuten in 30 Ländern.</w:t>
      </w:r>
    </w:p>
    <w:p>
      <w:r>
        <w:rPr>
          <w:b/>
        </w:rPr>
        <w:t xml:space="preserve">Ergebnis: </w:t>
      </w:r>
      <w:r>
        <w:t>54,6% (n=418/766) nutzen mindestens ein GenAI-Tool klinisch; ChatGPT am häufigsten (84,7%); Top-Anwendungen: Behandlungsplanung (41,9%), Administrative Aufgaben (41,4%), Psychoedukation (39,7%); 82,8% berichten Arbeitsbelastungsreduktion; nur 18,1% erhielten institutionelle Förderung; 81,1% erhielten keine AI-Fortbildung.</w:t>
      </w:r>
    </w:p>
    <w:p>
      <w:r>
        <w:rPr>
          <w:b/>
          <w:sz w:val="19"/>
        </w:rPr>
        <w:t xml:space="preserve">Übertragbarkeit: </w:t>
      </w:r>
      <w:r>
        <w:rPr>
          <w:sz w:val="19"/>
        </w:rPr>
        <w:t>Systemunabhängig, Fachfrage zu Technologieeinsatz in Praxis global relevant</w:t>
      </w:r>
    </w:p>
    <w:p>
      <w:r>
        <w:rPr>
          <w:color w:val="5A7D3A"/>
          <w:sz w:val="18"/>
        </w:rPr>
        <w:t>https://pubmed.ncbi.nlm.nih.gov/42815888/</w:t>
      </w:r>
    </w:p>
    <w:p>
      <w:pPr>
        <w:pStyle w:val="Heading2"/>
      </w:pPr>
      <w:r>
        <w:t>Discrete Choice Experiment zu Präferenzen für Carrier Screening in Singapur</w:t>
      </w:r>
    </w:p>
    <w:p>
      <w:r>
        <w:rPr>
          <w:i/>
          <w:color w:val="666666"/>
          <w:sz w:val="18"/>
        </w:rPr>
        <w:t>Blythe R et al.  ·  Patient  ·  30.09.2026  ·  PMID 42814378</w:t>
      </w:r>
    </w:p>
    <w:p>
      <w:r>
        <w:t>Stated-Preference-Studie mit 500 Singapurern zu bevorzugten Merkmalen eines nationalen Carrier-Screening-Programms für genetische Erkrankungen.</w:t>
      </w:r>
    </w:p>
    <w:p>
      <w:r>
        <w:rPr>
          <w:b/>
        </w:rPr>
        <w:t xml:space="preserve">Ergebnis: </w:t>
      </w:r>
      <w:r>
        <w:t>Bevorzugte niedrigere Kosten, breitere Krankheitspanels und kürzere Wartezeiten; vorhergesagte Uptake 85-90% kostenlos, 61-69% bei Zuzahlung von $1.200; nationale Budgetauswirkungen &lt;$13,1 Mio./Jahr abhängig von Programmdesign.</w:t>
      </w:r>
    </w:p>
    <w:p>
      <w:r>
        <w:rPr>
          <w:b/>
          <w:sz w:val="19"/>
        </w:rPr>
        <w:t xml:space="preserve">Übertragbarkeit: </w:t>
      </w:r>
      <w:r>
        <w:rPr>
          <w:sz w:val="19"/>
        </w:rPr>
        <w:t>Singapur, transferierbar für Screening-Programmgestaltung in ähnlichen Systemen</w:t>
      </w:r>
    </w:p>
    <w:p>
      <w:r>
        <w:rPr>
          <w:color w:val="5A7D3A"/>
          <w:sz w:val="18"/>
        </w:rPr>
        <w:t>https://pubmed.ncbi.nlm.nih.gov/42814378/</w:t>
      </w:r>
    </w:p>
    <w:p>
      <w:pPr>
        <w:pStyle w:val="Heading2"/>
      </w:pPr>
      <w:r>
        <w:t>Migräne-Versorgungslücke: qualitative Patientenperspektive</w:t>
      </w:r>
    </w:p>
    <w:p>
      <w:r>
        <w:rPr>
          <w:i/>
          <w:color w:val="666666"/>
          <w:sz w:val="18"/>
        </w:rPr>
        <w:t>Göbel CH et al.  ·  Pain Ther  ·  30.09.2026  ·  PMID 42814346</w:t>
      </w:r>
    </w:p>
    <w:p>
      <w:r>
        <w:t>Qualitative reflexive thematische Analyse von 446 Instagram/Facebook-Kommentaren zur Wahrnehmung von Migräne-Versorgung über 12 Jahre.</w:t>
      </w:r>
    </w:p>
    <w:p>
      <w:r>
        <w:rPr>
          <w:b/>
        </w:rPr>
        <w:t xml:space="preserve">Ergebnis: </w:t>
      </w:r>
      <w:r>
        <w:t>Patienten bestätigen medizinische Fortschritte (Migräne-spezifische Therapien, CGRP-Inhibitoren, spezialisierte Services), erleben diese aber als unvollständig umgesetzt; persistente Barrieren: Diagnoseverzögerung, ungleicher Zugang zu Spezialisten, Rückerstattungsbeschränkungen, Stigma, begrenzte gesellschaftliche Anerkennung. Kernkonzept: Migraine Care Gap zwischen biomedizinischer Innovation und Versorgungspraxis.</w:t>
      </w:r>
    </w:p>
    <w:p>
      <w:r>
        <w:rPr>
          <w:b/>
          <w:sz w:val="19"/>
        </w:rPr>
        <w:t xml:space="preserve">Übertragbarkeit: </w:t>
      </w:r>
      <w:r>
        <w:rPr>
          <w:sz w:val="19"/>
        </w:rPr>
        <w:t>Deutschland, Versorgungsforschung zu Patientenerleben von Innovationstransfer</w:t>
      </w:r>
    </w:p>
    <w:p>
      <w:r>
        <w:rPr>
          <w:color w:val="5A7D3A"/>
          <w:sz w:val="18"/>
        </w:rPr>
        <w:t>https://pubmed.ncbi.nlm.nih.gov/42814346/</w:t>
      </w:r>
    </w:p>
    <w:p>
      <w:pPr>
        <w:pStyle w:val="Heading2"/>
      </w:pPr>
      <w:r>
        <w:t>Kontextfaktoren und depressive Symptome: Postleitzahl-Datenverknüpfung in Deutschland</w:t>
      </w:r>
    </w:p>
    <w:p>
      <w:r>
        <w:rPr>
          <w:i/>
          <w:color w:val="666666"/>
          <w:sz w:val="18"/>
        </w:rPr>
        <w:t>Schoenweger P et al.  ·  Eur Arch Psychiatry Clin Neurosci  ·  30.09.2026  ·  PMID 42814112</w:t>
      </w:r>
    </w:p>
    <w:p>
      <w:r>
        <w:t>Querschnittsstudie, die individuelle POKAL-Umfragedaten (n=2.323) mit deutschen Routinedaten auf Postleitzahl-Ebene zu Depression verknüpfte.</w:t>
      </w:r>
    </w:p>
    <w:p>
      <w:r>
        <w:rPr>
          <w:b/>
        </w:rPr>
        <w:t xml:space="preserve">Ergebnis: </w:t>
      </w:r>
      <w:r>
        <w:t>Kontextfaktoren verbesserten Modellfit (AICc=13.640,80 vs. 13.718,24 nur Demografie); Area-level Deprivation zeigte beste einzelne Anpassung; Datenverknüpfung ist ressourcenschonend und technisch umsetzbar in German health research infrastructure. Räumliche Auflösung entscheidend für Assoziation.</w:t>
      </w:r>
    </w:p>
    <w:p>
      <w:r>
        <w:rPr>
          <w:b/>
          <w:sz w:val="19"/>
        </w:rPr>
        <w:t xml:space="preserve">Übertragbarkeit: </w:t>
      </w:r>
      <w:r>
        <w:rPr>
          <w:sz w:val="19"/>
        </w:rPr>
        <w:t>Deutsche Routinedaten, gesetzlich Versicherte, Versorgungsforschungs-Infrastruktur</w:t>
      </w:r>
    </w:p>
    <w:p>
      <w:r>
        <w:rPr>
          <w:color w:val="5A7D3A"/>
          <w:sz w:val="18"/>
        </w:rPr>
        <w:t>https://pubmed.ncbi.nlm.nih.gov/42814112/</w:t>
      </w:r>
    </w:p>
    <w:p>
      <w:pPr>
        <w:pStyle w:val="Heading1"/>
      </w:pPr>
      <w:r>
        <w:t>Aufgenommen am 30.09.2026</w:t>
      </w:r>
    </w:p>
    <w:p>
      <w:pPr>
        <w:pStyle w:val="Heading2"/>
      </w:pPr>
      <w:r>
        <w:t>Digitalisierung und Krankenhausperformance: Einfluss der elektronischen Dokumentation</w:t>
      </w:r>
    </w:p>
    <w:p>
      <w:r>
        <w:rPr>
          <w:i/>
          <w:color w:val="666666"/>
          <w:sz w:val="18"/>
        </w:rPr>
        <w:t>Remus P et al.  ·  J Med Internet Res  ·  29.09.2026  ·  PMID 42809839</w:t>
      </w:r>
    </w:p>
    <w:p>
      <w:r>
        <w:t>Longitudinale Analyse der Zusammenhänge zwischen technischer Digitalisierungsreife und finanziellen, operativen und Personalindikatoren in 70 niederländischen Krankenhäusern (2017–2023).</w:t>
      </w:r>
    </w:p>
    <w:p>
      <w:r>
        <w:rPr>
          <w:b/>
        </w:rPr>
        <w:t xml:space="preserve">Ergebnis: </w:t>
      </w:r>
      <w:r>
        <w:t>Fortgeschrittene digitale Reife war nicht signifikant mit verbesserter Profitabilität, Patientenvolumen oder Mitarbeiterfluktuation assoziiert (alle p&gt;0,05 nach Bonferroni-Korrektur); die Daten stützen das IT-Produktivitätsparadox.</w:t>
      </w:r>
    </w:p>
    <w:p>
      <w:r>
        <w:rPr>
          <w:b/>
          <w:sz w:val="19"/>
        </w:rPr>
        <w:t xml:space="preserve">Übertragbarkeit: </w:t>
      </w:r>
      <w:r>
        <w:rPr>
          <w:sz w:val="19"/>
        </w:rPr>
        <w:t>Niederlande, Sozialversicherungssystem mit Beitragsfinanzierung, vergleichbar mit Deutschland.</w:t>
      </w:r>
    </w:p>
    <w:p>
      <w:r>
        <w:rPr>
          <w:color w:val="5A7D3A"/>
          <w:sz w:val="18"/>
        </w:rPr>
        <w:t>https://pubmed.ncbi.nlm.nih.gov/42809839/</w:t>
      </w:r>
    </w:p>
    <w:p>
      <w:pPr>
        <w:pStyle w:val="Heading2"/>
      </w:pPr>
      <w:r>
        <w:t>Zeitbelastung (Time Toxicity) in der Krebsversorgung: Systematische Übersicht</w:t>
      </w:r>
    </w:p>
    <w:p>
      <w:r>
        <w:rPr>
          <w:i/>
          <w:color w:val="666666"/>
          <w:sz w:val="18"/>
        </w:rPr>
        <w:t>Wee IJY et al.  ·  Support Care Cancer  ·  29.09.2026  ·  PMID 42809115</w:t>
      </w:r>
    </w:p>
    <w:p>
      <w:r>
        <w:t>Systematische Übersicht von 56 Studien zur Definition und Messung der Zeitbelastung in der Krebsbehandlung (Inception bis März 2026).</w:t>
      </w:r>
    </w:p>
    <w:p>
      <w:r>
        <w:rPr>
          <w:b/>
        </w:rPr>
        <w:t xml:space="preserve">Ergebnis: </w:t>
      </w:r>
      <w:r>
        <w:t>Definitionen waren heterogen; 55,4 % definierten Zeitbelastung als direkte Gesundheitszeiten (Klinikbesuche, Behandlungen), 35,7 % als Zeit ohne Gesundheitswesen; nur 0 Studien nutzten Patientenperspektiven; systematisch sind noch prozessorientierte und patientenzentrierte Dimensionen unterrepräsentiert.</w:t>
      </w:r>
    </w:p>
    <w:p>
      <w:r>
        <w:rPr>
          <w:b/>
          <w:sz w:val="19"/>
        </w:rPr>
        <w:t xml:space="preserve">Übertragbarkeit: </w:t>
      </w:r>
      <w:r>
        <w:rPr>
          <w:sz w:val="19"/>
        </w:rPr>
        <w:t>Systemübergreifend relevant; Konzeptualisierung und Messqualität unabhängig von Landkontext.</w:t>
      </w:r>
    </w:p>
    <w:p>
      <w:r>
        <w:rPr>
          <w:color w:val="5A7D3A"/>
          <w:sz w:val="18"/>
        </w:rPr>
        <w:t>https://pubmed.ncbi.nlm.nih.gov/42809115/</w:t>
      </w:r>
    </w:p>
    <w:p>
      <w:pPr>
        <w:pStyle w:val="Heading2"/>
      </w:pPr>
      <w:r>
        <w:t>Kompetenzbasiertes Curriculum Allgemeinmedizin im Block-Praktikum: Lückenanalyse</w:t>
      </w:r>
    </w:p>
    <w:p>
      <w:r>
        <w:rPr>
          <w:i/>
          <w:color w:val="666666"/>
          <w:sz w:val="18"/>
        </w:rPr>
        <w:t>Schüle D et al.  ·  GMS J Med Educ  ·  15.09.2026  ·  PMID 42807621</w:t>
      </w:r>
    </w:p>
    <w:p>
      <w:r>
        <w:t>Gemischte Methoden-Studie an einem deutschen Universitätskrankenhaus zur Bewertung und Neukonzeption eines zweiwöchigen Allgemeinmedizin-Blockpraktikums anhand von NKLM 2.0 und EPAs.</w:t>
      </w:r>
    </w:p>
    <w:p>
      <w:r>
        <w:rPr>
          <w:b/>
        </w:rPr>
        <w:t xml:space="preserve">Ergebnis: </w:t>
      </w:r>
      <w:r>
        <w:t>Aktuelles Praktikum erreichte Gesamtnote 1,8 (SD 1,06), erhöhte das Interesse an Allgemeinmedizin aber nicht signifikant; fehlten: interprofessionelle Zusammenarbeit, Führungskompetenzen; vorgeschlagen wurde sechswöchiges longitudinales Modell mit Simulation und Hospitationen.</w:t>
      </w:r>
    </w:p>
    <w:p>
      <w:r>
        <w:rPr>
          <w:b/>
          <w:sz w:val="19"/>
        </w:rPr>
        <w:t xml:space="preserve">Übertragbarkeit: </w:t>
      </w:r>
      <w:r>
        <w:rPr>
          <w:sz w:val="19"/>
        </w:rPr>
        <w:t>Deutschland, Fokus auf medizinische Ausbildung und Lehrqualität.</w:t>
      </w:r>
    </w:p>
    <w:p>
      <w:r>
        <w:rPr>
          <w:color w:val="5A7D3A"/>
          <w:sz w:val="18"/>
        </w:rPr>
        <w:t>https://pubmed.ncbi.nlm.nih.gov/42807621/</w:t>
      </w:r>
    </w:p>
    <w:p>
      <w:pPr>
        <w:pStyle w:val="Heading2"/>
      </w:pPr>
      <w:r>
        <w:t>VISIONARA: Dezentrales kompetenzbasiertes Lernmodell in Hausarztpraxen</w:t>
      </w:r>
    </w:p>
    <w:p>
      <w:r>
        <w:rPr>
          <w:i/>
          <w:color w:val="666666"/>
          <w:sz w:val="18"/>
        </w:rPr>
        <w:t>Lübbert J et al.  ·  GMS J Med Educ  ·  15.09.2026  ·  PMID 42807235</w:t>
      </w:r>
    </w:p>
    <w:p>
      <w:r>
        <w:t>Konzeptentwicklung und geplante Pilotierung eines Programms für akademische Lehrpraxen (MRC-Framework), das strukturiertes kompetenzbasiertes Lernen direkt in den Versorgungsalltag der Allgemeinmedizin integriert.</w:t>
      </w:r>
    </w:p>
    <w:p>
      <w:r>
        <w:rPr>
          <w:b/>
        </w:rPr>
        <w:t xml:space="preserve">Ergebnis: </w:t>
      </w:r>
      <w:r>
        <w:t>Konzeptphase abgeschlossen; geplante Pilotphase wird Machbarkeit, Akzeptanz und Integrierbarkeit in Routinepraxen prüfen sowie personelle Ressourcen, Patientenzustimmung und logistische Hürden evaluieren.</w:t>
      </w:r>
    </w:p>
    <w:p>
      <w:r>
        <w:rPr>
          <w:b/>
          <w:sz w:val="19"/>
        </w:rPr>
        <w:t xml:space="preserve">Übertragbarkeit: </w:t>
      </w:r>
      <w:r>
        <w:rPr>
          <w:sz w:val="19"/>
        </w:rPr>
        <w:t>Deutschland, Modell für Primärversorgung und ärztliche Ausbildung direkt vor Ort.</w:t>
      </w:r>
    </w:p>
    <w:p>
      <w:r>
        <w:rPr>
          <w:color w:val="5A7D3A"/>
          <w:sz w:val="18"/>
        </w:rPr>
        <w:t>https://pubmed.ncbi.nlm.nih.gov/42807235/</w:t>
      </w:r>
    </w:p>
    <w:p>
      <w:pPr>
        <w:pStyle w:val="Heading2"/>
      </w:pPr>
      <w:r>
        <w:t>Facharztprüfung Allgemeinmedizin: Perspektiven von Prüfenden</w:t>
      </w:r>
    </w:p>
    <w:p>
      <w:r>
        <w:rPr>
          <w:i/>
          <w:color w:val="666666"/>
          <w:sz w:val="18"/>
        </w:rPr>
        <w:t>Dreher AC et al.  ·  GMS J Med Educ  ·  15.09.2026  ·  PMID 42807223</w:t>
      </w:r>
    </w:p>
    <w:p>
      <w:r>
        <w:t>Qualitative Explorationsstudie mit 12 Prüfenden aus 6 Bundesländern zu Stärken, Schwächen und Weiterentwicklungspotenzial der mündlichen Facharztprüfung.</w:t>
      </w:r>
    </w:p>
    <w:p>
      <w:r>
        <w:rPr>
          <w:b/>
        </w:rPr>
        <w:t xml:space="preserve">Ergebnis: </w:t>
      </w:r>
      <w:r>
        <w:t>Prüfende beschrieben Stärken: Mindeststandard-Sicherung, Effizienz; Schwächen: begrenzte Aussagekraft für komplexe Handlungskompetenzen; Verbesserungen: Prüfendenschulungen, gemeinsame Erwartungshorizonte, praktische Prüfungskomponenten, longitudinale Assessments.</w:t>
      </w:r>
    </w:p>
    <w:p>
      <w:r>
        <w:rPr>
          <w:b/>
          <w:sz w:val="19"/>
        </w:rPr>
        <w:t xml:space="preserve">Übertragbarkeit: </w:t>
      </w:r>
      <w:r>
        <w:rPr>
          <w:sz w:val="19"/>
        </w:rPr>
        <w:t>Deutschland, direkt auf Facharztausbildung und Qualitätssicherung bezogen.</w:t>
      </w:r>
    </w:p>
    <w:p>
      <w:r>
        <w:rPr>
          <w:color w:val="5A7D3A"/>
          <w:sz w:val="18"/>
        </w:rPr>
        <w:t>https://pubmed.ncbi.nlm.nih.gov/42807223/</w:t>
      </w:r>
    </w:p>
    <w:p>
      <w:pPr>
        <w:pStyle w:val="Heading2"/>
      </w:pPr>
      <w:r>
        <w:t>Früherkennung und Reha bei Muskelskelettstörungen reduzieren Arbeitsunfähigkeit?</w:t>
      </w:r>
    </w:p>
    <w:p>
      <w:r>
        <w:rPr>
          <w:i/>
          <w:color w:val="666666"/>
          <w:sz w:val="18"/>
        </w:rPr>
        <w:t>Bornhöft L et al.  ·  BMC Health Serv Res  ·  26.09.2026  ·  PMID 42806350</w:t>
      </w:r>
    </w:p>
    <w:p>
      <w:r>
        <w:t>Ökonomische Analyse eines randomisierten Vergleichs zwischen teambasierter Primärversorgungsrehabilitation und Standardversorgung für Patienten mit erhöhtem Fehlzeitrisiko in Schweden (N=526).</w:t>
      </w:r>
    </w:p>
    <w:p>
      <w:r>
        <w:rPr>
          <w:b/>
        </w:rPr>
        <w:t xml:space="preserve">Ergebnis: </w:t>
      </w:r>
      <w:r>
        <w:t>Team-Rehabilitation und Standardversorgung führten zu ähnlichen QALYs über ein Jahr; die Wahrscheinlichkeit der Kosteneffektivität lag bei etwa 50 % (schwedische Schwellenwerte 43.000–86.000 €/QALY); Selektion bedürftiger Patienten muss verbessert werden.</w:t>
      </w:r>
    </w:p>
    <w:p>
      <w:r>
        <w:rPr>
          <w:b/>
          <w:sz w:val="19"/>
        </w:rPr>
        <w:t xml:space="preserve">Übertragbarkeit: </w:t>
      </w:r>
      <w:r>
        <w:rPr>
          <w:sz w:val="19"/>
        </w:rPr>
        <w:t>Schweden, steuerfinanziert und hausarztgesteuert, aber Prozesse und Arbeitsfähigkeit sind übertragbar.</w:t>
      </w:r>
    </w:p>
    <w:p>
      <w:r>
        <w:rPr>
          <w:color w:val="5A7D3A"/>
          <w:sz w:val="18"/>
        </w:rPr>
        <w:t>https://pubmed.ncbi.nlm.nih.gov/42806350/</w:t>
      </w:r>
    </w:p>
    <w:p>
      <w:pPr>
        <w:pStyle w:val="Heading1"/>
      </w:pPr>
      <w:r>
        <w:t>Aufgenommen am 29.09.2026</w:t>
      </w:r>
    </w:p>
    <w:p>
      <w:pPr>
        <w:pStyle w:val="Heading2"/>
      </w:pPr>
      <w:r>
        <w:t>Kosteneffektivität eines Diabetes-Präventionsprogramms in Kanada</w:t>
      </w:r>
    </w:p>
    <w:p>
      <w:r>
        <w:rPr>
          <w:i/>
          <w:color w:val="666666"/>
          <w:sz w:val="18"/>
        </w:rPr>
        <w:t>Gupta N et al.  ·  CMAJ  ·  27.09.2026  ·  PMID 42805627</w:t>
      </w:r>
    </w:p>
    <w:p>
      <w:r>
        <w:t>Gesundheitsökonomisches Modell zum NHS-England-DPP in Quebec und Ontario über 35 Jahre.</w:t>
      </w:r>
    </w:p>
    <w:p>
      <w:r>
        <w:rPr>
          <w:b/>
        </w:rPr>
        <w:t xml:space="preserve">Ergebnis: </w:t>
      </w:r>
      <w:r>
        <w:t>DPP sparte 244 CAD pro Teilnehmer in Quebec und 242 CAD in Ontario (95% UI -1.017 bis 408). Gewinn: 0,060 QALYs pro Person (95% UI 0,024-0,094). In 74,8% der Simulationen war DPP kostengünstiger und wirksamer.</w:t>
      </w:r>
    </w:p>
    <w:p>
      <w:r>
        <w:rPr>
          <w:b/>
          <w:sz w:val="19"/>
        </w:rPr>
        <w:t xml:space="preserve">Übertragbarkeit: </w:t>
      </w:r>
      <w:r>
        <w:rPr>
          <w:sz w:val="19"/>
        </w:rPr>
        <w:t>Kanada ähnlich deutschem Sozialversicherungssystem, vergleichbare Kostenkalkulation möglich.</w:t>
      </w:r>
    </w:p>
    <w:p>
      <w:r>
        <w:rPr>
          <w:color w:val="5A7D3A"/>
          <w:sz w:val="18"/>
        </w:rPr>
        <w:t>https://pubmed.ncbi.nlm.nih.gov/42805627/</w:t>
      </w:r>
    </w:p>
    <w:p>
      <w:pPr>
        <w:pStyle w:val="Heading2"/>
      </w:pPr>
      <w:r>
        <w:t>Physiotherapie nach COVID-19 in der niederländischen Primärversorgung: Inanspruchnahme und Trends</w:t>
      </w:r>
    </w:p>
    <w:p>
      <w:r>
        <w:rPr>
          <w:i/>
          <w:color w:val="666666"/>
          <w:sz w:val="18"/>
        </w:rPr>
        <w:t>Veldkamp R et al.  ·  JMIR Public Health Surveill  ·  28.09.2026  ·  PMID 42804191</w:t>
      </w:r>
    </w:p>
    <w:p>
      <w:r>
        <w:t>Retrospektive Kohortenstudie zur Inanspruchnahme von Physiotherapie nach COVID-19 in niederländischen Hausarztpraxen über 2,5 Jahre der Pandemie.</w:t>
      </w:r>
    </w:p>
    <w:p>
      <w:r>
        <w:rPr>
          <w:b/>
        </w:rPr>
        <w:t xml:space="preserve">Ergebnis: </w:t>
      </w:r>
      <w:r>
        <w:t>Unter 71.152 Behandlungsverläufen hatten abgeschlossene Fälle eine mediane Dauer von 24 Wochen mit 28 Konsultationen. Die Physiotherapie-Inanspruchnahme sank signifikant über die Zeit (p&lt;0,001), mit maximalen Konsultationen bei 60-79-Jährigen und 1,5 Wochen längerer Behandlung bei Frauen (p&lt;0,001). In 83% waren Baseline-Werte auf Outcome-Messungen erfasst (6-Minuten-Gehtest: 420 m [340-490]).</w:t>
      </w:r>
    </w:p>
    <w:p>
      <w:r>
        <w:rPr>
          <w:b/>
          <w:sz w:val="19"/>
        </w:rPr>
        <w:t xml:space="preserve">Übertragbarkeit: </w:t>
      </w:r>
      <w:r>
        <w:rPr>
          <w:sz w:val="19"/>
        </w:rPr>
        <w:t>Niederländische Routinedaten aus Primärversorgung, direkt auf deutsches System übertragbar.</w:t>
      </w:r>
    </w:p>
    <w:p>
      <w:r>
        <w:rPr>
          <w:color w:val="5A7D3A"/>
          <w:sz w:val="18"/>
        </w:rPr>
        <w:t>https://pubmed.ncbi.nlm.nih.gov/42804191/</w:t>
      </w:r>
    </w:p>
    <w:p>
      <w:pPr>
        <w:pStyle w:val="Heading2"/>
      </w:pPr>
      <w:r>
        <w:t>Telepharmacy-Services und Notfallaufnahme-Inanspruchnahme: Systematische Übersicht</w:t>
      </w:r>
    </w:p>
    <w:p>
      <w:r>
        <w:rPr>
          <w:i/>
          <w:color w:val="666666"/>
          <w:sz w:val="18"/>
        </w:rPr>
        <w:t>Barwick AL et al.  ·  J Telemed Telecare  ·  28.09.2026  ·  PMID 42804181</w:t>
      </w:r>
    </w:p>
    <w:p>
      <w:r>
        <w:t>Metaanalyse von 17 RCTs zur Wirksamkeit von Telepharmacy-Interventionen auf Notaufnahme-Besuche und Wiederaufnahmen.</w:t>
      </w:r>
    </w:p>
    <w:p>
      <w:r>
        <w:rPr>
          <w:b/>
        </w:rPr>
        <w:t xml:space="preserve">Ergebnis: </w:t>
      </w:r>
      <w:r>
        <w:t>Telepharmacy war mit einer 6% absoluten Reduktion von 30-Tage-Notaufnahme-Besuchen assoziiert (Risikodifferenz=0,06, 95% CI: 0,02-0,10; p=0,005). Keine signifikante Reduktion bei ungeplanten Wiederaufnahmen.</w:t>
      </w:r>
    </w:p>
    <w:p>
      <w:r>
        <w:rPr>
          <w:b/>
          <w:sz w:val="19"/>
        </w:rPr>
        <w:t xml:space="preserve">Übertragbarkeit: </w:t>
      </w:r>
      <w:r>
        <w:rPr>
          <w:sz w:val="19"/>
        </w:rPr>
        <w:t>Heterogene RCTs international, Fragestellung zum Einsatz von Telemedizin systemunabhängig relevant.</w:t>
      </w:r>
    </w:p>
    <w:p>
      <w:r>
        <w:rPr>
          <w:color w:val="5A7D3A"/>
          <w:sz w:val="18"/>
        </w:rPr>
        <w:t>https://pubmed.ncbi.nlm.nih.gov/42804181/</w:t>
      </w:r>
    </w:p>
    <w:p>
      <w:pPr>
        <w:pStyle w:val="Heading2"/>
      </w:pPr>
      <w:r>
        <w:t>Intra-Session-Reliabilität des Imagined Timed Up and Go Tests bei älteren Erwachsenen</w:t>
      </w:r>
    </w:p>
    <w:p>
      <w:r>
        <w:rPr>
          <w:i/>
          <w:color w:val="666666"/>
          <w:sz w:val="18"/>
        </w:rPr>
        <w:t>Inamura T et al.  ·  Physiother Theory Pract  ·  28.09.2026  ·  PMID 42802900</w:t>
      </w:r>
    </w:p>
    <w:p>
      <w:r>
        <w:t>Reliabilitätsstudie (85 Probanden) zum Imagined Timed Up and Go Test zur Erfassung von Schätzfehlern der physischen Leistung.</w:t>
      </w:r>
    </w:p>
    <w:p>
      <w:r>
        <w:rPr>
          <w:b/>
        </w:rPr>
        <w:t xml:space="preserve">Ergebnis: </w:t>
      </w:r>
      <w:r>
        <w:t>Intra-Rater-Reliabilität moderat (ICC_A,1: 0,69-0,73); simultane Inter-Rater-Reliabilität exzellent (ICC_2,2≈0,994; ICC_2,1: 0,982-0,984). Intra-Rater MDC95: 2,3 s (35,1%); Inter-Rater MDC95: 0,3 s (4,9%). Probanden übersch ätzen ihre Fähigkeiten (TUG 6,0 s vs. ITUG 4,0 s).</w:t>
      </w:r>
    </w:p>
    <w:p>
      <w:r>
        <w:rPr>
          <w:b/>
          <w:sz w:val="19"/>
        </w:rPr>
        <w:t xml:space="preserve">Übertragbarkeit: </w:t>
      </w:r>
      <w:r>
        <w:rPr>
          <w:sz w:val="19"/>
        </w:rPr>
        <w:t>Japanische Daten, klinische Metriken systemunabhängig, Validierung vor Routineeinsatz relevant.</w:t>
      </w:r>
    </w:p>
    <w:p>
      <w:r>
        <w:rPr>
          <w:color w:val="5A7D3A"/>
          <w:sz w:val="18"/>
        </w:rPr>
        <w:t>https://pubmed.ncbi.nlm.nih.gov/42802900/</w:t>
      </w:r>
    </w:p>
    <w:p>
      <w:pPr>
        <w:pStyle w:val="Heading2"/>
      </w:pPr>
      <w:r>
        <w:t>Krankenhaus-Management-Modelle und Krebsergebnisse in São Paulo</w:t>
      </w:r>
    </w:p>
    <w:p>
      <w:r>
        <w:rPr>
          <w:i/>
          <w:color w:val="666666"/>
          <w:sz w:val="18"/>
        </w:rPr>
        <w:t>Delpino FM et al.  ·  Int J Health Plann Manage  ·  26.09.2026  ·  PMID 42800063</w:t>
      </w:r>
    </w:p>
    <w:p>
      <w:r>
        <w:t>Staggered Difference-in-Differences-Analyse zu 652.734 Brust-, Prostata- und Darmkrebs-Fällen (2000-2023) unter Vergleich von Social Health Organisations vs. direkt verwalteten Häusern.</w:t>
      </w:r>
    </w:p>
    <w:p>
      <w:r>
        <w:rPr>
          <w:b/>
        </w:rPr>
        <w:t xml:space="preserve">Ergebnis: </w:t>
      </w:r>
      <w:r>
        <w:t>SHO-Adoption assoziiert mit unpräzisen Änderungen: Diagnose-bis-Behandlung -155,3 Tage (95% CI -350,0 bis 39,4); Konsultation-bis-Diagnose -96,3 Tage (95% CI -237,7 bis 45,1); 30-Tage-Mortalität +0,8 Prozentpunkte (95% CI -4,0 bis 5,5). Kontrolle und Gewichtung materialverändernd.</w:t>
      </w:r>
    </w:p>
    <w:p>
      <w:r>
        <w:rPr>
          <w:b/>
          <w:sz w:val="19"/>
        </w:rPr>
        <w:t xml:space="preserve">Übertragbarkeit: </w:t>
      </w:r>
      <w:r>
        <w:rPr>
          <w:sz w:val="19"/>
        </w:rPr>
        <w:t>Brasilien, unterschiedliches Ressourcen-Setting; Fragestellung zu Managementmodellen kontextabhängig.</w:t>
      </w:r>
    </w:p>
    <w:p>
      <w:r>
        <w:rPr>
          <w:color w:val="5A7D3A"/>
          <w:sz w:val="18"/>
        </w:rPr>
        <w:t>https://pubmed.ncbi.nlm.nih.gov/42800063/</w:t>
      </w:r>
    </w:p>
    <w:p>
      <w:pPr>
        <w:pStyle w:val="Heading1"/>
      </w:pPr>
      <w:r>
        <w:t>Aufgenommen am 28.09.2026</w:t>
      </w:r>
    </w:p>
    <w:p>
      <w:pPr>
        <w:pStyle w:val="Heading2"/>
      </w:pPr>
      <w:r>
        <w:t>Wirksamkeit familienorientierter Intervention für Kinder psychisch erkrankter Eltern</w:t>
      </w:r>
    </w:p>
    <w:p>
      <w:r>
        <w:rPr>
          <w:i/>
          <w:color w:val="666666"/>
          <w:sz w:val="18"/>
        </w:rPr>
        <w:t>Paumen T et al.  ·  Child Adolesc Psychiatry Ment Health  ·  25.09.2026  ·  PMID 42800877</w:t>
      </w:r>
    </w:p>
    <w:p>
      <w:r>
        <w:t>Cluster-randomisierte Studie zur Wirksamkeit des CHIMPS-Programms (psychodynamische transdiagnostische Familienintervention) auf psychische Gesundheit und Lebensqualität bei 215 Kindern psychisch erkrankter Eltern in Deutschland und der Schweiz.</w:t>
      </w:r>
    </w:p>
    <w:p>
      <w:r>
        <w:rPr>
          <w:b/>
        </w:rPr>
        <w:t xml:space="preserve">Ergebnis: </w:t>
      </w:r>
      <w:r>
        <w:t>Odds Ratio 0,52 (95%-KI: 0,25-1,09) für diagnostische Remission in der Interventionsgruppe versus Kontrollgruppe – statistisch nicht signifikant. Keine klinisch relevanten Unterschiede in Sekundäroutcomes (Verhaltensauffälligkeiten, Lebensqualität). Geringe Erreichbarkeit und Adhärenz der Zielgruppe erschwerten Umsetzung.</w:t>
      </w:r>
    </w:p>
    <w:p>
      <w:r>
        <w:rPr>
          <w:b/>
          <w:sz w:val="19"/>
        </w:rPr>
        <w:t xml:space="preserve">Übertragbarkeit: </w:t>
      </w:r>
      <w:r>
        <w:rPr>
          <w:sz w:val="19"/>
        </w:rPr>
        <w:t>Deutsche Daten aus Universitätskliniken, gesetzlich versicherte Population</w:t>
      </w:r>
    </w:p>
    <w:p>
      <w:r>
        <w:rPr>
          <w:color w:val="5A7D3A"/>
          <w:sz w:val="18"/>
        </w:rPr>
        <w:t>https://pubmed.ncbi.nlm.nih.gov/42800877/</w:t>
      </w:r>
    </w:p>
    <w:p>
      <w:pPr>
        <w:pStyle w:val="Heading2"/>
      </w:pPr>
      <w:r>
        <w:t>Tamil-Validierung des Diabetes Quality-of-Life Brief Clinical Inventory</w:t>
      </w:r>
    </w:p>
    <w:p>
      <w:r>
        <w:rPr>
          <w:i/>
          <w:color w:val="666666"/>
          <w:sz w:val="18"/>
        </w:rPr>
        <w:t>Darshana N et al.  ·  BMC Health Serv Res  ·  14.09.2026  ·  PMID 42791544</w:t>
      </w:r>
    </w:p>
    <w:p>
      <w:r>
        <w:t>Kulturelle Adaptation und Validierung eines Instruments zur Messung der diabetesspezifischen Lebensqualität bei tamilsprachigen Erwachsenen mit Typ-2-Diabetes in Sri Lanka (n=165).</w:t>
      </w:r>
    </w:p>
    <w:p>
      <w:r>
        <w:rPr>
          <w:b/>
        </w:rPr>
        <w:t xml:space="preserve">Ergebnis: </w:t>
      </w:r>
      <w:r>
        <w:t>Cronbachs α=0,682, signifikante negative Korrelation mit WHOQOL-BREF (r=-0,559, p&lt;0,001), signifikant niedrigere Lebensqualität bei Patienten mit Mikrovaskularisierungskomplikationen (p=0,040). KMO=0,729, Faktorenanalyse erklärt 72% der Gesamtvarianz.</w:t>
      </w:r>
    </w:p>
    <w:p>
      <w:r>
        <w:rPr>
          <w:b/>
          <w:sz w:val="19"/>
        </w:rPr>
        <w:t xml:space="preserve">Übertragbarkeit: </w:t>
      </w:r>
      <w:r>
        <w:rPr>
          <w:sz w:val="19"/>
        </w:rPr>
        <w:t>Nur begrenzt: Südasiatische Bevölkerung, anderes Gesundheitssystem</w:t>
      </w:r>
    </w:p>
    <w:p>
      <w:r>
        <w:rPr>
          <w:color w:val="5A7D3A"/>
          <w:sz w:val="18"/>
        </w:rPr>
        <w:t>https://pubmed.ncbi.nlm.nih.gov/42791544/</w:t>
      </w:r>
    </w:p>
    <w:p>
      <w:pPr>
        <w:pStyle w:val="Heading2"/>
      </w:pPr>
      <w:r>
        <w:t>Gesundheitskompetenz und Versorgungsintegration bei Kindern mit Spezialversorgungsbedarfen</w:t>
      </w:r>
    </w:p>
    <w:p>
      <w:r>
        <w:rPr>
          <w:i/>
          <w:color w:val="666666"/>
          <w:sz w:val="18"/>
        </w:rPr>
        <w:t>Skoss R et al.  ·  BMC Health Serv Res  ·  11.08.2026  ·  PMID 42791541</w:t>
      </w:r>
    </w:p>
    <w:p>
      <w:r>
        <w:t>Querschnittstudie zur Beziehung zwischen Gesundheitskompetenz von Eltern, Erfahrungen mit Versorgungsintegration und Elternbelastung bei 126 australischen Eltern von Kindern mit Spezialversorgungsbedarfen.</w:t>
      </w:r>
    </w:p>
    <w:p>
      <w:r>
        <w:rPr>
          <w:b/>
        </w:rPr>
        <w:t xml:space="preserve">Ergebnis: </w:t>
      </w:r>
      <w:r>
        <w:t>Clusteranalyse identifizierte drei Gesundheitskompetenz-Profile; höhere Kompetenz assoziiert mit besseren Erfahrungen bei Versorgungsintegration und niedrigerem Elternstress. Mehrheitlich Eltern mit Behinderungs-(53,7%) und Atemwegserkrankungen (38,9%) vertreten.</w:t>
      </w:r>
    </w:p>
    <w:p>
      <w:r>
        <w:rPr>
          <w:b/>
          <w:sz w:val="19"/>
        </w:rPr>
        <w:t xml:space="preserve">Übertragbarkeit: </w:t>
      </w:r>
      <w:r>
        <w:rPr>
          <w:sz w:val="19"/>
        </w:rPr>
        <w:t>Steuerfinanziert, englischsprachig – begrenzte Übertragbarkeit auf deutsches SV-System</w:t>
      </w:r>
    </w:p>
    <w:p>
      <w:r>
        <w:rPr>
          <w:color w:val="5A7D3A"/>
          <w:sz w:val="18"/>
        </w:rPr>
        <w:t>https://pubmed.ncbi.nlm.nih.gov/42791541/</w:t>
      </w:r>
    </w:p>
    <w:p>
      <w:pPr>
        <w:pStyle w:val="Heading2"/>
      </w:pPr>
      <w:r>
        <w:t>Zivilgesellschaftliche Organisationen in Gesundheitsversorgung für Migranten auf der Balkanroute</w:t>
      </w:r>
    </w:p>
    <w:p>
      <w:r>
        <w:rPr>
          <w:i/>
          <w:color w:val="666666"/>
          <w:sz w:val="18"/>
        </w:rPr>
        <w:t>Link F et al.  ·  Int J Equity Health  ·  24.09.2026  ·  PMID 42791536</w:t>
      </w:r>
    </w:p>
    <w:p>
      <w:r>
        <w:t>Qualitative Studie mit 15 CSO-Mitarbeitern aus 11 Ländern (März–Mai 2024) zu Barrieren, Erleichterungen und Rollen von Zivilgesellschaft bei Gesundheitsversorgung für Menschen in Migrationsprozessen.</w:t>
      </w:r>
    </w:p>
    <w:p>
      <w:r>
        <w:rPr>
          <w:b/>
        </w:rPr>
        <w:t xml:space="preserve">Ergebnis: </w:t>
      </w:r>
      <w:r>
        <w:t>Vier Hauptkategorien identifiziert: fragmentierte Migrationspolitik, begrenzte Systemkapazitäten, Diskriminierung und Rechtsbarrieren. CSO erfüllen kritische Lückenfüllungsfunktion durch Mediation und Advocacy; jedoch chronische Finanzierungsunsicherheit, Personalengpässe und ethische Spannungen. Vertrauen zwischen CSO, Gesundheitssystem und Behörden essentiell.</w:t>
      </w:r>
    </w:p>
    <w:p>
      <w:r>
        <w:rPr>
          <w:b/>
          <w:sz w:val="19"/>
        </w:rPr>
        <w:t xml:space="preserve">Übertragbarkeit: </w:t>
      </w:r>
      <w:r>
        <w:rPr>
          <w:sz w:val="19"/>
        </w:rPr>
        <w:t>Europäischer Kontext (11 Länder), Mehrländer-Perspektive – Migrationsstrukturen relevant</w:t>
      </w:r>
    </w:p>
    <w:p>
      <w:r>
        <w:rPr>
          <w:color w:val="5A7D3A"/>
          <w:sz w:val="18"/>
        </w:rPr>
        <w:t>https://pubmed.ncbi.nlm.nih.gov/42791536/</w:t>
      </w:r>
    </w:p>
    <w:p>
      <w:pPr>
        <w:pStyle w:val="Heading2"/>
      </w:pPr>
      <w:r>
        <w:t>Präklinische Halswirbelimmobilisierung und Mortalität bei Traumapatienten</w:t>
      </w:r>
    </w:p>
    <w:p>
      <w:r>
        <w:rPr>
          <w:i/>
          <w:color w:val="666666"/>
          <w:sz w:val="18"/>
        </w:rPr>
        <w:t>Häske D et al.  ·  World J Emerg Surg  ·  22.09.2026  ·  PMID 42786484</w:t>
      </w:r>
    </w:p>
    <w:p>
      <w:r>
        <w:t>Retrospektive Beobachtungsstudie aus deutschem Traumaregister (TraumaRegister DGU, 2020–2022) mit Propensity-Score-Matching zu Effekt präklinischer Halswirbelimmobilisierung auf Krankenhausmortalität und neurologische Outcomes (n=31.055, davon 16.922 gematched).</w:t>
      </w:r>
    </w:p>
    <w:p>
      <w:r>
        <w:rPr>
          <w:b/>
        </w:rPr>
        <w:t xml:space="preserve">Ergebnis: </w:t>
      </w:r>
      <w:r>
        <w:t>Mortalität gematched: 12,0% mit Immobilisierung vs. 13,6% ohne (p=0,001), kein klinisch bedeutsamer Unterschied. Bei bestätigter Halswirbelverletztung (n=1.362): Mortalität 17,9% vs. 18,2% (p=0,888), Glasgow Outcome Scale zeigt kein signifikanten Unterschied. GCS-Verbesserung Einsatzstelle-Hospital marginal höher mit Immobilisierung (15,7% vs. 12,8%, p&lt;0,001).</w:t>
      </w:r>
    </w:p>
    <w:p>
      <w:r>
        <w:rPr>
          <w:b/>
          <w:sz w:val="19"/>
        </w:rPr>
        <w:t xml:space="preserve">Übertragbarkeit: </w:t>
      </w:r>
      <w:r>
        <w:rPr>
          <w:sz w:val="19"/>
        </w:rPr>
        <w:t>Deutsche Routinedaten aus standardisiertem Traumaregister, System vergleichbar</w:t>
      </w:r>
    </w:p>
    <w:p>
      <w:r>
        <w:rPr>
          <w:color w:val="5A7D3A"/>
          <w:sz w:val="18"/>
        </w:rPr>
        <w:t>https://pubmed.ncbi.nlm.nih.gov/42786484/</w:t>
      </w:r>
    </w:p>
    <w:p>
      <w:pPr>
        <w:pStyle w:val="Heading2"/>
      </w:pPr>
      <w:r>
        <w:t>Empagliflozin-Effekte auf kardiovaskuläre Outcomes in sociodemografischen Subgruppen</w:t>
      </w:r>
    </w:p>
    <w:p>
      <w:r>
        <w:rPr>
          <w:i/>
          <w:color w:val="666666"/>
          <w:sz w:val="18"/>
        </w:rPr>
        <w:t>Cromer SJ et al.  ·  Diabetes Care  ·  21.09.2026  ·  PMID 42765974</w:t>
      </w:r>
    </w:p>
    <w:p>
      <w:r>
        <w:t>Real-World-Analyse aus US-Medicare-Daten (2014–2020) zur Heterogenität der Effekte von Empagliflozin auf MACE, Herzinsuffizienz-Hospitalisierung und Mortalität bei älteren Erwachsenen mit Typ-2-Diabetes (n propensity-matched: 16.922).</w:t>
      </w:r>
    </w:p>
    <w:p>
      <w:r>
        <w:rPr>
          <w:b/>
        </w:rPr>
        <w:t xml:space="preserve">Ergebnis: </w:t>
      </w:r>
      <w:r>
        <w:t>Empagliflozin vs. DPP4-Inhibitoren: MACE HR 0,77 (99,9%-KI 0,69–0,85, IRD –10,3), HHF HR 0,72 (0,67–0,79, IRD –18,3), Mortalität HR 0,66 (0,57–0,76, IRD –8,6). Konsistente Effekte über sociodemografische Gruppen, höherer absoluter Nutzen mit prävalenter kardiovaskulärer Erkrankung.</w:t>
      </w:r>
    </w:p>
    <w:p>
      <w:r>
        <w:rPr>
          <w:b/>
          <w:sz w:val="19"/>
        </w:rPr>
        <w:t xml:space="preserve">Übertragbarkeit: </w:t>
      </w:r>
      <w:r>
        <w:rPr>
          <w:sz w:val="19"/>
        </w:rPr>
        <w:t>US-Daten – Fragestellung aber systemunabhängig, kardiometabolisch relevant</w:t>
      </w:r>
    </w:p>
    <w:p>
      <w:r>
        <w:rPr>
          <w:color w:val="5A7D3A"/>
          <w:sz w:val="18"/>
        </w:rPr>
        <w:t>https://pubmed.ncbi.nlm.nih.gov/42765974/</w:t>
      </w:r>
    </w:p>
    <w:p>
      <w:pPr>
        <w:pStyle w:val="Heading1"/>
      </w:pPr>
      <w:r>
        <w:t>Aufgenommen am 27.09.2026</w:t>
      </w:r>
    </w:p>
    <w:p>
      <w:pPr>
        <w:pStyle w:val="Heading2"/>
      </w:pPr>
      <w:r>
        <w:t>Geschlechtsspezifische Depressionsdiagnostik: Validierung des DESY-PC in der Primärversorgung</w:t>
      </w:r>
    </w:p>
    <w:p>
      <w:r>
        <w:rPr>
          <w:i/>
          <w:color w:val="666666"/>
          <w:sz w:val="18"/>
        </w:rPr>
        <w:t>Schäffler L et al.  ·  Eur Arch Psychiatry Clin Neurosci  ·  26.09.2026  ·  PMID 42799905</w:t>
      </w:r>
    </w:p>
    <w:p>
      <w:r>
        <w:t>Sekundäranalyse einer diagnostischen Querschnittsstudie mit 431 Primärversorgungspatienten (61% Frauen) zur Testgüte des neuen DESY-PC-Fragebogens versus PHQ-9 mit strukturiertem klinischem Interview als Goldstandard.</w:t>
      </w:r>
    </w:p>
    <w:p>
      <w:r>
        <w:rPr>
          <w:b/>
        </w:rPr>
        <w:t xml:space="preserve">Ergebnis: </w:t>
      </w:r>
      <w:r>
        <w:t>DESY-PC zeigte vergleichbare diagnostische Genauigkeit bei Frauen (AUC 0,85, 95% CI 0,80-0,91) und Männern (AUC 0,90, 95% CI 0,83-0,97, p=0,340). Sensitivität und Spezifität waren ausgeglichen (Cut-off 16: Sensitivität Frauen 74%, Männer 83%, p=0,422; Spezifität Frauen 82%, Männer 87%, p=0,220). Messinvarianz über Geschlechter bestätigt.</w:t>
      </w:r>
    </w:p>
    <w:p>
      <w:r>
        <w:rPr>
          <w:b/>
          <w:sz w:val="19"/>
        </w:rPr>
        <w:t xml:space="preserve">Übertragbarkeit: </w:t>
      </w:r>
      <w:r>
        <w:rPr>
          <w:sz w:val="19"/>
        </w:rPr>
        <w:t>Deutsche Akademische Primärversorgungspraxis in München; Screening-Instrument systemunabhängig</w:t>
      </w:r>
    </w:p>
    <w:p>
      <w:r>
        <w:rPr>
          <w:color w:val="5A7D3A"/>
          <w:sz w:val="18"/>
        </w:rPr>
        <w:t>https://pubmed.ncbi.nlm.nih.gov/42799905/</w:t>
      </w:r>
    </w:p>
    <w:p>
      <w:pPr>
        <w:pStyle w:val="Heading2"/>
      </w:pPr>
      <w:r>
        <w:t>Psychische Gesundheitsdiagnosen bei Kindern und Jugendlichen vor und während COVID-19 in Niedersachsen</w:t>
      </w:r>
    </w:p>
    <w:p>
      <w:r>
        <w:rPr>
          <w:i/>
          <w:color w:val="666666"/>
          <w:sz w:val="18"/>
        </w:rPr>
        <w:t>Jobski K et al.  ·  Children (Basel)  ·  14.09.2026  ·  PMID 42794265</w:t>
      </w:r>
    </w:p>
    <w:p>
      <w:r>
        <w:t>Trends-Analyse mit Routinedaten der AOK Niedersachsen 2018-2022 bei etwa 500.000 Versicherten unter 18 Jahren zur Inzidenz und Prävalenz von Angststörungen, depressiven Störungen, Essstörungen und ADHS.</w:t>
      </w:r>
    </w:p>
    <w:p>
      <w:r>
        <w:rPr>
          <w:b/>
        </w:rPr>
        <w:t xml:space="preserve">Ergebnis: </w:t>
      </w:r>
      <w:r>
        <w:t>2021 höchste Inzidenz für Angststörungen (34,7/1.000), gefolgt von ADHS (18,0/1.000), Depression (13,7/1.000) und Essstörungen (2,7/1.000). Vergleich 2019 zu 2021: Inzidenzen stiegen alle, besonders bei Mädchen 15-17 Jahre (Angst +23%, Depression +25%, ADHS +54%, Essstörungen +90%). 2022 Rückgang, aber Prävalenz bei Mädchen nicht auf Vor-Pandemie-Niveau.</w:t>
      </w:r>
    </w:p>
    <w:p>
      <w:r>
        <w:rPr>
          <w:b/>
          <w:sz w:val="19"/>
        </w:rPr>
        <w:t xml:space="preserve">Übertragbarkeit: </w:t>
      </w:r>
      <w:r>
        <w:rPr>
          <w:sz w:val="19"/>
        </w:rPr>
        <w:t>Deutsche Routinedaten, gesetzlich versicherte Kinder und Jugendliche Niedersachsen</w:t>
      </w:r>
    </w:p>
    <w:p>
      <w:r>
        <w:rPr>
          <w:color w:val="5A7D3A"/>
          <w:sz w:val="18"/>
        </w:rPr>
        <w:t>https://pubmed.ncbi.nlm.nih.gov/42794265/</w:t>
      </w:r>
    </w:p>
    <w:p>
      <w:pPr>
        <w:pStyle w:val="Heading2"/>
      </w:pPr>
      <w:r>
        <w:t>Schlaganfallzertifizierung und Prozessqualität in der akuten ischämischen Schlaganfallbehandlung</w:t>
      </w:r>
    </w:p>
    <w:p>
      <w:r>
        <w:rPr>
          <w:i/>
          <w:color w:val="666666"/>
          <w:sz w:val="18"/>
        </w:rPr>
        <w:t>Boehl M et al.  ·  Neurol Res Pract  ·  25.09.2026  ·  PMID 42791587</w:t>
      </w:r>
    </w:p>
    <w:p>
      <w:r>
        <w:t>Retrospektive Registeranalyse zur Assoziation zwischen Schlaganfalleinheitszertifizierung und Qualitätsindikatoren der intravenösen Thrombolyse in Hessen 2021-2024.</w:t>
      </w:r>
    </w:p>
    <w:p>
      <w:r>
        <w:rPr>
          <w:b/>
        </w:rPr>
        <w:t xml:space="preserve">Ergebnis: </w:t>
      </w:r>
      <w:r>
        <w:t>Zertifizierte Schlaganfalleinheiten führten signifikant häufiger Thrombolyse durch (primär 4,5 h: OR 2,32, 95% CI 1,65-3,27 für pSU; OR 2,19, 95% CI 1,57-3,07 für cSU). Door-to-needle ≤60 min wurden häufiger erreicht (pSU OR 3,13, 95% CI 2,13-4,61; cSU OR 2,60, 95% CI 1,80-3,75). Zertifizierung ist mit besseren Prozessqualitätsindikatoren assoziiert.</w:t>
      </w:r>
    </w:p>
    <w:p>
      <w:r>
        <w:rPr>
          <w:b/>
          <w:sz w:val="19"/>
        </w:rPr>
        <w:t xml:space="preserve">Übertragbarkeit: </w:t>
      </w:r>
      <w:r>
        <w:rPr>
          <w:sz w:val="19"/>
        </w:rPr>
        <w:t>Deutsche Routinedaten aus Hessen, gesetzlich versicherte Schlaganfallpatienten</w:t>
      </w:r>
    </w:p>
    <w:p>
      <w:r>
        <w:rPr>
          <w:color w:val="5A7D3A"/>
          <w:sz w:val="18"/>
        </w:rPr>
        <w:t>https://pubmed.ncbi.nlm.nih.gov/42791587/</w:t>
      </w:r>
    </w:p>
    <w:p>
      <w:pPr>
        <w:pStyle w:val="Heading2"/>
      </w:pPr>
      <w:r>
        <w:t>Patient-reported Experience und psychische Gesundheit: Unterschiede zwischen Immigrant*innen und norwegischer Bevölkerung in der Psychiatrie</w:t>
      </w:r>
    </w:p>
    <w:p>
      <w:r>
        <w:rPr>
          <w:i/>
          <w:color w:val="666666"/>
          <w:sz w:val="18"/>
        </w:rPr>
        <w:t>Ellingsen-Dalskau LH et al.  ·  BMC Health Serv Res  ·  12.09.2026  ·  PMID 42791573</w:t>
      </w:r>
    </w:p>
    <w:p>
      <w:r>
        <w:t>Nationale Befragung (2020-2022) von 8.184 Patienten in norwegischen psychiatrischen Stationen mit gemischten Methoden zu Unterschieden in Patientenerfahrung und Zwangsmaßnahmen zwischen Immigrant*innen und Mehrheitsbevölkerung.</w:t>
      </w:r>
    </w:p>
    <w:p>
      <w:r>
        <w:rPr>
          <w:b/>
        </w:rPr>
        <w:t xml:space="preserve">Ergebnis: </w:t>
      </w:r>
      <w:r>
        <w:t>Einige Immigrant*innengruppen berichteten höhere Zwangsanwendung und geringere Verbesserung der psychischen Gesundheit; qualitative Analyse zeigte unterschiedliche Erwartungen, Vertrauen, Kommunikation und Informationszugang als Einflussfaktoren. Insgesamt ähnliche Erfahrungswerte, aber kontextabhängige Unterschiede.</w:t>
      </w:r>
    </w:p>
    <w:p>
      <w:r>
        <w:rPr>
          <w:b/>
          <w:sz w:val="19"/>
        </w:rPr>
        <w:t xml:space="preserve">Übertragbarkeit: </w:t>
      </w:r>
      <w:r>
        <w:rPr>
          <w:sz w:val="19"/>
        </w:rPr>
        <w:t>Norwegen, Skandinavien mit ähnlichem Sozialversicherungssystem; Patientenperspektive übertragbar</w:t>
      </w:r>
    </w:p>
    <w:p>
      <w:r>
        <w:rPr>
          <w:color w:val="5A7D3A"/>
          <w:sz w:val="18"/>
        </w:rPr>
        <w:t>https://pubmed.ncbi.nlm.nih.gov/42791573/</w:t>
      </w:r>
    </w:p>
    <w:p>
      <w:pPr>
        <w:pStyle w:val="Heading2"/>
      </w:pPr>
      <w:r>
        <w:t>Bedeutung von Präsenzberatung in TIA-Kliniken aus Patienten- und Fachperspektive</w:t>
      </w:r>
    </w:p>
    <w:p>
      <w:r>
        <w:rPr>
          <w:i/>
          <w:color w:val="666666"/>
          <w:sz w:val="18"/>
        </w:rPr>
        <w:t>Heath J et al.  ·  BMC Health Serv Res  ·  14.09.2026  ·  PMID 42791572</w:t>
      </w:r>
    </w:p>
    <w:p>
      <w:r>
        <w:t>Qualitative Interviews mit 15 Patienten und 12 Fachpersonen in England zur Evaluation von virtuellen versus Face-to-Face-TIA-Kliniken während und nach COVID-19.</w:t>
      </w:r>
    </w:p>
    <w:p>
      <w:r>
        <w:rPr>
          <w:b/>
        </w:rPr>
        <w:t xml:space="preserve">Ergebnis: </w:t>
      </w:r>
      <w:r>
        <w:t>Patienten betonten die Wichtigkeit von Präsenzkontakt ('being seen'); zwei Kernthemen identifiziert: (1) bessere Kommunikationsmöglichkeiten und (2) Gefühl, von einem multiprofessionellen Team versorgt zu werden. Fachpersonen sahen virtuelle Kliniken positiver als Patienten; eine Hybrid-Lösung könnte optimal sein.</w:t>
      </w:r>
    </w:p>
    <w:p>
      <w:r>
        <w:rPr>
          <w:b/>
          <w:sz w:val="19"/>
        </w:rPr>
        <w:t xml:space="preserve">Übertragbarkeit: </w:t>
      </w:r>
      <w:r>
        <w:rPr>
          <w:sz w:val="19"/>
        </w:rPr>
        <w:t>Großbritannien (NHS), aber Fragestellung zu Patientenperspektive systemunabhängig</w:t>
      </w:r>
    </w:p>
    <w:p>
      <w:r>
        <w:rPr>
          <w:color w:val="5A7D3A"/>
          <w:sz w:val="18"/>
        </w:rPr>
        <w:t>https://pubmed.ncbi.nlm.nih.gov/42791572/</w:t>
      </w:r>
    </w:p>
    <w:p>
      <w:pPr>
        <w:pStyle w:val="Heading2"/>
      </w:pPr>
      <w:r>
        <w:t>Patient-Journey-Mapping für allogene Stammzelltransplantation: Holistische Versorgungsbedarfe</w:t>
      </w:r>
    </w:p>
    <w:p>
      <w:r>
        <w:rPr>
          <w:i/>
          <w:color w:val="666666"/>
          <w:sz w:val="18"/>
        </w:rPr>
        <w:t>Nan J et al.  ·  BMC Health Serv Res  ·  13.08.2026  ·  PMID 42786489</w:t>
      </w:r>
    </w:p>
    <w:p>
      <w:r>
        <w:t>Qualitative Studie mit 16 allogenen-HSCT-Patienten (November-Dezember 2025) zur Kartierung der Gesundheitsmanagement-Reise über vier Phasen (Screening, Transplantation, Erhaltungstherapie, Langzeit-Follow-up).</w:t>
      </w:r>
    </w:p>
    <w:p>
      <w:r>
        <w:rPr>
          <w:b/>
        </w:rPr>
        <w:t xml:space="preserve">Ergebnis: </w:t>
      </w:r>
      <w:r>
        <w:t>31 Themen über drei Dimensionen identifiziert (Aufgabenausführung, emotionaler Zustand, Schmerzpunkte). Symptombelastung verschoben sich dynamisch: psychische Belastung und Entscheidungslähmung in Phase 1, akute physische Symptome in Phase 2, chronische funktionelle Rückgänge in Phase 4. Durchgehend kritische Schmerzpunkte: fragmentierte Übergänge, Misalignment von Information zu Bedarf, fehlendes Selbstmanagement-Support, finanzielle Last.</w:t>
      </w:r>
    </w:p>
    <w:p>
      <w:r>
        <w:rPr>
          <w:b/>
          <w:sz w:val="19"/>
        </w:rPr>
        <w:t xml:space="preserve">Übertragbarkeit: </w:t>
      </w:r>
      <w:r>
        <w:rPr>
          <w:sz w:val="19"/>
        </w:rPr>
        <w:t>China, aber patient-centered Journey-Mapping-Methodik systemunabhängig übertragbar</w:t>
      </w:r>
    </w:p>
    <w:p>
      <w:r>
        <w:rPr>
          <w:color w:val="5A7D3A"/>
          <w:sz w:val="18"/>
        </w:rPr>
        <w:t>https://pubmed.ncbi.nlm.nih.gov/42786489/</w:t>
      </w:r>
    </w:p>
    <w:p>
      <w:pPr>
        <w:pStyle w:val="Heading1"/>
      </w:pPr>
      <w:r>
        <w:t>Aufgenommen am 26.09.2026</w:t>
      </w:r>
    </w:p>
    <w:p>
      <w:pPr>
        <w:pStyle w:val="Heading2"/>
      </w:pPr>
      <w:r>
        <w:t>Strukturiertes Shared Decision-Making in der Krankenhausversorgung</w:t>
      </w:r>
    </w:p>
    <w:p>
      <w:r>
        <w:rPr>
          <w:i/>
          <w:color w:val="666666"/>
          <w:sz w:val="18"/>
        </w:rPr>
        <w:t>Salas-Gama K et al.  ·  J Healthc Qual Res  ·  25.09.2026  ·  PMID 42790349</w:t>
      </w:r>
    </w:p>
    <w:p>
      <w:r>
        <w:t>Entwicklung und pilotweise Implementierung eines sechsstufigen Shared-Decision-Making-Modells zur Integration in Krankenhausabläufe mit Evaluation von Machbarkeit, Akzeptabilität und Outcome.</w:t>
      </w:r>
    </w:p>
    <w:p>
      <w:r>
        <w:rPr>
          <w:b/>
        </w:rPr>
        <w:t xml:space="preserve">Ergebnis: </w:t>
      </w:r>
      <w:r>
        <w:t>Bei Adipositas berichteten SDM-Teilnehmer höheres Patientenwissen (80,0% vs. 48,8%; p&lt;0,001) und größere Entscheidungszufriedenheit (28,0 vs. 24,2; p=0,022). Bei chronischer Nierenkrankheit zeigte sich signifikant höheres Wissen (91,1% vs. 37,1%; p&lt;0,001). Machbarkeitsschwellen wurden in beiden Indikationen erreicht.</w:t>
      </w:r>
    </w:p>
    <w:p>
      <w:r>
        <w:rPr>
          <w:b/>
          <w:sz w:val="19"/>
        </w:rPr>
        <w:t xml:space="preserve">Übertragbarkeit: </w:t>
      </w:r>
      <w:r>
        <w:rPr>
          <w:sz w:val="19"/>
        </w:rPr>
        <w:t>Spanien, Pilotprojekt im Krankenhaus - methodische Übertragbarkeit auf deutsches Setting gegeben</w:t>
      </w:r>
    </w:p>
    <w:p>
      <w:r>
        <w:rPr>
          <w:color w:val="5A7D3A"/>
          <w:sz w:val="18"/>
        </w:rPr>
        <w:t>https://pubmed.ncbi.nlm.nih.gov/42790349/</w:t>
      </w:r>
    </w:p>
    <w:p>
      <w:pPr>
        <w:pStyle w:val="Heading2"/>
      </w:pPr>
      <w:r>
        <w:t>Surgery on Foot-Protokoll: Patientenerfahrung bei Kolorektalkarzinom</w:t>
      </w:r>
    </w:p>
    <w:p>
      <w:r>
        <w:rPr>
          <w:i/>
          <w:color w:val="666666"/>
          <w:sz w:val="18"/>
        </w:rPr>
        <w:t>van Gool ISM et al.  ·  J Surg Oncol  ·  25.09.2026  ·  PMID 42788955</w:t>
      </w:r>
    </w:p>
    <w:p>
      <w:r>
        <w:t>Qualitative Studie zu Patientenerfahrungen mit dem Surgery-on-Foot-Protokoll, bei dem Patienten am OP-Tag (statt Vortagnacht) aufgenommen und zur OP gehen.</w:t>
      </w:r>
    </w:p>
    <w:p>
      <w:r>
        <w:rPr>
          <w:b/>
        </w:rPr>
        <w:t xml:space="preserve">Ergebnis: </w:t>
      </w:r>
      <w:r>
        <w:t>14 Patienten befragt; Gesamterfahrung positiv. Faktoren für Kontrollgefühl: persönlicher Umgang, involvierte Ärzte und Anwesenheit von Bezugspersonen. Einige Patienten berichteten Angst und Unbehagen bezüglich Krankenhausumgebung. Protokoll wirkte sich positiv auf patientenzentrierte Aspekte aus.</w:t>
      </w:r>
    </w:p>
    <w:p>
      <w:r>
        <w:rPr>
          <w:b/>
          <w:sz w:val="19"/>
        </w:rPr>
        <w:t xml:space="preserve">Übertragbarkeit: </w:t>
      </w:r>
      <w:r>
        <w:rPr>
          <w:sz w:val="19"/>
        </w:rPr>
        <w:t>Niederlande (akademisches Krankenhaus), vergleichbares Versorgungssystem mit Deutschland</w:t>
      </w:r>
    </w:p>
    <w:p>
      <w:r>
        <w:rPr>
          <w:color w:val="5A7D3A"/>
          <w:sz w:val="18"/>
        </w:rPr>
        <w:t>https://pubmed.ncbi.nlm.nih.gov/42788955/</w:t>
      </w:r>
    </w:p>
    <w:p>
      <w:pPr>
        <w:pStyle w:val="Heading2"/>
      </w:pPr>
      <w:r>
        <w:t>Transformatives Governance-Modell für Gesundheit - Evaluierung des Programms Alles ist Gezondheid</w:t>
      </w:r>
    </w:p>
    <w:p>
      <w:r>
        <w:rPr>
          <w:i/>
          <w:color w:val="666666"/>
          <w:sz w:val="18"/>
        </w:rPr>
        <w:t>Bekker MPM et al.  ·  TSG  ·  16.09.2026  ·  PMID 42787321</w:t>
      </w:r>
    </w:p>
    <w:p>
      <w:r>
        <w:t>Mehrfachfallstudie zur Evaluierung eines niederländischen Programms für domeinoverstijgende Gesundheitsnetze; Entwicklung eines heuristischen Transformativen-Governance-Modells basierend auf Interviews, Beobachtungen und Workshops.</w:t>
      </w:r>
    </w:p>
    <w:p>
      <w:r>
        <w:rPr>
          <w:b/>
        </w:rPr>
        <w:t xml:space="preserve">Ergebnis: </w:t>
      </w:r>
      <w:r>
        <w:t>Fünf Small Wins und fünf Veränderungsmechanismen identifiziert, die sich nicht-linear gegenseitig verstärken. Konflikteskalation und -management essentiell für Anpassung von Normen und Regeln. Modell zeigt, wie Transformationsprozesse durch nationale Plattform und Zusammenarbeit ermöglicht werden.</w:t>
      </w:r>
    </w:p>
    <w:p>
      <w:r>
        <w:rPr>
          <w:b/>
          <w:sz w:val="19"/>
        </w:rPr>
        <w:t xml:space="preserve">Übertragbarkeit: </w:t>
      </w:r>
      <w:r>
        <w:rPr>
          <w:sz w:val="19"/>
        </w:rPr>
        <w:t>Niederlande, Sozialversicherungssystem - hohe Übertragbarkeit auf Deutschland</w:t>
      </w:r>
    </w:p>
    <w:p>
      <w:r>
        <w:rPr>
          <w:color w:val="5A7D3A"/>
          <w:sz w:val="18"/>
        </w:rPr>
        <w:t>https://pubmed.ncbi.nlm.nih.gov/42787321/</w:t>
      </w:r>
    </w:p>
    <w:p>
      <w:pPr>
        <w:pStyle w:val="Heading2"/>
      </w:pPr>
      <w:r>
        <w:t>Komplexität von Beatmungsentwöhnung in der Intensivmedizin</w:t>
      </w:r>
    </w:p>
    <w:p>
      <w:r>
        <w:rPr>
          <w:i/>
          <w:color w:val="666666"/>
          <w:sz w:val="18"/>
        </w:rPr>
        <w:t>Sterr F et al.  ·  Nurs Crit Care  ·  Nov. 2026  ·  PMID 42786673</w:t>
      </w:r>
    </w:p>
    <w:p>
      <w:r>
        <w:t>Qualitative Studie mit 29 Intensivpflegefachkräften zur Identifikation von Charakteristika und Mechanismen der Beatmungsentwöhnung als komplexe Intervention.</w:t>
      </w:r>
    </w:p>
    <w:p>
      <w:r>
        <w:rPr>
          <w:b/>
        </w:rPr>
        <w:t xml:space="preserve">Ergebnis: </w:t>
      </w:r>
      <w:r>
        <w:t>Vier Hauptthemen identifiziert: Komplexität der Beatmungsentwöhnung, Outcomes, Interventionen sowie Verknüpfungen und Wechselwirkungen. Analyse zeigt, dass Beatmungsentwöhnung durch Interaktion verschiedener Interventionen, Outcomes und kontextueller Faktoren geprägt ist und theoretisch-konzeptuell organisiert werden muss.</w:t>
      </w:r>
    </w:p>
    <w:p>
      <w:r>
        <w:rPr>
          <w:b/>
          <w:sz w:val="19"/>
        </w:rPr>
        <w:t xml:space="preserve">Übertragbarkeit: </w:t>
      </w:r>
      <w:r>
        <w:rPr>
          <w:sz w:val="19"/>
        </w:rPr>
        <w:t>Deutschland, qualitative Analyse von Intensivpflegeprozessen - systemunabhängig übertragbar</w:t>
      </w:r>
    </w:p>
    <w:p>
      <w:r>
        <w:rPr>
          <w:color w:val="5A7D3A"/>
          <w:sz w:val="18"/>
        </w:rPr>
        <w:t>https://pubmed.ncbi.nlm.nih.gov/42786673/</w:t>
      </w:r>
    </w:p>
    <w:p>
      <w:pPr>
        <w:pStyle w:val="Heading2"/>
      </w:pPr>
      <w:r>
        <w:t>Vertrauen in Gesundheitssystem und Vermeidung von Gesundheitsleistungen</w:t>
      </w:r>
    </w:p>
    <w:p>
      <w:r>
        <w:rPr>
          <w:i/>
          <w:color w:val="666666"/>
          <w:sz w:val="18"/>
        </w:rPr>
        <w:t>Uçar M et al.  ·  BMC Health Serv Res  ·  31.08.2026  ·  PMID 42786500</w:t>
      </w:r>
    </w:p>
    <w:p>
      <w:r>
        <w:t>Querschnittsuntersuchung zum Zusammenhang zwischen medizinischem Vertrauen, Systemvertrauen und Verzögerungsverhalten bei der Inanspruchnahme sowie Einstellung zu Krebsscreening in der Primärversorgung.</w:t>
      </w:r>
    </w:p>
    <w:p>
      <w:r>
        <w:rPr>
          <w:b/>
        </w:rPr>
        <w:t xml:space="preserve">Ergebnis: </w:t>
      </w:r>
      <w:r>
        <w:t>Medizinisches Misstrauen und Systemvertrauen waren positiv mit Verzögerungsverhalten assoziiert und negativ mit Screening-Einstellungen (p&lt;0,001). Medizinisches Misstrauen zeigte stärkste unabhängige Assoziation mit Verzögerungsverhalten (β=0,59) und Screening-Einstellung (β=-0,79).</w:t>
      </w:r>
    </w:p>
    <w:p>
      <w:r>
        <w:rPr>
          <w:b/>
          <w:sz w:val="19"/>
        </w:rPr>
        <w:t xml:space="preserve">Übertragbarkeit: </w:t>
      </w:r>
      <w:r>
        <w:rPr>
          <w:sz w:val="19"/>
        </w:rPr>
        <w:t>Türkei, aber Fragestellung zum Vertrauensaufbau systemunabhängig relevant</w:t>
      </w:r>
    </w:p>
    <w:p>
      <w:r>
        <w:rPr>
          <w:color w:val="5A7D3A"/>
          <w:sz w:val="18"/>
        </w:rPr>
        <w:t>https://pubmed.ncbi.nlm.nih.gov/42786500/</w:t>
      </w:r>
    </w:p>
    <w:p>
      <w:pPr>
        <w:pStyle w:val="Heading2"/>
      </w:pPr>
      <w:r>
        <w:t>Versorgungslücken in der Rehabilitation von unter 60-Jährigen in Deutschland</w:t>
      </w:r>
    </w:p>
    <w:p>
      <w:r>
        <w:rPr>
          <w:i/>
          <w:color w:val="666666"/>
          <w:sz w:val="18"/>
        </w:rPr>
        <w:t>Armbruster C et al.  ·  BMC Health Serv Res  ·  24.09.2026  ·  PMID 42786497</w:t>
      </w:r>
    </w:p>
    <w:p>
      <w:r>
        <w:t>Exploratory Expertenbefragung zu Versorgungslücken und Machbarkeit einer indikationsübergreifenden, ambulanten Rehabilitationsversorgung für Patienten unter 60 Jahren mit komplexen Beeinträchtigungen.</w:t>
      </w:r>
    </w:p>
    <w:p>
      <w:r>
        <w:rPr>
          <w:b/>
        </w:rPr>
        <w:t xml:space="preserve">Ergebnis: </w:t>
      </w:r>
      <w:r>
        <w:t>136 Experten aus sechs Fachbereichen nahmen teil; überwiegende Mehrheit sah hohe Versorgungslücken in aktuellen Rehabilitationsdiensten. Experten bewerteten indikationsübergreifende, ambulante Rehabilitation positiv bezüglich Nutzen und Notwendigkeit, um bestehende Versorgungslücken zu schließen.</w:t>
      </w:r>
    </w:p>
    <w:p>
      <w:r>
        <w:rPr>
          <w:b/>
          <w:sz w:val="19"/>
        </w:rPr>
        <w:t xml:space="preserve">Übertragbarkeit: </w:t>
      </w:r>
      <w:r>
        <w:rPr>
          <w:sz w:val="19"/>
        </w:rPr>
        <w:t>Deutsche Expertenbefragung, direkt auf deutsches Versorgungssystem anwendbar</w:t>
      </w:r>
    </w:p>
    <w:p>
      <w:r>
        <w:rPr>
          <w:color w:val="5A7D3A"/>
          <w:sz w:val="18"/>
        </w:rPr>
        <w:t>https://pubmed.ncbi.nlm.nih.gov/42786497/</w:t>
      </w:r>
    </w:p>
    <w:p>
      <w:pPr>
        <w:pStyle w:val="Heading1"/>
      </w:pPr>
      <w:r>
        <w:t>Aufgenommen am 25.09.2026</w:t>
      </w:r>
    </w:p>
    <w:p>
      <w:pPr>
        <w:pStyle w:val="Heading2"/>
      </w:pPr>
      <w:r>
        <w:t>Morbiditäten und Infektionen bei MS-Patienten in niederländischen Hausarztpraxen</w:t>
      </w:r>
    </w:p>
    <w:p>
      <w:r>
        <w:rPr>
          <w:i/>
          <w:color w:val="666666"/>
          <w:sz w:val="18"/>
        </w:rPr>
        <w:t>Lemmens CMC et al.  ·  Mult Scler Relat Disord  ·  14.09.2026  ·  PMID 42785001</w:t>
      </w:r>
    </w:p>
    <w:p>
      <w:r>
        <w:t>Retrospektive Fall-Kontroll-Studie zu Begleiterkrankungen und Infektionsraten bei MS-Patienten versus Kontrollpersonen in niederländischen Primärversorgungspraxen (Nivel-Datenbank 2019).</w:t>
      </w:r>
    </w:p>
    <w:p>
      <w:r>
        <w:rPr>
          <w:b/>
        </w:rPr>
        <w:t xml:space="preserve">Ergebnis: </w:t>
      </w:r>
      <w:r>
        <w:t>MS-Patienten zeigten höhere Lebenszeitprävalenz chronischer Erkrankungen (insbesondere Osteoporose, Schlaganfall, Epilepsie); jährliche Infektionsrate OR 1,86 (95%-KI 1,73–1,99). CCI-Scores ≥2 und ≥1 Infektionsepisode waren mit erhöhter 5-Jahres-Mortalität assoziiert (aHR 3,30 bzw. 1,68).</w:t>
      </w:r>
    </w:p>
    <w:p>
      <w:r>
        <w:rPr>
          <w:b/>
          <w:sz w:val="19"/>
        </w:rPr>
        <w:t xml:space="preserve">Übertragbarkeit: </w:t>
      </w:r>
      <w:r>
        <w:rPr>
          <w:sz w:val="19"/>
        </w:rPr>
        <w:t>Niederlande, Primärversorgungsdaten; vergleichbares Sozialversicherungssystem</w:t>
      </w:r>
    </w:p>
    <w:p>
      <w:r>
        <w:rPr>
          <w:color w:val="5A7D3A"/>
          <w:sz w:val="18"/>
        </w:rPr>
        <w:t>https://pubmed.ncbi.nlm.nih.gov/42785001/</w:t>
      </w:r>
    </w:p>
    <w:p>
      <w:pPr>
        <w:pStyle w:val="Heading2"/>
      </w:pPr>
      <w:r>
        <w:t>Patientenperspektiven auf Apotheker-gesteuertes Hypertonie-Management nach Notaufnahme</w:t>
      </w:r>
    </w:p>
    <w:p>
      <w:r>
        <w:rPr>
          <w:i/>
          <w:color w:val="666666"/>
          <w:sz w:val="18"/>
        </w:rPr>
        <w:t>Kuhn D et al.  ·  Am J Health Syst Pharm  ·  24.09.2026  ·  PMID 42781767</w:t>
      </w:r>
    </w:p>
    <w:p>
      <w:r>
        <w:t>Qualitative Studie mit 11 Patienten aus urban-akademischer Notaufnahme zur Akzeptanz von Apotheker-gesteuerter Hypertonie-Nachbetreuung nach Entlassung.</w:t>
      </w:r>
    </w:p>
    <w:p>
      <w:r>
        <w:rPr>
          <w:b/>
        </w:rPr>
        <w:t xml:space="preserve">Ergebnis: </w:t>
      </w:r>
      <w:r>
        <w:t>Vier Themen: (1) begrenzte Hypertonie-Kommunikation, Wissenslücken; (2) Technologie mindert Barrieren; (3) Apotheker-Expertise akzeptiert, aber Unsicherheit zu Qualifikation/Verschreibungsrecht; (4) Wert von Kontinuität und Arzt-Apotheker-Zusammenarbeit.</w:t>
      </w:r>
    </w:p>
    <w:p>
      <w:r>
        <w:rPr>
          <w:b/>
          <w:sz w:val="19"/>
        </w:rPr>
        <w:t xml:space="preserve">Übertragbarkeit: </w:t>
      </w:r>
      <w:r>
        <w:rPr>
          <w:sz w:val="19"/>
        </w:rPr>
        <w:t>USA, aber Fragestellung zu Prozessen/Patientenperspektive teilweise übertragbar</w:t>
      </w:r>
    </w:p>
    <w:p>
      <w:r>
        <w:rPr>
          <w:color w:val="5A7D3A"/>
          <w:sz w:val="18"/>
        </w:rPr>
        <w:t>https://pubmed.ncbi.nlm.nih.gov/42781767/</w:t>
      </w:r>
    </w:p>
    <w:p>
      <w:pPr>
        <w:pStyle w:val="Heading2"/>
      </w:pPr>
      <w:r>
        <w:t>Referenzpreise beeinflussen Kostenanalysen in gesundheitsökonomischen Evaluationen</w:t>
      </w:r>
    </w:p>
    <w:p>
      <w:r>
        <w:rPr>
          <w:i/>
          <w:color w:val="666666"/>
          <w:sz w:val="18"/>
        </w:rPr>
        <w:t>Hoelen TA et al.  ·  Int J Technol Assess Health Care  ·  24.09.2026  ·  PMID 42779108</w:t>
      </w:r>
    </w:p>
    <w:p>
      <w:r>
        <w:t>Empirischer Vergleich der Auswirkungen nationaler Preisrichtlinien auf Kostenanalysen von Gesundheitstechnologien anhand idiopathischer Skoliose in Niederlanden und Großbritannien.</w:t>
      </w:r>
    </w:p>
    <w:p>
      <w:r>
        <w:rPr>
          <w:b/>
        </w:rPr>
        <w:t xml:space="preserve">Ergebnis: </w:t>
      </w:r>
      <w:r>
        <w:t>Niederländische Kostenestimate stiegen um 18% nach Richtlinien-Update 2014–2024; UK-Kosten waren 69% höher als in NL. Zwölf niederländische Kostenposten änderten sich um &gt;10%, vier britische – deutliche Methodenvariation zwischen Ländern.</w:t>
      </w:r>
    </w:p>
    <w:p>
      <w:r>
        <w:rPr>
          <w:b/>
          <w:sz w:val="19"/>
        </w:rPr>
        <w:t xml:space="preserve">Übertragbarkeit: </w:t>
      </w:r>
      <w:r>
        <w:rPr>
          <w:sz w:val="19"/>
        </w:rPr>
        <w:t>Niederlande, Vereinigtes Königreich; zentrale Erkenntnisse zu Übertragbarkeitsgrenzen</w:t>
      </w:r>
    </w:p>
    <w:p>
      <w:r>
        <w:rPr>
          <w:color w:val="5A7D3A"/>
          <w:sz w:val="18"/>
        </w:rPr>
        <w:t>https://pubmed.ncbi.nlm.nih.gov/42779108/</w:t>
      </w:r>
    </w:p>
    <w:p>
      <w:pPr>
        <w:pStyle w:val="Heading2"/>
      </w:pPr>
      <w:r>
        <w:t>Regionale Demenz-Strategie durch Delphi-Prozess: Sachsen-Anhalt</w:t>
      </w:r>
    </w:p>
    <w:p>
      <w:r>
        <w:rPr>
          <w:i/>
          <w:color w:val="666666"/>
          <w:sz w:val="18"/>
        </w:rPr>
        <w:t>Schiller C et al.  ·  BMC Health Serv Res  ·  22.09.2026  ·  PMID 42778917</w:t>
      </w:r>
    </w:p>
    <w:p>
      <w:r>
        <w:t>Partizipative, zweiphasige Methode (Delphi + deliberative Dialoge) zur Entwicklung einer regionalen Demenz-Strategie mit 406 Teilnehmern (Betroffene, Angehörige, Fachkräfte, Politiker).</w:t>
      </w:r>
    </w:p>
    <w:p>
      <w:r>
        <w:rPr>
          <w:b/>
        </w:rPr>
        <w:t xml:space="preserve">Ergebnis: </w:t>
      </w:r>
      <w:r>
        <w:t>88 initiale Ziele; 47 erreichten Konsens in Runde 1, 21 weitere in Runde 2, 7 durch Dialoge validiert. Finale Strategie: 40 strategische Ziele in vier Themenbereichen. Identifizierte Hürden: Fachkräftemangel, Bürokratie, Angehörigen-Belastung.</w:t>
      </w:r>
    </w:p>
    <w:p>
      <w:r>
        <w:rPr>
          <w:b/>
          <w:sz w:val="19"/>
        </w:rPr>
        <w:t xml:space="preserve">Übertragbarkeit: </w:t>
      </w:r>
      <w:r>
        <w:rPr>
          <w:sz w:val="19"/>
        </w:rPr>
        <w:t>Deutschland (Sachsen-Anhalt); direkter Übertrag auf Versorgungsplanung</w:t>
      </w:r>
    </w:p>
    <w:p>
      <w:r>
        <w:rPr>
          <w:color w:val="5A7D3A"/>
          <w:sz w:val="18"/>
        </w:rPr>
        <w:t>https://pubmed.ncbi.nlm.nih.gov/42778917/</w:t>
      </w:r>
    </w:p>
    <w:p>
      <w:pPr>
        <w:pStyle w:val="Heading2"/>
      </w:pPr>
      <w:r>
        <w:t>Ökonomische Evaluation von Prävention gegen Langzeiterkrankschreibung</w:t>
      </w:r>
    </w:p>
    <w:p>
      <w:r>
        <w:rPr>
          <w:i/>
          <w:color w:val="666666"/>
          <w:sz w:val="18"/>
        </w:rPr>
        <w:t>Klasen S et al.  ·  J Occup Rehabil  ·  23.09.2026  ·  PMID 42778834</w:t>
      </w:r>
    </w:p>
    <w:p>
      <w:r>
        <w:t>Gesundheitsökonomische Analyse einer Früh-Interventionsstrategie gegen Langzeitausfallrisiko basierend auf RCT-Daten mit 12-Monats-Follow-up in Niederlanden.</w:t>
      </w:r>
    </w:p>
    <w:p>
      <w:r>
        <w:rPr>
          <w:b/>
        </w:rPr>
        <w:t xml:space="preserve">Ergebnis: </w:t>
      </w:r>
      <w:r>
        <w:t>Aus Arbeitgeber-Perspektive dominant (€–3,92/Punkt Selbstempfundene-Gesundheit-Verbesserung mit Kostenersparnis durch reduzierte Krankschreibung). Aus Gesellschafts- und Gesundheitswesen-Perspektive: ICER €39,19–39,77/Punkt.</w:t>
      </w:r>
    </w:p>
    <w:p>
      <w:r>
        <w:rPr>
          <w:b/>
          <w:sz w:val="19"/>
        </w:rPr>
        <w:t xml:space="preserve">Übertragbarkeit: </w:t>
      </w:r>
      <w:r>
        <w:rPr>
          <w:sz w:val="19"/>
        </w:rPr>
        <w:t>Niederlande, Sozialversicherungssystem, Arbeitsmedizin-Fokus</w:t>
      </w:r>
    </w:p>
    <w:p>
      <w:r>
        <w:rPr>
          <w:color w:val="5A7D3A"/>
          <w:sz w:val="18"/>
        </w:rPr>
        <w:t>https://pubmed.ncbi.nlm.nih.gov/42778834/</w:t>
      </w:r>
    </w:p>
    <w:p>
      <w:pPr>
        <w:pStyle w:val="Heading2"/>
      </w:pPr>
      <w:r>
        <w:t>Kosteneffektivität von endoskopischer Schlauchmagen-Bildung in Singapur</w:t>
      </w:r>
    </w:p>
    <w:p>
      <w:r>
        <w:rPr>
          <w:i/>
          <w:color w:val="666666"/>
          <w:sz w:val="18"/>
        </w:rPr>
        <w:t>Chay J et al.  ·  Surg Obes Relat Dis  ·  28.08.2026  ·  PMID 42767913</w:t>
      </w:r>
    </w:p>
    <w:p>
      <w:r>
        <w:t>Markov-Modell zur Lebenszeitanalyse von endoskopischer Schlauchmagen-Bildung plus Lebensstiländerung versus alleinige Lebensstiländerung bei Adipositas.</w:t>
      </w:r>
    </w:p>
    <w:p>
      <w:r>
        <w:rPr>
          <w:b/>
        </w:rPr>
        <w:t xml:space="preserve">Ergebnis: </w:t>
      </w:r>
      <w:r>
        <w:t>ICER SG$24.580/QALY (US$18.410). Für Patienten ohne T2D: SG$19.320/QALY; mit T2D: SG$37.320/QALY. Bei Schwelle SG$75.000/QALY kosteneffektiv in 98,8% probabilistischer Sensitivitätsanalysen.</w:t>
      </w:r>
    </w:p>
    <w:p>
      <w:r>
        <w:rPr>
          <w:b/>
          <w:sz w:val="19"/>
        </w:rPr>
        <w:t xml:space="preserve">Übertragbarkeit: </w:t>
      </w:r>
      <w:r>
        <w:rPr>
          <w:sz w:val="19"/>
        </w:rPr>
        <w:t>Nur bedingt: Singapur-Kontext, andere Kostenstrukturen; Fragestellung aber systemunabhängig</w:t>
      </w:r>
    </w:p>
    <w:p>
      <w:r>
        <w:rPr>
          <w:color w:val="5A7D3A"/>
          <w:sz w:val="18"/>
        </w:rPr>
        <w:t>https://pubmed.ncbi.nlm.nih.gov/42767913/</w:t>
      </w:r>
    </w:p>
    <w:p>
      <w:pPr>
        <w:pStyle w:val="Heading1"/>
      </w:pPr>
      <w:r>
        <w:t>Aufgenommen am 24.09.2026</w:t>
      </w:r>
    </w:p>
    <w:p>
      <w:pPr>
        <w:pStyle w:val="Heading2"/>
      </w:pPr>
      <w:r>
        <w:t>Rauchen und schwere Erkrankungen: 10-Jahres-Assoziation mit Nikotinentwöhnung</w:t>
      </w:r>
    </w:p>
    <w:p>
      <w:r>
        <w:rPr>
          <w:i/>
          <w:color w:val="666666"/>
          <w:sz w:val="18"/>
        </w:rPr>
        <w:t>Imai E et al.  ·  J Epidemiol  ·  19.09.2026  ·  PMID 42778372</w:t>
      </w:r>
    </w:p>
    <w:p>
      <w:r>
        <w:t>Prospektive Kohortenstudie mit 17.779 japanischen Rauchern zur Assoziation von Herzinfarkt, Schlaganfall, Krebs und Chirurgie mit langfristiger Rauchentwöhnung.</w:t>
      </w:r>
    </w:p>
    <w:p>
      <w:r>
        <w:rPr>
          <w:b/>
        </w:rPr>
        <w:t xml:space="preserve">Ergebnis: </w:t>
      </w:r>
      <w:r>
        <w:t>26,9 % der Raucher (n=4.789) beendeten das Rauchen über 10 Jahre. Major-disease-Diagnosen zeigten starke Assoziation mit Entwöhnung (OR 5,39; 95%-KI 4,80–6,05); Herzinfarkt OR 6,87 (95%-KI 5,18–9,12), Schlaganfall OR 4,03 (95%-KI 3,40–4,78), Lungenkrebs OR 7,41 (95%-KI 4,44–12,51).</w:t>
      </w:r>
    </w:p>
    <w:p>
      <w:r>
        <w:rPr>
          <w:b/>
          <w:sz w:val="19"/>
        </w:rPr>
        <w:t xml:space="preserve">Übertragbarkeit: </w:t>
      </w:r>
      <w:r>
        <w:rPr>
          <w:sz w:val="19"/>
        </w:rPr>
        <w:t>Japan – Fragestellung systemunabhängig; vergleichbare Verhaltensforschung übertragbar</w:t>
      </w:r>
    </w:p>
    <w:p>
      <w:r>
        <w:rPr>
          <w:color w:val="5A7D3A"/>
          <w:sz w:val="18"/>
        </w:rPr>
        <w:t>https://pubmed.ncbi.nlm.nih.gov/42778372/</w:t>
      </w:r>
    </w:p>
    <w:p>
      <w:pPr>
        <w:pStyle w:val="Heading2"/>
      </w:pPr>
      <w:r>
        <w:t>Gemeindeverankerung und Verbleib von Ärzten in unterversorgten Regionen</w:t>
      </w:r>
    </w:p>
    <w:p>
      <w:r>
        <w:rPr>
          <w:i/>
          <w:color w:val="666666"/>
          <w:sz w:val="18"/>
        </w:rPr>
        <w:t>Pathman DE et al.  ·  JAMA Netw Open  ·  01.09.2026  ·  PMID 42776525</w:t>
      </w:r>
    </w:p>
    <w:p>
      <w:r>
        <w:t>Querschnittsstudie mit 1.074 Ärzten in ländlichen und urbanen Health Professional Shortage Areas (HPSA) zur Assoziation von Gemeindeintegration mit beabsichtigtem Verbleib.</w:t>
      </w:r>
    </w:p>
    <w:p>
      <w:r>
        <w:rPr>
          <w:b/>
        </w:rPr>
        <w:t xml:space="preserve">Ergebnis: </w:t>
      </w:r>
      <w:r>
        <w:t>75,5 % der Ärzte in ländlichen und 71,2 % in urbanen HPSA planten Verbleib &gt;2 Jahre (p=0,14). Beide Dimensionen (Gemeindeintegration β=0,58–0,69; Gemeindebedarfserfüllung β=0,56–0,61) waren unabhängig assoziiert mit Verbleib; keine signifikanten ländlich-urbanen Unterschiede.</w:t>
      </w:r>
    </w:p>
    <w:p>
      <w:r>
        <w:rPr>
          <w:b/>
          <w:sz w:val="19"/>
        </w:rPr>
        <w:t xml:space="preserve">Übertragbarkeit: </w:t>
      </w:r>
      <w:r>
        <w:rPr>
          <w:sz w:val="19"/>
        </w:rPr>
        <w:t>USA-Daten – Fragestellung zu Ärztebindung aber systemunabhängig relevant</w:t>
      </w:r>
    </w:p>
    <w:p>
      <w:r>
        <w:rPr>
          <w:color w:val="5A7D3A"/>
          <w:sz w:val="18"/>
        </w:rPr>
        <w:t>https://pubmed.ncbi.nlm.nih.gov/42776525/</w:t>
      </w:r>
    </w:p>
    <w:p>
      <w:pPr>
        <w:pStyle w:val="Heading2"/>
      </w:pPr>
      <w:r>
        <w:t>Unkomplizierte Harnwegsinfekte: Apothekerverschreibung in der Gemeindepharmzie</w:t>
      </w:r>
    </w:p>
    <w:p>
      <w:r>
        <w:rPr>
          <w:i/>
          <w:color w:val="666666"/>
          <w:sz w:val="18"/>
        </w:rPr>
        <w:t>Budden M et al.  ·  Int J Clin Pharm  ·  23.09.2026  ·  PMID 42776432</w:t>
      </w:r>
    </w:p>
    <w:p>
      <w:r>
        <w:t>Große Kohortenstudie (n=14.680 Follow-up) zu Wirksamkeit und Sicherheit von strukturierter Apothekerverschreibung für unkomplizierte Harnwegsinfekte in Australien.</w:t>
      </w:r>
    </w:p>
    <w:p>
      <w:r>
        <w:rPr>
          <w:b/>
        </w:rPr>
        <w:t xml:space="preserve">Ergebnis: </w:t>
      </w:r>
      <w:r>
        <w:t>Symptomauflösung nach 7 Tagen bei 79,4 % der Patienten, weitere 17,9 % mit Teilbesserung. Antibiotika in 92,6 % verschrieben, Überweisungen in 6,9 %, Nebenwirkungen in 5,0 % (meist milde gastrointestinale Symptome).</w:t>
      </w:r>
    </w:p>
    <w:p>
      <w:r>
        <w:rPr>
          <w:b/>
          <w:sz w:val="19"/>
        </w:rPr>
        <w:t xml:space="preserve">Übertragbarkeit: </w:t>
      </w:r>
      <w:r>
        <w:rPr>
          <w:sz w:val="19"/>
        </w:rPr>
        <w:t>Australien – vergleichbar zu Apotheker-Extended-Services in Sozialversicherungssystemen</w:t>
      </w:r>
    </w:p>
    <w:p>
      <w:r>
        <w:rPr>
          <w:color w:val="5A7D3A"/>
          <w:sz w:val="18"/>
        </w:rPr>
        <w:t>https://pubmed.ncbi.nlm.nih.gov/42776432/</w:t>
      </w:r>
    </w:p>
    <w:p>
      <w:pPr>
        <w:pStyle w:val="Heading2"/>
      </w:pPr>
      <w:r>
        <w:t>Augenärztliche Versorgung in deutschen Seniorenheimen: TOVIS-Studie</w:t>
      </w:r>
    </w:p>
    <w:p>
      <w:r>
        <w:rPr>
          <w:i/>
          <w:color w:val="666666"/>
          <w:sz w:val="18"/>
        </w:rPr>
        <w:t>Ach T et al.  ·  Z Gerontol Geriatr  ·  23.09.2026  ·  PMID 42776232</w:t>
      </w:r>
    </w:p>
    <w:p>
      <w:r>
        <w:t>Narrative Übersicht mit Fokus auf Versorgungslücken bei Augenerkrankungen in deutschen Pflegeheimen und Teleophthalmologie-Modell TOVIS (n=109 Bewohner).</w:t>
      </w:r>
    </w:p>
    <w:p>
      <w:r>
        <w:rPr>
          <w:b/>
        </w:rPr>
        <w:t xml:space="preserve">Ergebnis: </w:t>
      </w:r>
      <w:r>
        <w:t>OVIS-Studie: 61 % der Bewohner hatten behandlungsbedürftige ophthalmologische Befunde (Katarakt 53 %, AMD 39 %); letzte Augenarztvisite durchschnittlich 4 Jahre zurück. TOVIS-Pilotstudie: 48,5 % visusrelevante Katarakt, 34,1 % AMD, 60,6 % unzureichend angepasste Brille; nur 26,9 % der empfohlenen Nachuntersuchungen tatsächlich wahrgenommen.</w:t>
      </w:r>
    </w:p>
    <w:p>
      <w:r>
        <w:rPr>
          <w:b/>
          <w:sz w:val="19"/>
        </w:rPr>
        <w:t xml:space="preserve">Übertragbarkeit: </w:t>
      </w:r>
      <w:r>
        <w:rPr>
          <w:sz w:val="19"/>
        </w:rPr>
        <w:t>Deutsche Daten, Seniorenheime – direkt auf deutsches System übertragbar</w:t>
      </w:r>
    </w:p>
    <w:p>
      <w:r>
        <w:rPr>
          <w:color w:val="5A7D3A"/>
          <w:sz w:val="18"/>
        </w:rPr>
        <w:t>https://pubmed.ncbi.nlm.nih.gov/42776232/</w:t>
      </w:r>
    </w:p>
    <w:p>
      <w:pPr>
        <w:pStyle w:val="Heading2"/>
      </w:pPr>
      <w:r>
        <w:t>Soziale Determinanten und Gesundheitsungleichheit: Systemdynamische Perspektive</w:t>
      </w:r>
    </w:p>
    <w:p>
      <w:r>
        <w:rPr>
          <w:i/>
          <w:color w:val="666666"/>
          <w:sz w:val="18"/>
        </w:rPr>
        <w:t>Sturmberg JP et al.  ·  Front Public Health  ·  08.09.2026  ·  PMID 42774359</w:t>
      </w:r>
    </w:p>
    <w:p>
      <w:r>
        <w:t>Konzeptionelle Übersichtsarbeit zu Mechanismen, wie vernetzte soziale Determinanten Gesundheitsungleichheit durch biologisches Embedding und Rückkopplungsschleifen über die Lebensspanne verfestigen.</w:t>
      </w:r>
    </w:p>
    <w:p>
      <w:r>
        <w:rPr>
          <w:b/>
        </w:rPr>
        <w:t xml:space="preserve">Ergebnis: </w:t>
      </w:r>
      <w:r>
        <w:t>Kernaussage: Frühe biologische Prägung (Stressregulation, Entzündung, Epigenetik) und systemische Rückkopplungsschleifen stabilisieren Nachteil über Generationen; Nichtlinearität erklärt begrenzte Effekte isolierter Interventionen. Koordinierte, ortsgestützte Strategien und relationale Kontinuität in Primärversorgung zeigen Potenzial.</w:t>
      </w:r>
    </w:p>
    <w:p>
      <w:r>
        <w:rPr>
          <w:b/>
          <w:sz w:val="19"/>
        </w:rPr>
        <w:t xml:space="preserve">Übertragbarkeit: </w:t>
      </w:r>
      <w:r>
        <w:rPr>
          <w:sz w:val="19"/>
        </w:rPr>
        <w:t>Konzeptionelle Analyse – systemunabhängig, aber besonders relevant für Versorgungsstruktur</w:t>
      </w:r>
    </w:p>
    <w:p>
      <w:r>
        <w:rPr>
          <w:color w:val="5A7D3A"/>
          <w:sz w:val="18"/>
        </w:rPr>
        <w:t>https://pubmed.ncbi.nlm.nih.gov/42774359/</w:t>
      </w:r>
    </w:p>
    <w:p>
      <w:pPr>
        <w:pStyle w:val="Heading2"/>
      </w:pPr>
      <w:r>
        <w:t>Künstliche Intelligenz in der Kosten-Effektivitäts-Bewertung von Schmerztherapie</w:t>
      </w:r>
    </w:p>
    <w:p>
      <w:r>
        <w:rPr>
          <w:i/>
          <w:color w:val="666666"/>
          <w:sz w:val="18"/>
        </w:rPr>
        <w:t>Zmudzki F et al.  ·  Expert Rev Pharmacoecon Outcomes Res  ·  22.09.2026  ·  PMID 42773780</w:t>
      </w:r>
    </w:p>
    <w:p>
      <w:r>
        <w:t>Übersichtsarbeit zu Integration von KI-Methoden in ökonomische Evaluationen zur Präzisionsmedizin bei chronischem Schmerz.</w:t>
      </w:r>
    </w:p>
    <w:p>
      <w:r>
        <w:rPr>
          <w:b/>
        </w:rPr>
        <w:t xml:space="preserve">Ergebnis: </w:t>
      </w:r>
      <w:r>
        <w:t>Diskussion, wie maschinelles Lernen und automatisierte Datenverarbeitung ökonomische Rahmen für personalisierte Schmerzmanagement-Strategien verbessern können; konkrete Ergebnisse im Abstract nicht quantifiziert.</w:t>
      </w:r>
    </w:p>
    <w:p>
      <w:r>
        <w:rPr>
          <w:b/>
          <w:sz w:val="19"/>
        </w:rPr>
        <w:t xml:space="preserve">Übertragbarkeit: </w:t>
      </w:r>
      <w:r>
        <w:rPr>
          <w:sz w:val="19"/>
        </w:rPr>
        <w:t>Konzeptionelle Methodologie – systemunabhängig auf KI-Anwendungen fokussiert</w:t>
      </w:r>
    </w:p>
    <w:p>
      <w:r>
        <w:rPr>
          <w:color w:val="5A7D3A"/>
          <w:sz w:val="18"/>
        </w:rPr>
        <w:t>https://pubmed.ncbi.nlm.nih.gov/42773780/</w:t>
      </w:r>
    </w:p>
    <w:p>
      <w:pPr>
        <w:pStyle w:val="Heading1"/>
      </w:pPr>
      <w:r>
        <w:t>Aufgenommen am 23.09.2026</w:t>
      </w:r>
    </w:p>
    <w:p>
      <w:pPr>
        <w:pStyle w:val="Heading2"/>
      </w:pPr>
      <w:r>
        <w:t>Einkommensvolatilität und Mortalität bei Depression</w:t>
      </w:r>
    </w:p>
    <w:p>
      <w:r>
        <w:rPr>
          <w:i/>
          <w:color w:val="666666"/>
          <w:sz w:val="18"/>
        </w:rPr>
        <w:t>Cho H et al.  ·  J Korean Med Sci  ·  21.09.2026  ·  PMID 42773077</w:t>
      </w:r>
    </w:p>
    <w:p>
      <w:r>
        <w:t>Koreanische Kohortenstudie an 735.922 Personen mit Depression, die Zusammenhang zwischen Einkommensvolatilität und all-cause-Mortalität sowie Hospitalisierungen untersuchte.</w:t>
      </w:r>
    </w:p>
    <w:p>
      <w:r>
        <w:rPr>
          <w:b/>
        </w:rPr>
        <w:t xml:space="preserve">Ergebnis: </w:t>
      </w:r>
      <w:r>
        <w:t>Höhere Einkommensvolatilität assoziiert mit erhöhtem Mortalitätsrisiko (HR 1,18; 95%-KI 1,16–1,19) und Hospitalisierungen (IRR 1,07; 1,06–1,08). Bei Männern stärker ausgeprägt (HR 1,26 vs. 1,12 bei Frauen). Besonders hohe Risiken für Bluterkrankungen (IRR 1,47), endokrine Erkrankungen (1,40) und psychische Störungen (1,26).</w:t>
      </w:r>
    </w:p>
    <w:p>
      <w:r>
        <w:rPr>
          <w:b/>
          <w:sz w:val="19"/>
        </w:rPr>
        <w:t xml:space="preserve">Übertragbarkeit: </w:t>
      </w:r>
      <w:r>
        <w:rPr>
          <w:sz w:val="19"/>
        </w:rPr>
        <w:t>Südkorea – begrenzte Übertragbarkeit auf deutsches System mit anderer Sozialstruktur</w:t>
      </w:r>
    </w:p>
    <w:p>
      <w:r>
        <w:rPr>
          <w:color w:val="5A7D3A"/>
          <w:sz w:val="18"/>
        </w:rPr>
        <w:t>https://pubmed.ncbi.nlm.nih.gov/42773077/</w:t>
      </w:r>
    </w:p>
    <w:p>
      <w:pPr>
        <w:pStyle w:val="Heading2"/>
      </w:pPr>
      <w:r>
        <w:t>Ultra-verarbeitete Lebensmittel und chronische Erkrankungen</w:t>
      </w:r>
    </w:p>
    <w:p>
      <w:r>
        <w:rPr>
          <w:i/>
          <w:color w:val="666666"/>
          <w:sz w:val="18"/>
        </w:rPr>
        <w:t>Liu X et al.  ·  Fam Med Community Health  ·  22.09.2026  ·  PMID 42773062</w:t>
      </w:r>
    </w:p>
    <w:p>
      <w:r>
        <w:t>Metaanalyse von 51 prospektiven Kohortenstudien mit 8,8 Mio. Teilnehmern zu Risiken ultra-verarbeiteter Lebensmittel.</w:t>
      </w:r>
    </w:p>
    <w:p>
      <w:r>
        <w:rPr>
          <w:b/>
        </w:rPr>
        <w:t xml:space="preserve">Ergebnis: </w:t>
      </w:r>
      <w:r>
        <w:t>Ultra-verarbeitete Lebensmittel assoziiert mit kardiovaskulären Ereignissen (HR 1,24), Krebs (HR 1,12), Adipositas (HR 1,23), Diabetes (HR 1,24), Depression/Angststörung (HR 1,27), Verdauungserkrankungen (HR 1,31) und all-cause-Mortalität (HR 1,18). Pro 100 g/Tag zusätzlich: kardiovaskuläre Ereignisse HR 1,14.</w:t>
      </w:r>
    </w:p>
    <w:p>
      <w:r>
        <w:rPr>
          <w:b/>
          <w:sz w:val="19"/>
        </w:rPr>
        <w:t xml:space="preserve">Übertragbarkeit: </w:t>
      </w:r>
      <w:r>
        <w:rPr>
          <w:sz w:val="19"/>
        </w:rPr>
        <w:t>Internationale Daten – Fragestellung systemunabhängig, für Public-Health-Empfehlungen universell übertragbar</w:t>
      </w:r>
    </w:p>
    <w:p>
      <w:r>
        <w:rPr>
          <w:color w:val="5A7D3A"/>
          <w:sz w:val="18"/>
        </w:rPr>
        <w:t>https://pubmed.ncbi.nlm.nih.gov/42773062/</w:t>
      </w:r>
    </w:p>
    <w:p>
      <w:pPr>
        <w:pStyle w:val="Heading2"/>
      </w:pPr>
      <w:r>
        <w:t>Kardiovaskuläre Autonome Neuropathie und Diabeteskomplikationen</w:t>
      </w:r>
    </w:p>
    <w:p>
      <w:r>
        <w:rPr>
          <w:i/>
          <w:color w:val="666666"/>
          <w:sz w:val="18"/>
        </w:rPr>
        <w:t>Ignacy P et al.  ·  Clin Ther  ·  22.09.2026  ·  PMID 42773037</w:t>
      </w:r>
    </w:p>
    <w:p>
      <w:r>
        <w:t>Polnische Querschnittsstudie mit 728 Diabetespatienten zur Assoziation zwischen mikrovaskulären/makrovaskulären Komplikationen und kardiovaskulärer autonomer Neuropathie.</w:t>
      </w:r>
    </w:p>
    <w:p>
      <w:r>
        <w:rPr>
          <w:b/>
        </w:rPr>
        <w:t xml:space="preserve">Ergebnis: </w:t>
      </w:r>
      <w:r>
        <w:t>Kardiovaskuläre autonome Neuropathie bei 48,2% (davon definit 15,8%). Unabhängig assoziiert mit diabetischer Retinopathie (OR 2,26; 95%-KI 1,25–4,19; p=0,008); borderline mit CKD (OR 1,57; p=0,049). Keine signifikante Assoziation mit ASCVD.</w:t>
      </w:r>
    </w:p>
    <w:p>
      <w:r>
        <w:rPr>
          <w:b/>
          <w:sz w:val="19"/>
        </w:rPr>
        <w:t xml:space="preserve">Übertragbarkeit: </w:t>
      </w:r>
      <w:r>
        <w:rPr>
          <w:sz w:val="19"/>
        </w:rPr>
        <w:t>Polen – ähnliches Sozialversicherungssystem, gute Übertragbarkeit auf Deutschland</w:t>
      </w:r>
    </w:p>
    <w:p>
      <w:r>
        <w:rPr>
          <w:color w:val="5A7D3A"/>
          <w:sz w:val="18"/>
        </w:rPr>
        <w:t>https://pubmed.ncbi.nlm.nih.gov/42773037/</w:t>
      </w:r>
    </w:p>
    <w:p>
      <w:pPr>
        <w:pStyle w:val="Heading2"/>
      </w:pPr>
      <w:r>
        <w:t>Persona-Methode in partizipativer Versorgungsforschung</w:t>
      </w:r>
    </w:p>
    <w:p>
      <w:r>
        <w:rPr>
          <w:i/>
          <w:color w:val="666666"/>
          <w:sz w:val="18"/>
        </w:rPr>
        <w:t>Dittmer K et al.  ·  Z Evid Fortbild Qual Gesundhwes  ·  22.09.2026  ·  PMID 42773021</w:t>
      </w:r>
    </w:p>
    <w:p>
      <w:r>
        <w:t>Deutschsprachiger Methodenbericht zur Anwendung der Persona-Methode bei partizipativer Versorgungsforschung mit Fokusgruppen und Expert*innen.</w:t>
      </w:r>
    </w:p>
    <w:p>
      <w:r>
        <w:rPr>
          <w:b/>
        </w:rPr>
        <w:t xml:space="preserve">Ergebnis: </w:t>
      </w:r>
      <w:r>
        <w:t>Personas integrieren Erfahrungswissen mehrerer Experten anonym, ohne persönliche Daten preiszugeben; ideal für vulnerable Gruppen. Risiken: Stereotypisierung; Mitigation durch reflektive Entwicklungsprozesse. Reflexionsfragen zur Bias-Reduktion werden präsentiert.</w:t>
      </w:r>
    </w:p>
    <w:p>
      <w:r>
        <w:rPr>
          <w:b/>
          <w:sz w:val="19"/>
        </w:rPr>
        <w:t xml:space="preserve">Übertragbarkeit: </w:t>
      </w:r>
      <w:r>
        <w:rPr>
          <w:sz w:val="19"/>
        </w:rPr>
        <w:t>Deutsches Projekt – direkt übertragbar auf deutsche Versorgungsforschung</w:t>
      </w:r>
    </w:p>
    <w:p>
      <w:r>
        <w:rPr>
          <w:color w:val="5A7D3A"/>
          <w:sz w:val="18"/>
        </w:rPr>
        <w:t>https://pubmed.ncbi.nlm.nih.gov/42773021/</w:t>
      </w:r>
    </w:p>
    <w:p>
      <w:pPr>
        <w:pStyle w:val="Heading2"/>
      </w:pPr>
      <w:r>
        <w:t>Mobile Screening-Einheit für Barretts Ösophagus in England</w:t>
      </w:r>
    </w:p>
    <w:p>
      <w:r>
        <w:rPr>
          <w:i/>
          <w:color w:val="666666"/>
          <w:sz w:val="18"/>
        </w:rPr>
        <w:t>Landy R et al.  ·  BMJ Open Gastroenterol  ·  22.09.2026  ·  PMID 42772946</w:t>
      </w:r>
    </w:p>
    <w:p>
      <w:r>
        <w:t>Implementierungsstudie in England mit mobiler Einheit zur Kapselschwamm-Testung bei Refluxpatienten; Vergleich Hausarzt-Rekrutierung vs. Selbstmeldung.</w:t>
      </w:r>
    </w:p>
    <w:p>
      <w:r>
        <w:rPr>
          <w:b/>
        </w:rPr>
        <w:t xml:space="preserve">Ergebnis: </w:t>
      </w:r>
      <w:r>
        <w:t>Bei GP-Einladung: 50% Antwortquote, 59,6% interessiert, 66,3% elegibel, 532 teilgenommen; 15% aller Eingeladenen erfolgreich getestet. Bei Selbstmeldung: 39,6% erfolgreich getestet. Barretts-Prävalenz 4,2% (GP-invitiert) vs. 3,4% (Selbstmeldung). Akzeptanz &gt;99%.</w:t>
      </w:r>
    </w:p>
    <w:p>
      <w:r>
        <w:rPr>
          <w:b/>
          <w:sz w:val="19"/>
        </w:rPr>
        <w:t xml:space="preserve">Übertragbarkeit: </w:t>
      </w:r>
      <w:r>
        <w:rPr>
          <w:sz w:val="19"/>
        </w:rPr>
        <w:t>Großbritannien – ähnliche Primärversorgungsstruktur, begrenzte Übertragbarkeit (steuerfinanziert)</w:t>
      </w:r>
    </w:p>
    <w:p>
      <w:r>
        <w:rPr>
          <w:color w:val="5A7D3A"/>
          <w:sz w:val="18"/>
        </w:rPr>
        <w:t>https://pubmed.ncbi.nlm.nih.gov/42772946/</w:t>
      </w:r>
    </w:p>
    <w:p>
      <w:pPr>
        <w:pStyle w:val="Heading2"/>
      </w:pPr>
      <w:r>
        <w:t>Forschungsprioritäten in Hebammentätigkeit und Geburtshilfe</w:t>
      </w:r>
    </w:p>
    <w:p>
      <w:r>
        <w:rPr>
          <w:i/>
          <w:color w:val="666666"/>
          <w:sz w:val="18"/>
        </w:rPr>
        <w:t>Field J et al.  ·  BMJ Open  ·  21.09.2026  ·  PMID 42767736</w:t>
      </w:r>
    </w:p>
    <w:p>
      <w:r>
        <w:t>UK James-Lind-Alliance Priority-Setting Partnership mit 977 Befragten (Hebammen, Eltern, schwangere Personen) zur Identifikation von Forschungslücken in Geburtshilfe.</w:t>
      </w:r>
    </w:p>
    <w:p>
      <w:r>
        <w:rPr>
          <w:b/>
        </w:rPr>
        <w:t xml:space="preserve">Ergebnis: </w:t>
      </w:r>
      <w:r>
        <w:t>68 Priority-Topics identifiziert, nach evidenzbasierter Prüfung auf 67 reduziert, dann von 548 Befragten gereiht. 10 Top-Prioritäten durch Konsens vereinbart; umfassen klinische Versorgung, Personalwohlbefinden und Ausbildung.</w:t>
      </w:r>
    </w:p>
    <w:p>
      <w:r>
        <w:rPr>
          <w:b/>
          <w:sz w:val="19"/>
        </w:rPr>
        <w:t xml:space="preserve">Übertragbarkeit: </w:t>
      </w:r>
      <w:r>
        <w:rPr>
          <w:sz w:val="19"/>
        </w:rPr>
        <w:t>Großbritannien – methodisch stark, bedingt übertragbar auf deutsches Hebammensystem</w:t>
      </w:r>
    </w:p>
    <w:p>
      <w:r>
        <w:rPr>
          <w:color w:val="5A7D3A"/>
          <w:sz w:val="18"/>
        </w:rPr>
        <w:t>https://pubmed.ncbi.nlm.nih.gov/42767736/</w:t>
      </w:r>
    </w:p>
    <w:p>
      <w:pPr>
        <w:pStyle w:val="Heading2"/>
      </w:pPr>
      <w:r>
        <w:t>FeNO und Blut-Eosinophile zur Asthmadiagnose bei Kindern und Erwachsenen</w:t>
      </w:r>
    </w:p>
    <w:p>
      <w:r>
        <w:rPr>
          <w:i/>
          <w:color w:val="666666"/>
          <w:sz w:val="18"/>
        </w:rPr>
        <w:t>Roy MA et al.  ·  Lancet Respir Med  ·  15.09.2026  ·  PMID 42743935</w:t>
      </w:r>
    </w:p>
    <w:p>
      <w:r>
        <w:t>Metaanalyse von 30 diagnostischen Studien (22 bei Erwachsenen, 9 bei Kindern) zur Genauigkeit von FeNO und Blut-Eosinophilen gegenüber Bronchialprovokationstests.</w:t>
      </w:r>
    </w:p>
    <w:p>
      <w:r>
        <w:rPr>
          <w:b/>
        </w:rPr>
        <w:t xml:space="preserve">Ergebnis: </w:t>
      </w:r>
      <w:r>
        <w:t>FeNO diagnostische Genauigkeit: Erwachsene AUC 0,80, Kinder AUC 0,75. Bei Erwachsenen FeNO≥65 ppb: positive Vorhersagekraft 80%, &lt;20 ppb: negative VK 93%. Blut-Eosinophile schwache Leistung (AUC 0,65). Prospektive Validierung in DIVE-Kohorte (n=123) bestätigte Ergebnisse (FeNO AUC 0,77).</w:t>
      </w:r>
    </w:p>
    <w:p>
      <w:r>
        <w:rPr>
          <w:b/>
          <w:sz w:val="19"/>
        </w:rPr>
        <w:t xml:space="preserve">Übertragbarkeit: </w:t>
      </w:r>
      <w:r>
        <w:rPr>
          <w:sz w:val="19"/>
        </w:rPr>
        <w:t>Internationale Daten mit prospektiver Primärversorgungsvalidierung – Diagnostik systemunabhängig</w:t>
      </w:r>
    </w:p>
    <w:p>
      <w:r>
        <w:rPr>
          <w:color w:val="5A7D3A"/>
          <w:sz w:val="18"/>
        </w:rPr>
        <w:t>https://pubmed.ncbi.nlm.nih.gov/42743935/</w:t>
      </w:r>
    </w:p>
    <w:p>
      <w:pPr>
        <w:pStyle w:val="Heading1"/>
      </w:pPr>
      <w:r>
        <w:t>Aufgenommen am 22.09.2026</w:t>
      </w:r>
    </w:p>
    <w:p>
      <w:pPr>
        <w:pStyle w:val="Heading2"/>
      </w:pPr>
      <w:r>
        <w:t>Teletherapy-Einsatz in der Physiotherapie: deutsche Versorgungsforschung zu Barrieren und Förderfaktoren</w:t>
      </w:r>
    </w:p>
    <w:p>
      <w:r>
        <w:rPr>
          <w:i/>
          <w:color w:val="666666"/>
          <w:sz w:val="18"/>
        </w:rPr>
        <w:t>Michels T et al.  ·  JMIR Form Res  ·  21.09.2026  ·  PMID 42766842</w:t>
      </w:r>
    </w:p>
    <w:p>
      <w:r>
        <w:t>Querschnittsstudie von 458 Physiotherapeuten in Deutschland, die Barrieren und Förderfaktoren für die Implementierung von Teletherapie in der Praxis erfasste.</w:t>
      </w:r>
    </w:p>
    <w:p>
      <w:r>
        <w:rPr>
          <w:b/>
        </w:rPr>
        <w:t xml:space="preserve">Ergebnis: </w:t>
      </w:r>
      <w:r>
        <w:t>Nur 6,6 % der Teilnehmer hatten Teletherapie-Erfahrung; 87,3 % hielten Teletherapie für sinnvoll, aber nur 15,5 % fühlten sich ausreichend informiert. Häufigste Barrieren: Integration in Praxisroutinen, unzureichende Informationen zu rechtlichen Rahmenbedingungen und digitale Infrastruktur (Nennungen nicht weiter spezifiziert). Die Ergebnisse zeigen hohe Akzeptanz bei niedriger Nutzung und Informationsdefiziten.</w:t>
      </w:r>
    </w:p>
    <w:p>
      <w:r>
        <w:rPr>
          <w:b/>
          <w:sz w:val="19"/>
        </w:rPr>
        <w:t xml:space="preserve">Übertragbarkeit: </w:t>
      </w:r>
      <w:r>
        <w:rPr>
          <w:sz w:val="19"/>
        </w:rPr>
        <w:t>Deutsche Routinedaten aus der Physiotherapie; direkt auf das System übertragbar.</w:t>
      </w:r>
    </w:p>
    <w:p>
      <w:r>
        <w:rPr>
          <w:color w:val="5A7D3A"/>
          <w:sz w:val="18"/>
        </w:rPr>
        <w:t>https://pubmed.ncbi.nlm.nih.gov/42766842/</w:t>
      </w:r>
    </w:p>
    <w:p>
      <w:pPr>
        <w:pStyle w:val="Heading2"/>
      </w:pPr>
      <w:r>
        <w:t>Implementierung der elektronischen Patientenakte (ePA) in deutschen Arztpraxen: qualitative Frühevaluierung</w:t>
      </w:r>
    </w:p>
    <w:p>
      <w:r>
        <w:rPr>
          <w:i/>
          <w:color w:val="666666"/>
          <w:sz w:val="18"/>
        </w:rPr>
        <w:t>May S et al.  ·  J Med Internet Res  ·  21.09.2026  ·  PMID 42766713</w:t>
      </w:r>
    </w:p>
    <w:p>
      <w:r>
        <w:t>Qualitative Studie mit 49 semistrukturierten Interviews zu Implementierungsbarrieren und -förderfaktoren der ePA in ambulanten Praxen nach dem Rollout im Januar 2025.</w:t>
      </w:r>
    </w:p>
    <w:p>
      <w:r>
        <w:rPr>
          <w:b/>
        </w:rPr>
        <w:t xml:space="preserve">Ergebnis: </w:t>
      </w:r>
      <w:r>
        <w:t>Erleichterer: Führungsengagement, interne Kommunikation und Lernklima. Barrieren: technische Instabilität, heterogene Funktionalität von Praxismanagementsystemen, begrenzte Sektorübergreifung, unzureichendes Patientenbewusstsein. Implementierung stark abhängig von Organisationskapazität und Infrastrukturstabilität, nicht von professionellem Widerstand.</w:t>
      </w:r>
    </w:p>
    <w:p>
      <w:r>
        <w:rPr>
          <w:b/>
          <w:sz w:val="19"/>
        </w:rPr>
        <w:t xml:space="preserve">Übertragbarkeit: </w:t>
      </w:r>
      <w:r>
        <w:rPr>
          <w:sz w:val="19"/>
        </w:rPr>
        <w:t>Deutsche Routinedaten zur ePA-Implementierung; hochgradig systemrelevant für deutsches Versorgungssystem.</w:t>
      </w:r>
    </w:p>
    <w:p>
      <w:r>
        <w:rPr>
          <w:color w:val="5A7D3A"/>
          <w:sz w:val="18"/>
        </w:rPr>
        <w:t>https://pubmed.ncbi.nlm.nih.gov/42766713/</w:t>
      </w:r>
    </w:p>
    <w:p>
      <w:pPr>
        <w:pStyle w:val="Heading2"/>
      </w:pPr>
      <w:r>
        <w:t>Framework für klinische Bewertung von Large Language Models in der Patientenedukation</w:t>
      </w:r>
    </w:p>
    <w:p>
      <w:r>
        <w:rPr>
          <w:i/>
          <w:color w:val="666666"/>
          <w:sz w:val="18"/>
        </w:rPr>
        <w:t>Austria D et al.  ·  JMIR Form Res  ·  21.09.2026  ·  PMID 42766478</w:t>
      </w:r>
    </w:p>
    <w:p>
      <w:r>
        <w:t>Positions- und konzeptionelle Arbeit, die ein kliniker-zentriertes Evaluierungsframework (TAM-MCRS) für LLM-generierte Patientenedukation integriert Technology Acceptance Model und Medical Condition Regard Scale.</w:t>
      </w:r>
    </w:p>
    <w:p>
      <w:r>
        <w:rPr>
          <w:b/>
        </w:rPr>
        <w:t xml:space="preserve">Ergebnis: </w:t>
      </w:r>
      <w:r>
        <w:t>Das Framework kombiniert Usefulness/Completeness mit Ease of Use/Appropriateness und erfasst dabei Evaluator-Attitudinalvarianz durch MCRS als Kovariate. Ziel ist objektive, klinisch realistische und disparity-responsive Evidenz zur Qualität von LLM-generierten Unterlagen für Patientenbildung.</w:t>
      </w:r>
    </w:p>
    <w:p>
      <w:r>
        <w:rPr>
          <w:b/>
          <w:sz w:val="19"/>
        </w:rPr>
        <w:t xml:space="preserve">Übertragbarkeit: </w:t>
      </w:r>
      <w:r>
        <w:rPr>
          <w:sz w:val="19"/>
        </w:rPr>
        <w:t>Theoretischer Ansatz systemunabhängig, aber Methodenentwicklung US-fokussiert; nur bedingt übertragbar.</w:t>
      </w:r>
    </w:p>
    <w:p>
      <w:r>
        <w:rPr>
          <w:color w:val="5A7D3A"/>
          <w:sz w:val="18"/>
        </w:rPr>
        <w:t>https://pubmed.ncbi.nlm.nih.gov/42766478/</w:t>
      </w:r>
    </w:p>
    <w:p>
      <w:pPr>
        <w:pStyle w:val="Heading2"/>
      </w:pPr>
      <w:r>
        <w:t>Kontextfaktoren und Lernbedarfe bei Leitlinienentwicklung: qualitative Multiplenfall-Studie</w:t>
      </w:r>
    </w:p>
    <w:p>
      <w:r>
        <w:rPr>
          <w:i/>
          <w:color w:val="666666"/>
          <w:sz w:val="18"/>
        </w:rPr>
        <w:t>de Mortier CA et al.  ·  Med Teach  ·  21.09.2026  ·  PMID 42766408</w:t>
      </w:r>
    </w:p>
    <w:p>
      <w:r>
        <w:t>Qualitative Längsschnittstudie mit 18 Panelmitgliedern und 10 Projektleitern in 5 niederländischen Leitlinienprojekten; Analyse, welche kontextuellen Faktoren die Lernbedarfe in der Guideline-Entwicklung prägen.</w:t>
      </w:r>
    </w:p>
    <w:p>
      <w:r>
        <w:rPr>
          <w:b/>
        </w:rPr>
        <w:t xml:space="preserve">Ergebnis: </w:t>
      </w:r>
      <w:r>
        <w:t>Drei interaktive Themen beeinflussen Lernbedarfe: Leitlinienthema (Zusammensetzung, Methodik, Evidenzunsicherheit), Partizipationsdynamiken (Hierarchie, Sicherheit), Aufgabenverteilung. Methodische Kompetenz allein genügt nicht; Lernbedarfe entstehen aus Kombination aller drei Faktoren. Empfehlung: flexible, kontextsensitive und rollenpezifische Bildungsinitiativen.</w:t>
      </w:r>
    </w:p>
    <w:p>
      <w:r>
        <w:rPr>
          <w:b/>
          <w:sz w:val="19"/>
        </w:rPr>
        <w:t xml:space="preserve">Übertragbarkeit: </w:t>
      </w:r>
      <w:r>
        <w:rPr>
          <w:sz w:val="19"/>
        </w:rPr>
        <w:t>Niederlande, Versorgungsforschungs-Setting; gut übertragbar auf deutsches System zur Leitlinienentwicklung.</w:t>
      </w:r>
    </w:p>
    <w:p>
      <w:r>
        <w:rPr>
          <w:color w:val="5A7D3A"/>
          <w:sz w:val="18"/>
        </w:rPr>
        <w:t>https://pubmed.ncbi.nlm.nih.gov/42766408/</w:t>
      </w:r>
    </w:p>
    <w:p>
      <w:pPr>
        <w:pStyle w:val="Heading2"/>
      </w:pPr>
      <w:r>
        <w:t>Länderverglichende Forschungsinfrastruktur für Diabetes-Versorgung im ländlichen Raum</w:t>
      </w:r>
    </w:p>
    <w:p>
      <w:r>
        <w:rPr>
          <w:i/>
          <w:color w:val="666666"/>
          <w:sz w:val="18"/>
        </w:rPr>
        <w:t>Murfet G et al.  ·  Glob Health Action  ·  21.09.2026  ·  PMID 42765135</w:t>
      </w:r>
    </w:p>
    <w:p>
      <w:r>
        <w:t>Konzeptuelle Positionspapier, das ein neues International Consortium for Rural Diabetes Research (ICRDR) vorstellt, um fragmentierte Diabetes-Forschung in ländlichen Regionen zu koordinieren.</w:t>
      </w:r>
    </w:p>
    <w:p>
      <w:r>
        <w:rPr>
          <w:b/>
        </w:rPr>
        <w:t xml:space="preserve">Ergebnis: </w:t>
      </w:r>
      <w:r>
        <w:t>Kernaussage: Ländliche Diabetes-Versorgungsforschung bleibt isoliert und stützt sich auf urbane Evidenz; koordinierte internationale Infrastruktur mit gemeinsamen Prioritäten, Methoden und Outcome-Maßstäben ist erforderlich. Das ICRDR adressiert Zugangsbarrien (Fachkräftemangel, Isolation, fragmentierte Services) durch Multicentre-Studien und Kapazitätsaufbau.</w:t>
      </w:r>
    </w:p>
    <w:p>
      <w:r>
        <w:rPr>
          <w:b/>
          <w:sz w:val="19"/>
        </w:rPr>
        <w:t xml:space="preserve">Übertragbarkeit: </w:t>
      </w:r>
      <w:r>
        <w:rPr>
          <w:sz w:val="19"/>
        </w:rPr>
        <w:t>Konzeptionell und methodisch international orientiert; hilft deutschem System, Evidenzlücken in ländlichen Regionen zu schließen.</w:t>
      </w:r>
    </w:p>
    <w:p>
      <w:r>
        <w:rPr>
          <w:color w:val="5A7D3A"/>
          <w:sz w:val="18"/>
        </w:rPr>
        <w:t>https://pubmed.ncbi.nlm.nih.gov/42765135/</w:t>
      </w:r>
    </w:p>
    <w:p>
      <w:pPr>
        <w:pStyle w:val="Heading2"/>
      </w:pPr>
      <w:r>
        <w:t>Kernoutcome-Set für Shared-Decision-Making-Interventionen: Entwicklungsprotokoll</w:t>
      </w:r>
    </w:p>
    <w:p>
      <w:r>
        <w:rPr>
          <w:i/>
          <w:color w:val="666666"/>
          <w:sz w:val="18"/>
        </w:rPr>
        <w:t>Hoffmann C et al.  ·  BMJ Open  ·  15.09.2026  ·  PMID 42744360</w:t>
      </w:r>
    </w:p>
    <w:p>
      <w:r>
        <w:t>Studienprotokoll zur Entwicklung eines Core Outcome Set (COS) für die Evaluation von Shared-Decision-Making-Interventionen mittels Delphi-Survey und Konsensuskonferenz.</w:t>
      </w:r>
    </w:p>
    <w:p>
      <w:r>
        <w:rPr>
          <w:b/>
        </w:rPr>
        <w:t xml:space="preserve">Ergebnis: </w:t>
      </w:r>
      <w:r>
        <w:t>Geplante Struktur: Schritt 1: Erstellung einer langen Kandidaten-Outcome-Liste durch Literaturanalyse und qualitative Interviews (mind. 20 Stakeholder). Schritt 2: Delphi-Survey mit mind. 150 internationalen Teilnehmern (Profis, Patienten) in zwei Runden zur Priorisierung. Schritt 3: Konsensus per modified nominal group technique. Laufzeit Juni 2025 bis September 2026; Ergebnisse erwartungsgemäß für standardisierte Evaluationspraxis verfügbar.</w:t>
      </w:r>
    </w:p>
    <w:p>
      <w:r>
        <w:rPr>
          <w:b/>
          <w:sz w:val="19"/>
        </w:rPr>
        <w:t xml:space="preserve">Übertragbarkeit: </w:t>
      </w:r>
      <w:r>
        <w:rPr>
          <w:sz w:val="19"/>
        </w:rPr>
        <w:t>Britische Studienkoordination; Shared Decision Making ist international etabliertes Konzept; methodisch auf deutsche SDM-Forschung anwendbar.</w:t>
      </w:r>
    </w:p>
    <w:p>
      <w:r>
        <w:rPr>
          <w:color w:val="5A7D3A"/>
          <w:sz w:val="18"/>
        </w:rPr>
        <w:t>https://pubmed.ncbi.nlm.nih.gov/42744360/</w:t>
      </w:r>
    </w:p>
    <w:p>
      <w:pPr>
        <w:pStyle w:val="Heading1"/>
      </w:pPr>
      <w:r>
        <w:t>Aufgenommen am 21.09.2026</w:t>
      </w:r>
    </w:p>
    <w:p>
      <w:pPr>
        <w:pStyle w:val="Heading2"/>
      </w:pPr>
      <w:r>
        <w:t>Geburtshilfe-Standardisierung: Ballonkatheter und Wehenmuster nach Einleitung</w:t>
      </w:r>
    </w:p>
    <w:p>
      <w:r>
        <w:rPr>
          <w:i/>
          <w:color w:val="666666"/>
          <w:sz w:val="18"/>
        </w:rPr>
        <w:t>Baboeuf A et al.  ·  J Gynecol Obstet Hum Reprod  ·  19.09.2026  ·  PMID 42762855</w:t>
      </w:r>
    </w:p>
    <w:p>
      <w:r>
        <w:t>Retrospektive Evaluierung eines standardisierten Induktionsprotokolls mit Ballonkatheter zur Zervixreifung als Erstlinientherapie vs. freie Wahl in französischer Tertiärklinik.</w:t>
      </w:r>
    </w:p>
    <w:p>
      <w:r>
        <w:rPr>
          <w:b/>
        </w:rPr>
        <w:t xml:space="preserve">Ergebnis: </w:t>
      </w:r>
      <w:r>
        <w:t>Vaginale Geburt innerhalb 24h: 27,3% (Protokoll) vs. 34,0% (Baseline), p=0,18; nächtliche Epiduralanalgesie signifikant weniger häufig nach Protokoll (35,6% vs. 46,2%, p=0,008); 77,4% der Frauen mit Gesamtzufriedenheit einverstanden.</w:t>
      </w:r>
    </w:p>
    <w:p>
      <w:r>
        <w:rPr>
          <w:b/>
          <w:sz w:val="19"/>
        </w:rPr>
        <w:t xml:space="preserve">Übertragbarkeit: </w:t>
      </w:r>
      <w:r>
        <w:rPr>
          <w:sz w:val="19"/>
        </w:rPr>
        <w:t>Französische Tertiärklinik, übertragbare Implementierungsfrage, aber begrenzte klinische Effekte</w:t>
      </w:r>
    </w:p>
    <w:p>
      <w:r>
        <w:rPr>
          <w:color w:val="5A7D3A"/>
          <w:sz w:val="18"/>
        </w:rPr>
        <w:t>https://pubmed.ncbi.nlm.nih.gov/42762855/</w:t>
      </w:r>
    </w:p>
    <w:p>
      <w:pPr>
        <w:pStyle w:val="Heading2"/>
      </w:pPr>
      <w:r>
        <w:t>Palliativversorgungsqualität für Patienten mit schweren psychischen Störungen</w:t>
      </w:r>
    </w:p>
    <w:p>
      <w:r>
        <w:rPr>
          <w:i/>
          <w:color w:val="666666"/>
          <w:sz w:val="18"/>
        </w:rPr>
        <w:t>Bøndergaard K et al.  ·  Omega (Westport)  ·  19.09.2026  ·  PMID 42762069</w:t>
      </w:r>
    </w:p>
    <w:p>
      <w:r>
        <w:t>Querschnitts-Fragebogenstudie mit dänischen Hausärzten und Palliativmedizinern zu Qualität der Palliativbetreuung bei verstorbenen Patienten mit schweren psychischen Störungen.</w:t>
      </w:r>
    </w:p>
    <w:p>
      <w:r>
        <w:rPr>
          <w:b/>
        </w:rPr>
        <w:t xml:space="preserve">Ergebnis: </w:t>
      </w:r>
      <w:r>
        <w:t>123 Fragebogen von 162 (76% Rücklaufquote); die meisten Verläufe als gut oder sehr gut bewertet; qualitative Analyse enthüllte drei Themen: Zusammenarbeit/Timing, Kommunikation/Beziehungen, Komplexität; Koordination und Kommunikation bei Lebensende-Entscheidungen teilweise herausfordernd.</w:t>
      </w:r>
    </w:p>
    <w:p>
      <w:r>
        <w:rPr>
          <w:b/>
          <w:sz w:val="19"/>
        </w:rPr>
        <w:t xml:space="preserve">Übertragbarkeit: </w:t>
      </w:r>
      <w:r>
        <w:rPr>
          <w:sz w:val="19"/>
        </w:rPr>
        <w:t>Dänemark, skandinavisches steuerfinanziertes System mit Hausarztfokus</w:t>
      </w:r>
    </w:p>
    <w:p>
      <w:r>
        <w:rPr>
          <w:color w:val="5A7D3A"/>
          <w:sz w:val="18"/>
        </w:rPr>
        <w:t>https://pubmed.ncbi.nlm.nih.gov/42762069/</w:t>
      </w:r>
    </w:p>
    <w:p>
      <w:pPr>
        <w:pStyle w:val="Heading2"/>
      </w:pPr>
      <w:r>
        <w:t>Angiotensin-Inhibitoren vor elektiver Chirurgie: RCT-Absetzen vs. Fortführen</w:t>
      </w:r>
    </w:p>
    <w:p>
      <w:r>
        <w:rPr>
          <w:i/>
          <w:color w:val="666666"/>
          <w:sz w:val="18"/>
        </w:rPr>
        <w:t>Scott IA et al.  ·  J Hosp Med  ·  19.09.2026  ·  PMID 42762066</w:t>
      </w:r>
    </w:p>
    <w:p>
      <w:r>
        <w:t>Single-Center-RCT zu kardiovaskulären Komplikationen nach elektiver, nicht-kardischer Chirurgie unter Fortführung vs. 24h-Absetzen von ACE-Inhibitoren/ARBs.</w:t>
      </w:r>
    </w:p>
    <w:p>
      <w:r>
        <w:rPr>
          <w:b/>
        </w:rPr>
        <w:t xml:space="preserve">Ergebnis: </w:t>
      </w:r>
      <w:r>
        <w:t>667 Patienten randomisiert (325 Fortführung, 313 Absetzen); primärer Outcome MACE: 2,8% vs. 2,9% (Differenz 0,1%, 95% CI −2,5% bis 2,8%, p=1,00); intraop. Hypotonie 63,5% vs. 60,7%, AKI 7,4% vs. 4,8%; keine signifikanten Unterschiede; Absetzen reduzierte nicht MACE, Hypotonie oder AKI.</w:t>
      </w:r>
    </w:p>
    <w:p>
      <w:r>
        <w:rPr>
          <w:b/>
          <w:sz w:val="19"/>
        </w:rPr>
        <w:t xml:space="preserve">Übertragbarkeit: </w:t>
      </w:r>
      <w:r>
        <w:rPr>
          <w:sz w:val="19"/>
        </w:rPr>
        <w:t>Australische Tertiärklinik, aber klinische Prozessfrage systemunabhängig</w:t>
      </w:r>
    </w:p>
    <w:p>
      <w:r>
        <w:rPr>
          <w:color w:val="5A7D3A"/>
          <w:sz w:val="18"/>
        </w:rPr>
        <w:t>https://pubmed.ncbi.nlm.nih.gov/42762066/</w:t>
      </w:r>
    </w:p>
    <w:p>
      <w:pPr>
        <w:pStyle w:val="Heading2"/>
      </w:pPr>
      <w:r>
        <w:t>Frühe Krebsinzidenz in Nordischen Ländern 2003–2022 mit Projektion bis 2050</w:t>
      </w:r>
    </w:p>
    <w:p>
      <w:r>
        <w:rPr>
          <w:i/>
          <w:color w:val="666666"/>
          <w:sz w:val="18"/>
        </w:rPr>
        <w:t>Johansson AL et al.  ·  Lancet Reg Health Eur  ·  12.09.2026  ·  PMID 42761845</w:t>
      </w:r>
    </w:p>
    <w:p>
      <w:r>
        <w:t>Bevölkerungsbasierte Trendstudie der Inzidenz früher Krebserkrankungen (Alter 20–49) in Nordischen Ländern über 20 Jahre mit Vorhersagen bis 2050.</w:t>
      </w:r>
    </w:p>
    <w:p>
      <w:r>
        <w:rPr>
          <w:b/>
        </w:rPr>
        <w:t xml:space="preserve">Ergebnis: </w:t>
      </w:r>
      <w:r>
        <w:t>Signifikante Inzidenzzunahme bei 12 von 18 Krebsarten; Darmkrebs &lt;35 Jahren höchster EAPC (&gt;2%), mit 9.174 zusätzlichen Fällen (2003–2007 zu 2018–2022: 47.491 zu 56.665); regionale Variation Appalachien und Südosten USA.</w:t>
      </w:r>
    </w:p>
    <w:p>
      <w:r>
        <w:rPr>
          <w:b/>
          <w:sz w:val="19"/>
        </w:rPr>
        <w:t xml:space="preserve">Übertragbarkeit: </w:t>
      </w:r>
      <w:r>
        <w:rPr>
          <w:sz w:val="19"/>
        </w:rPr>
        <w:t>Nordische Länder, vergleichbare Gesundheitssysteme mit guten Datenregistern</w:t>
      </w:r>
    </w:p>
    <w:p>
      <w:r>
        <w:rPr>
          <w:color w:val="5A7D3A"/>
          <w:sz w:val="18"/>
        </w:rPr>
        <w:t>https://pubmed.ncbi.nlm.nih.gov/42761845/</w:t>
      </w:r>
    </w:p>
    <w:p>
      <w:pPr>
        <w:pStyle w:val="Heading2"/>
      </w:pPr>
      <w:r>
        <w:t>Darmkrebsscreening bei sexuellen Minderheiten nach US-Guidelines 2021</w:t>
      </w:r>
    </w:p>
    <w:p>
      <w:r>
        <w:rPr>
          <w:i/>
          <w:color w:val="666666"/>
          <w:sz w:val="18"/>
        </w:rPr>
        <w:t>George L et al.  ·  AJPM Focus  ·  12.05.2026  ·  PMID 42761516</w:t>
      </w:r>
    </w:p>
    <w:p>
      <w:r>
        <w:t>Querschnittsanalyse der Screening-Compliance für Darmkrebs bei sexuellen Minderheiten nach Aktualisierung der USPSTF-Richtlinien (2021), USA 2022.</w:t>
      </w:r>
    </w:p>
    <w:p>
      <w:r>
        <w:rPr>
          <w:b/>
        </w:rPr>
        <w:t xml:space="preserve">Ergebnis: </w:t>
      </w:r>
      <w:r>
        <w:t>Screening-Rate insgesamt: 69,0% (gay/lesbian), 62,7% (bisexual), 58,4% (andere Orientierung), 68,8% (heterosexuell); Personen mit anderer Orientierung signifikant niedriger als heterosexuell (aPR=0,90, 95% CI 0,84–0,97); Dispariät besonders in Alter 65–75 und Frauen.</w:t>
      </w:r>
    </w:p>
    <w:p>
      <w:r>
        <w:rPr>
          <w:b/>
          <w:sz w:val="19"/>
        </w:rPr>
        <w:t xml:space="preserve">Übertragbarkeit: </w:t>
      </w:r>
      <w:r>
        <w:rPr>
          <w:sz w:val="19"/>
        </w:rPr>
        <w:t>USA, aber Screeningdisparität bei Minderheiten systemunabhängig relevant</w:t>
      </w:r>
    </w:p>
    <w:p>
      <w:r>
        <w:rPr>
          <w:color w:val="5A7D3A"/>
          <w:sz w:val="18"/>
        </w:rPr>
        <w:t>https://pubmed.ncbi.nlm.nih.gov/42761516/</w:t>
      </w:r>
    </w:p>
    <w:p>
      <w:pPr>
        <w:pStyle w:val="Heading2"/>
      </w:pPr>
      <w:r>
        <w:t>Kulturelle Diabetes-Schulung: Kosteneffektivität für Marshallese-Bevölkerung</w:t>
      </w:r>
    </w:p>
    <w:p>
      <w:r>
        <w:rPr>
          <w:i/>
          <w:color w:val="666666"/>
          <w:sz w:val="18"/>
        </w:rPr>
        <w:t>Lamprecht-Carson D et al.  ·  Diabetes Obes Metab  ·  17.09.2026  ·  PMID 42755138</w:t>
      </w:r>
    </w:p>
    <w:p>
      <w:r>
        <w:t>Markov-Modell zur Kosteneffektivität eines kulturell angepassten Diabetes-Selbstmanagement-Programms vs. Standard-DSME für Marshallese-Erwachsene mit Typ-2-Diabetes.</w:t>
      </w:r>
    </w:p>
    <w:p>
      <w:r>
        <w:rPr>
          <w:b/>
        </w:rPr>
        <w:t xml:space="preserve">Ergebnis: </w:t>
      </w:r>
      <w:r>
        <w:t>Kulturell angepasstes Programm cost-effective mit ICER von 3.083 Dollar pro QALY; in 87,1% der Simulationen bevorzugte Strategie bei WTP 50.000 Dollar pro QALY; bescheidene aber relevante Unterschiede zwischen Interventionszenarien.</w:t>
      </w:r>
    </w:p>
    <w:p>
      <w:r>
        <w:rPr>
          <w:b/>
          <w:sz w:val="19"/>
        </w:rPr>
        <w:t xml:space="preserve">Übertragbarkeit: </w:t>
      </w:r>
      <w:r>
        <w:rPr>
          <w:sz w:val="19"/>
        </w:rPr>
        <w:t>USA-Daten, aber Fragestellung zur Kultursensitivität systemunabhängig transferierbar</w:t>
      </w:r>
    </w:p>
    <w:p>
      <w:r>
        <w:rPr>
          <w:color w:val="5A7D3A"/>
          <w:sz w:val="18"/>
        </w:rPr>
        <w:t>https://pubmed.ncbi.nlm.nih.gov/42755138/</w:t>
      </w:r>
    </w:p>
    <w:p>
      <w:pPr>
        <w:pStyle w:val="Heading1"/>
      </w:pPr>
      <w:r>
        <w:t>Aufgenommen am 20.09.2026</w:t>
      </w:r>
    </w:p>
    <w:p>
      <w:pPr>
        <w:pStyle w:val="Heading2"/>
      </w:pPr>
      <w:r>
        <w:t>Workplace-Health-Promotion in Pflegeheimen: qualitative Prozessevaluation</w:t>
      </w:r>
    </w:p>
    <w:p>
      <w:r>
        <w:rPr>
          <w:i/>
          <w:color w:val="666666"/>
          <w:sz w:val="18"/>
        </w:rPr>
        <w:t>Czakert J et al.  ·  Front Public Health  ·  04.09.2026  ·  PMID 42761123</w:t>
      </w:r>
    </w:p>
    <w:p>
      <w:r>
        <w:t>Qualitative Prozessevaluation zur Entwicklung und Implementierung von drei WHP-Workshops in einem Pilotheim nach RE-AIM-Framework.</w:t>
      </w:r>
    </w:p>
    <w:p>
      <w:r>
        <w:rPr>
          <w:b/>
        </w:rPr>
        <w:t xml:space="preserve">Ergebnis: </w:t>
      </w:r>
      <w:r>
        <w:t>Entwicklung aus sieben Phasen. Etwa ein Drittel der Teilnehmenden aktiv involviert, andere passiv oder resistiv. Engagement variabel, Schlüsselhemmnisse: Motivation, wahrgenommene Relevanz, Gruppendynamik, Fatigue, Sprachbarrieren. Zentral: organisatorische Vorbereitung und Partizipation.</w:t>
      </w:r>
    </w:p>
    <w:p>
      <w:r>
        <w:rPr>
          <w:b/>
          <w:sz w:val="19"/>
        </w:rPr>
        <w:t xml:space="preserve">Übertragbarkeit: </w:t>
      </w:r>
      <w:r>
        <w:rPr>
          <w:sz w:val="19"/>
        </w:rPr>
        <w:t>Deutschland, Langzeitpflegesektor, hohe Relevanz für Implementierungspraxis</w:t>
      </w:r>
    </w:p>
    <w:p>
      <w:r>
        <w:rPr>
          <w:color w:val="5A7D3A"/>
          <w:sz w:val="18"/>
        </w:rPr>
        <w:t>https://pubmed.ncbi.nlm.nih.gov/42761123/</w:t>
      </w:r>
    </w:p>
    <w:p>
      <w:pPr>
        <w:pStyle w:val="Heading2"/>
      </w:pPr>
      <w:r>
        <w:t>Regionale Disparitäten Zahngesundheit Deutschland</w:t>
      </w:r>
    </w:p>
    <w:p>
      <w:r>
        <w:rPr>
          <w:i/>
          <w:color w:val="666666"/>
          <w:sz w:val="18"/>
        </w:rPr>
        <w:t>Gortschakow J et al.  ·  J Clin Periodontol  ·  18.09.2026  ·  PMID 42760791</w:t>
      </w:r>
    </w:p>
    <w:p>
      <w:r>
        <w:t>Bevölkerungsstudie mit 184.871 Erwachsenen untersucht Prävalenz von Zahnlosigkeit und Taschentiefen bundesweit mittels klinischer Untersuchung.</w:t>
      </w:r>
    </w:p>
    <w:p>
      <w:r>
        <w:rPr>
          <w:b/>
        </w:rPr>
        <w:t xml:space="preserve">Ergebnis: </w:t>
      </w:r>
      <w:r>
        <w:t>Zahnlosigkeitsprävalenz: 1,7 % (95%-KI 1,6–1,9). Mittlere Taschentiefe: 1,89 mm (1,87–1,91). Deutliche regionale Disparitäten von 1,3 % (Augsburg/Regensburg) bis 2,3 % (Neubrandenburg).</w:t>
      </w:r>
    </w:p>
    <w:p>
      <w:r>
        <w:rPr>
          <w:b/>
          <w:sz w:val="19"/>
        </w:rPr>
        <w:t xml:space="preserve">Übertragbarkeit: </w:t>
      </w:r>
      <w:r>
        <w:rPr>
          <w:sz w:val="19"/>
        </w:rPr>
        <w:t>Deutsche Routinedaten aus Kohorte, exzellente Übertragbarkeit</w:t>
      </w:r>
    </w:p>
    <w:p>
      <w:r>
        <w:rPr>
          <w:color w:val="5A7D3A"/>
          <w:sz w:val="18"/>
        </w:rPr>
        <w:t>https://pubmed.ncbi.nlm.nih.gov/42760791/</w:t>
      </w:r>
    </w:p>
    <w:p>
      <w:pPr>
        <w:pStyle w:val="Heading2"/>
      </w:pPr>
      <w:r>
        <w:t>Arbeitsbelastung und Berufsverbleib in Gesundheitsberufen</w:t>
      </w:r>
    </w:p>
    <w:p>
      <w:r>
        <w:rPr>
          <w:i/>
          <w:color w:val="666666"/>
          <w:sz w:val="18"/>
        </w:rPr>
        <w:t>Andersson Hammar I et al.  ·  BMC Health Serv Res  ·  17.09.2026  ·  PMID 42760563</w:t>
      </w:r>
    </w:p>
    <w:p>
      <w:r>
        <w:t>Längsschnittstudie untersuchte Zusammenhänge zwischen Arbeitserfahrungen, Gesundheit und Verbleibsabsicht bei Fachpersonen drei Jahre nach Berufsstart.</w:t>
      </w:r>
    </w:p>
    <w:p>
      <w:r>
        <w:rPr>
          <w:b/>
        </w:rPr>
        <w:t xml:space="preserve">Ergebnis: </w:t>
      </w:r>
      <w:r>
        <w:t>Höhere Arbeitszufriedenheit war mit besserer Gesundheit und deutlich gestärkter Absicht zum Verbleib in der Profession assoziiert. Die 30–36-Jährigen zeigten niedrigere Verbleibsabsicht als jüngere und ältere Kohorten.</w:t>
      </w:r>
    </w:p>
    <w:p>
      <w:r>
        <w:rPr>
          <w:b/>
          <w:sz w:val="19"/>
        </w:rPr>
        <w:t xml:space="preserve">Übertragbarkeit: </w:t>
      </w:r>
      <w:r>
        <w:rPr>
          <w:sz w:val="19"/>
        </w:rPr>
        <w:t>Schweden, gut übertragbar auf deutsches Gesundheitssystem und Arbeitskontexte</w:t>
      </w:r>
    </w:p>
    <w:p>
      <w:r>
        <w:rPr>
          <w:color w:val="5A7D3A"/>
          <w:sz w:val="18"/>
        </w:rPr>
        <w:t>https://pubmed.ncbi.nlm.nih.gov/42760563/</w:t>
      </w:r>
    </w:p>
    <w:p>
      <w:pPr>
        <w:pStyle w:val="Heading2"/>
      </w:pPr>
      <w:r>
        <w:t>Apotheker-Intervention bei koronaren Patienten: Medication-Review-Studie</w:t>
      </w:r>
    </w:p>
    <w:p>
      <w:r>
        <w:rPr>
          <w:i/>
          <w:color w:val="666666"/>
          <w:sz w:val="18"/>
        </w:rPr>
        <w:t>Östbring MJ et al.  ·  BMC Health Serv Res  ·  15.09.2026  ·  PMID 42760559</w:t>
      </w:r>
    </w:p>
    <w:p>
      <w:r>
        <w:t>Prozessevaluation eines randomisierten Trials zu pharmazeutisch-gesteuerter Adhärence-Intervention mittels Motivierender Gesprächsführung bei Herzkranken.</w:t>
      </w:r>
    </w:p>
    <w:p>
      <w:r>
        <w:rPr>
          <w:b/>
        </w:rPr>
        <w:t xml:space="preserve">Ergebnis: </w:t>
      </w:r>
      <w:r>
        <w:t>Klinische Apotheker identifizierten durchschnittlich 4,3 medikationsbezogene Probleme pro Patient. In 194 von 218 bekannten Fällen wurde das Problem gelöst/verbessert. 52,8 % der Interventionsgruppe vs. 31,0 % der Kontrollgruppe verschoben sich zu akzeptierenderer Arzneimittelhaltung (p = 0,051).</w:t>
      </w:r>
    </w:p>
    <w:p>
      <w:r>
        <w:rPr>
          <w:b/>
          <w:sz w:val="19"/>
        </w:rPr>
        <w:t xml:space="preserve">Übertragbarkeit: </w:t>
      </w:r>
      <w:r>
        <w:rPr>
          <w:sz w:val="19"/>
        </w:rPr>
        <w:t>Schweden, Sozialversicherungssystem, pharmazeutische Versorgungsrollen</w:t>
      </w:r>
    </w:p>
    <w:p>
      <w:r>
        <w:rPr>
          <w:color w:val="5A7D3A"/>
          <w:sz w:val="18"/>
        </w:rPr>
        <w:t>https://pubmed.ncbi.nlm.nih.gov/42760559/</w:t>
      </w:r>
    </w:p>
    <w:p>
      <w:pPr>
        <w:pStyle w:val="Heading2"/>
      </w:pPr>
      <w:r>
        <w:t>Psychische Gesundheit peripartal: Screening-Barrieren in Indien</w:t>
      </w:r>
    </w:p>
    <w:p>
      <w:r>
        <w:rPr>
          <w:i/>
          <w:color w:val="666666"/>
          <w:sz w:val="18"/>
        </w:rPr>
        <w:t>Basu P et al.  ·  BMC Health Serv Res  ·  03.08.2026  ·  PMID 42760554</w:t>
      </w:r>
    </w:p>
    <w:p>
      <w:r>
        <w:t>Qualitative Studie zu Hemmnissen und Facilitatoren von perinataler psychischer Gesundheitsscreening aus Perspektive von Frauen und Angehörigen des Gesundheitswesens.</w:t>
      </w:r>
    </w:p>
    <w:p>
      <w:r>
        <w:rPr>
          <w:b/>
        </w:rPr>
        <w:t xml:space="preserve">Ergebnis: </w:t>
      </w:r>
      <w:r>
        <w:t>Facilitatoren: etabliertes Referralsystem, Medikamentenverfügbarkeit, Datenschutz. Barrieren: fragmentierte Services, hohe Arbeitsbelastung, Stigma, unzureichende Schulung, mangelndes Vertrauen. Familienpräsenz behinderte offene Diskussionen.</w:t>
      </w:r>
    </w:p>
    <w:p>
      <w:r>
        <w:rPr>
          <w:b/>
          <w:sz w:val="19"/>
        </w:rPr>
        <w:t xml:space="preserve">Übertragbarkeit: </w:t>
      </w:r>
      <w:r>
        <w:rPr>
          <w:sz w:val="19"/>
        </w:rPr>
        <w:t>Indien; Fragestellung systemunabhängig, aber Übertragbarkeit limitiert durch andere Ressourcenlage</w:t>
      </w:r>
    </w:p>
    <w:p>
      <w:r>
        <w:rPr>
          <w:color w:val="5A7D3A"/>
          <w:sz w:val="18"/>
        </w:rPr>
        <w:t>https://pubmed.ncbi.nlm.nih.gov/42760554/</w:t>
      </w:r>
    </w:p>
    <w:p>
      <w:pPr>
        <w:pStyle w:val="Heading2"/>
      </w:pPr>
      <w:r>
        <w:t>Gestationsdiabetes Südlichasiatische Frauen: PPIE-Insights</w:t>
      </w:r>
    </w:p>
    <w:p>
      <w:r>
        <w:rPr>
          <w:i/>
          <w:color w:val="666666"/>
          <w:sz w:val="18"/>
        </w:rPr>
        <w:t>Dapre E et al.  ·  NIHR Open Res  ·  03.09.2026  ·  PMID 42750677</w:t>
      </w:r>
    </w:p>
    <w:p>
      <w:r>
        <w:t>Patient- und Public-Involvement-Engagement-Studie mit südlichasiatischen Frauen zur Verbesserung der Adhärenz in Ernährungsintervention bei Gestationsdiabetes.</w:t>
      </w:r>
    </w:p>
    <w:p>
      <w:r>
        <w:rPr>
          <w:b/>
        </w:rPr>
        <w:t xml:space="preserve">Ergebnis: </w:t>
      </w:r>
      <w:r>
        <w:t>17 Frauen identifizierten drei Schlüsselprobleme: Vulnerabilität (Vertrauensmangel, Kontrollverlust), Zugänglichkeit (flexible Formate, finanzielle Unterstützung), Mentale Belastung (emotionales Wohlbefinden, Familieneinfluss). Empfehlungen: familienbasierte Essensplanung, visuelle Guides, psychosoziale Unterstützung.</w:t>
      </w:r>
    </w:p>
    <w:p>
      <w:r>
        <w:rPr>
          <w:b/>
          <w:sz w:val="19"/>
        </w:rPr>
        <w:t xml:space="preserve">Übertragbarkeit: </w:t>
      </w:r>
      <w:r>
        <w:rPr>
          <w:sz w:val="19"/>
        </w:rPr>
        <w:t>Qualitative UK-Studie; Fragestellung zu Barrieren und Facilitatoren systemunabhängig</w:t>
      </w:r>
    </w:p>
    <w:p>
      <w:r>
        <w:rPr>
          <w:color w:val="5A7D3A"/>
          <w:sz w:val="18"/>
        </w:rPr>
        <w:t>https://pubmed.ncbi.nlm.nih.gov/42750677/</w:t>
      </w:r>
    </w:p>
    <w:p>
      <w:pPr>
        <w:pStyle w:val="Heading1"/>
      </w:pPr>
      <w:r>
        <w:t>Aufgenommen am 19.09.2026</w:t>
      </w:r>
    </w:p>
    <w:p>
      <w:pPr>
        <w:pStyle w:val="Heading2"/>
      </w:pPr>
      <w:r>
        <w:t>Verbesserung von Peer-Support für Mütter mit HIV in Kenia</w:t>
      </w:r>
    </w:p>
    <w:p>
      <w:r>
        <w:rPr>
          <w:i/>
          <w:color w:val="666666"/>
          <w:sz w:val="18"/>
        </w:rPr>
        <w:t>Carlucci JG et al.  ·  PLOS Glob Public Health  ·  18.09.2026  ·  PMID 42758698</w:t>
      </w:r>
    </w:p>
    <w:p>
      <w:r>
        <w:t>Qualitative Interviews mit 16 Mentor Mothers und 36 Frauen mit HIV in Westkenias PMTCT-Programmen zur Verbesserung von Peer-Support-Diensten.</w:t>
      </w:r>
    </w:p>
    <w:p>
      <w:r>
        <w:rPr>
          <w:b/>
        </w:rPr>
        <w:t xml:space="preserve">Ergebnis: </w:t>
      </w:r>
      <w:r>
        <w:t>Beide Gruppen befürworteten Risikostratifizierung: intensive Services für Hochrisiko-Mütter, weniger intensive für Niedrigrisiko. Zentral: empathische Mentoring-Beziehungen mit geteilten Erfahrungen; nötig aber bessere Aufgabendefinition, Kapazitätsaufbau, faire Kompensation und Ressourcen für ökonomische Barrieren.</w:t>
      </w:r>
    </w:p>
    <w:p>
      <w:r>
        <w:rPr>
          <w:b/>
          <w:sz w:val="19"/>
        </w:rPr>
        <w:t xml:space="preserve">Übertragbarkeit: </w:t>
      </w:r>
      <w:r>
        <w:rPr>
          <w:sz w:val="19"/>
        </w:rPr>
        <w:t>Kenia; Modell zu Peer-Support-Effektivität auf andere LMIC-Kontexte übertragbar</w:t>
      </w:r>
    </w:p>
    <w:p>
      <w:r>
        <w:rPr>
          <w:color w:val="5A7D3A"/>
          <w:sz w:val="18"/>
        </w:rPr>
        <w:t>https://pubmed.ncbi.nlm.nih.gov/42758698/</w:t>
      </w:r>
    </w:p>
    <w:p>
      <w:pPr>
        <w:pStyle w:val="Heading2"/>
      </w:pPr>
      <w:r>
        <w:t>Implementierungsstrategie für betriebliche Rauchentwöhnung mit Anreizen</w:t>
      </w:r>
    </w:p>
    <w:p>
      <w:r>
        <w:rPr>
          <w:i/>
          <w:color w:val="666666"/>
          <w:sz w:val="18"/>
        </w:rPr>
        <w:t>van den Brand FA et al.  ·  PLoS One  ·  18.09.2026  ·  PMID 42758680</w:t>
      </w:r>
    </w:p>
    <w:p>
      <w:r>
        <w:t>Systematische Entwicklung einer Implementierungsstrategie für Workplace-Rauchentwöhnungsprogramme mit finanziellen Anreizen mittels Implementation Mapping in den Niederlanden.</w:t>
      </w:r>
    </w:p>
    <w:p>
      <w:r>
        <w:rPr>
          <w:b/>
        </w:rPr>
        <w:t xml:space="preserve">Ergebnis: </w:t>
      </w:r>
      <w:r>
        <w:t>Identifizierte Schlüsseladoptoren (Geschäftsführung, HR-Manager) und Implementierer sowie sieben Determinanten für erfolgreiche Durchführung. Entwickelte evidenzbasierte Strategien einschließlich Implementierungsleitfaden, Website, Video und Webinar. Stakeholder-Feedback führte zu Verbesserungen.</w:t>
      </w:r>
    </w:p>
    <w:p>
      <w:r>
        <w:rPr>
          <w:b/>
          <w:sz w:val="19"/>
        </w:rPr>
        <w:t xml:space="preserve">Übertragbarkeit: </w:t>
      </w:r>
      <w:r>
        <w:rPr>
          <w:sz w:val="19"/>
        </w:rPr>
        <w:t>Niederlande, ähnliches Sozialversicherungssystem mit Betriebsstruktur</w:t>
      </w:r>
    </w:p>
    <w:p>
      <w:r>
        <w:rPr>
          <w:color w:val="5A7D3A"/>
          <w:sz w:val="18"/>
        </w:rPr>
        <w:t>https://pubmed.ncbi.nlm.nih.gov/42758680/</w:t>
      </w:r>
    </w:p>
    <w:p>
      <w:pPr>
        <w:pStyle w:val="Heading2"/>
      </w:pPr>
      <w:r>
        <w:t>Kognitive Verzerrungen und Nierenfunktions-Risikoperception bei älteren CKD-Patienten</w:t>
      </w:r>
    </w:p>
    <w:p>
      <w:r>
        <w:rPr>
          <w:i/>
          <w:color w:val="666666"/>
          <w:sz w:val="18"/>
        </w:rPr>
        <w:t>Bonnet K et al.  ·  Clin J Am Soc Nephrol  ·  18.09.2026  ·  PMID 42758548</w:t>
      </w:r>
    </w:p>
    <w:p>
      <w:r>
        <w:t>Mixed-Methods-Studie mit Älteren (&gt;60 Jahre) im Stadium 3B–5 CKD zu kognitiven Verzerrungen bei der Wahrnehmung ihres Nierenfunktionsausfallrisikos.</w:t>
      </w:r>
    </w:p>
    <w:p>
      <w:r>
        <w:rPr>
          <w:b/>
        </w:rPr>
        <w:t xml:space="preserve">Ergebnis: </w:t>
      </w:r>
      <w:r>
        <w:t>Nur 24% der Teilnehmer hatten Prognosekonsens (objektives vs. subjektiv wahrgenommenes Risiko). Höhere Patient Activation war unabhängig mit niedrigeren Odds für Unsicherheit assoziiert (OR 0,66; 95%-KI 0,44–0,99). Qualitativ: Empfehlungen für hoffnungsvolle Sprache, Einbeziehen von Angehörigen und numeracy-Berücksichtigung.</w:t>
      </w:r>
    </w:p>
    <w:p>
      <w:r>
        <w:rPr>
          <w:b/>
          <w:sz w:val="19"/>
        </w:rPr>
        <w:t xml:space="preserve">Übertragbarkeit: </w:t>
      </w:r>
      <w:r>
        <w:rPr>
          <w:sz w:val="19"/>
        </w:rPr>
        <w:t>US-Daten, aber Fragestellung zur Patientenkommunikation systemunabhängig</w:t>
      </w:r>
    </w:p>
    <w:p>
      <w:r>
        <w:rPr>
          <w:color w:val="5A7D3A"/>
          <w:sz w:val="18"/>
        </w:rPr>
        <w:t>https://pubmed.ncbi.nlm.nih.gov/42758548/</w:t>
      </w:r>
    </w:p>
    <w:p>
      <w:pPr>
        <w:pStyle w:val="Heading2"/>
      </w:pPr>
      <w:r>
        <w:t>Komplexe-Versorgungsprogramm reduziert Krankenhausnutzung bei Kindern</w:t>
      </w:r>
    </w:p>
    <w:p>
      <w:r>
        <w:rPr>
          <w:i/>
          <w:color w:val="666666"/>
          <w:sz w:val="18"/>
        </w:rPr>
        <w:t>Lee J et al.  ·  J Pediatr Health Care  ·  17.09.2026  ·  PMID 42758058</w:t>
      </w:r>
    </w:p>
    <w:p>
      <w:r>
        <w:t>Retrospektive Kohortenstudie von 71 Kindern mit medizinischer Komplexität in einem Cross-Setting-Komplexcare-Programm mit kleinem Kernteam (2015–2024).</w:t>
      </w:r>
    </w:p>
    <w:p>
      <w:r>
        <w:rPr>
          <w:b/>
        </w:rPr>
        <w:t xml:space="preserve">Ergebnis: </w:t>
      </w:r>
      <w:r>
        <w:t>Hospitalisierungen sanken von 3,5 auf 2,0 pro Jahr (p &lt; 0,001), Verweildauer von 41,5 auf 11,5 Tage pro Jahr (p &lt; 0,001). Adjustierte Analysen zeigten 32% Reduktion bei Hospitalisierungen und 72% bei Verweildauer.</w:t>
      </w:r>
    </w:p>
    <w:p>
      <w:r>
        <w:rPr>
          <w:b/>
          <w:sz w:val="19"/>
        </w:rPr>
        <w:t xml:space="preserve">Übertragbarkeit: </w:t>
      </w:r>
      <w:r>
        <w:rPr>
          <w:sz w:val="19"/>
        </w:rPr>
        <w:t>US-amerikanische Universitätsklinik, aber Modell zum Case Management übertragbar</w:t>
      </w:r>
    </w:p>
    <w:p>
      <w:r>
        <w:rPr>
          <w:color w:val="5A7D3A"/>
          <w:sz w:val="18"/>
        </w:rPr>
        <w:t>https://pubmed.ncbi.nlm.nih.gov/42758058/</w:t>
      </w:r>
    </w:p>
    <w:p>
      <w:pPr>
        <w:pStyle w:val="Heading2"/>
      </w:pPr>
      <w:r>
        <w:t>Barrieren von Frontline-Mitarbeitern bei TB-Diensten in High-Burden-Ländern</w:t>
      </w:r>
    </w:p>
    <w:p>
      <w:r>
        <w:rPr>
          <w:i/>
          <w:color w:val="666666"/>
          <w:sz w:val="18"/>
        </w:rPr>
        <w:t>Cox SR et al.  ·  J Glob Health  ·  18.09.2026  ·  PMID 42757757</w:t>
      </w:r>
    </w:p>
    <w:p>
      <w:r>
        <w:t>Scoping Review von 189 Studien (2010–2025) zu Healthcare-Worker-bezogenen Barrieren bei TB-Prävention, Diagnostik und Behandlung in WHO-High-Burden-Ländern.</w:t>
      </w:r>
    </w:p>
    <w:p>
      <w:r>
        <w:rPr>
          <w:b/>
        </w:rPr>
        <w:t xml:space="preserve">Ergebnis: </w:t>
      </w:r>
      <w:r>
        <w:t>Wissens- und Skill-Lücken waren die häufigsten Barrieren (n = 128 Studien). Weitere Themen: Provider-Patient-Kommunikation, Stigma (n = 74 Studien), Motivation für qualitativ hochwertige TB-Pflege (n = 69 Studien). COM-B-Framework identifizierte umsetzbare Targets.</w:t>
      </w:r>
    </w:p>
    <w:p>
      <w:r>
        <w:rPr>
          <w:b/>
          <w:sz w:val="19"/>
        </w:rPr>
        <w:t xml:space="preserve">Übertragbarkeit: </w:t>
      </w:r>
      <w:r>
        <w:rPr>
          <w:sz w:val="19"/>
        </w:rPr>
        <w:t>Länder mit Ressourcenlimitationen; Erkenntnisse zu HSR-Barrieren international relevant</w:t>
      </w:r>
    </w:p>
    <w:p>
      <w:r>
        <w:rPr>
          <w:color w:val="5A7D3A"/>
          <w:sz w:val="18"/>
        </w:rPr>
        <w:t>https://pubmed.ncbi.nlm.nih.gov/42757757/</w:t>
      </w:r>
    </w:p>
    <w:p>
      <w:pPr>
        <w:pStyle w:val="Heading2"/>
      </w:pPr>
      <w:r>
        <w:t>Strukturierte Laktationsberatung und Muttermilchbanken in deutschen NICUs</w:t>
      </w:r>
    </w:p>
    <w:p>
      <w:r>
        <w:rPr>
          <w:i/>
          <w:color w:val="666666"/>
          <w:sz w:val="18"/>
        </w:rPr>
        <w:t>Köberlein-Neu J et al.  ·  BMC Med  ·  11.09.2026  ·  PMID 42754870</w:t>
      </w:r>
    </w:p>
    <w:p>
      <w:r>
        <w:t>Stepped-Wedge-Cluster-RCT in 15 deutschen Level-I-NICUs zur Wirksamkeit von strukturierter Laktationsberatung mit Donor-Milk-Banking auf ausschließliches Stillen bei Entlassung.</w:t>
      </w:r>
    </w:p>
    <w:p>
      <w:r>
        <w:rPr>
          <w:b/>
        </w:rPr>
        <w:t xml:space="preserve">Ergebnis: </w:t>
      </w:r>
      <w:r>
        <w:t>Ausschließliches Stillen bei Entlassung stieg um 11 Prozentpunkte (95%-KI: 3,0–19,0; p = 0,007) von 43% Baseline. Keine signifikanten Unterschiede in klinischen Komplikationen oder Verweildauer. Implementierbarkeit und Durchführungstreue waren ausreichend (Beratung in 71% wie geplant).</w:t>
      </w:r>
    </w:p>
    <w:p>
      <w:r>
        <w:rPr>
          <w:b/>
          <w:sz w:val="19"/>
        </w:rPr>
        <w:t xml:space="preserve">Übertragbarkeit: </w:t>
      </w:r>
      <w:r>
        <w:rPr>
          <w:sz w:val="19"/>
        </w:rPr>
        <w:t>Deutsche RCT-Daten, gesetzlich versicherte Neugeborene in Universitätskliniken</w:t>
      </w:r>
    </w:p>
    <w:p>
      <w:r>
        <w:rPr>
          <w:color w:val="5A7D3A"/>
          <w:sz w:val="18"/>
        </w:rPr>
        <w:t>https://pubmed.ncbi.nlm.nih.gov/42754870/</w:t>
      </w:r>
    </w:p>
    <w:p>
      <w:pPr>
        <w:pStyle w:val="Heading1"/>
      </w:pPr>
      <w:r>
        <w:t>Aufgenommen am 18.09.2026</w:t>
      </w:r>
    </w:p>
    <w:p>
      <w:pPr>
        <w:pStyle w:val="Heading2"/>
      </w:pPr>
      <w:r>
        <w:t>Workforce readiness for Advance Care Planning in ID services</w:t>
      </w:r>
    </w:p>
    <w:p>
      <w:r>
        <w:rPr>
          <w:i/>
          <w:color w:val="666666"/>
          <w:sz w:val="18"/>
        </w:rPr>
        <w:t>Zeilinger EL Prof Dr et al.  ·  J Pain Symptom Manage  ·  17.09.2026  ·  PMID 42754183</w:t>
      </w:r>
    </w:p>
    <w:p>
      <w:r>
        <w:t>Österreichische Querschnittstudie zur Bereitschaft von Betreuungspersonen in Wohneinrichtungen für Menschen mit Behinderungen, ACP-Gespräche zu führen.</w:t>
      </w:r>
    </w:p>
    <w:p>
      <w:r>
        <w:rPr>
          <w:b/>
        </w:rPr>
        <w:t xml:space="preserve">Ergebnis: </w:t>
      </w:r>
      <w:r>
        <w:t>67,7 % der 127 Befragten kannten Patientenverfügungen, aber nur 1,6 % konnten ACP erklären. 68,5 % fühlten sich komfortabel bei ACP-Gesprächen, 85,8 % sahen ACP als wichtig an, und 77,2 % sahen es als ihre Verantwortung. Fehlende konzeptionelle Vorbereitung trotz hoher Unterstützung für ACP.</w:t>
      </w:r>
    </w:p>
    <w:p>
      <w:r>
        <w:rPr>
          <w:b/>
          <w:sz w:val="19"/>
        </w:rPr>
        <w:t xml:space="preserve">Übertragbarkeit: </w:t>
      </w:r>
      <w:r>
        <w:rPr>
          <w:sz w:val="19"/>
        </w:rPr>
        <w:t>Österreich, ähnliche Systemstruktur und Versorgungskontext wie Deutschland</w:t>
      </w:r>
    </w:p>
    <w:p>
      <w:r>
        <w:rPr>
          <w:color w:val="5A7D3A"/>
          <w:sz w:val="18"/>
        </w:rPr>
        <w:t>https://pubmed.ncbi.nlm.nih.gov/42754183/</w:t>
      </w:r>
    </w:p>
    <w:p>
      <w:pPr>
        <w:pStyle w:val="Heading2"/>
      </w:pPr>
      <w:r>
        <w:t>Multilevel-Faktoren bei Non-Response zu Patient-Reported Outcome Measures</w:t>
      </w:r>
    </w:p>
    <w:p>
      <w:r>
        <w:rPr>
          <w:i/>
          <w:color w:val="666666"/>
          <w:sz w:val="18"/>
        </w:rPr>
        <w:t>Liu JB et al.  ·  Qual Life Res  ·  17.09.2026  ·  PMID 42753022</w:t>
      </w:r>
    </w:p>
    <w:p>
      <w:r>
        <w:t>US-Kohortenanalyse von 12.214 Patienten an fünf Strahlentherapie-Kliniken zu Faktoren auf Patient-, Provider- und Klinikebene, die Non-Response zu PROMIS Global-10 vorhersagen.</w:t>
      </w:r>
    </w:p>
    <w:p>
      <w:r>
        <w:rPr>
          <w:b/>
        </w:rPr>
        <w:t xml:space="preserve">Ergebnis: </w:t>
      </w:r>
      <w:r>
        <w:t>Patient- und Termin-Response-Raten: 35,4 % bzw. 31,7 %; Response variierte zwischen Kliniken 12,8–66,2 %. Nach Adjustierung: jüngste Operation (aOR 1,97) und längere Diagnosedauer (aOR 0,46 für &gt;12 Monate) persistierten. Klinik-Implementierungsfaktoren (späte Programmstartzeit aOR 0,29) waren stärker als Patientenmerkmale.</w:t>
      </w:r>
    </w:p>
    <w:p>
      <w:r>
        <w:rPr>
          <w:b/>
          <w:sz w:val="19"/>
        </w:rPr>
        <w:t xml:space="preserve">Übertragbarkeit: </w:t>
      </w:r>
      <w:r>
        <w:rPr>
          <w:sz w:val="19"/>
        </w:rPr>
        <w:t>USA - Methodologie zu PROM-Implementierung systemunabhängig relevant für deutsches QM</w:t>
      </w:r>
    </w:p>
    <w:p>
      <w:r>
        <w:rPr>
          <w:color w:val="5A7D3A"/>
          <w:sz w:val="18"/>
        </w:rPr>
        <w:t>https://pubmed.ncbi.nlm.nih.gov/42753022/</w:t>
      </w:r>
    </w:p>
    <w:p>
      <w:pPr>
        <w:pStyle w:val="Heading2"/>
      </w:pPr>
      <w:r>
        <w:t>Finanzielle Auswirkungen von Schwangerschaft und Geburt bei Louisiana Medicaid</w:t>
      </w:r>
    </w:p>
    <w:p>
      <w:r>
        <w:rPr>
          <w:i/>
          <w:color w:val="666666"/>
          <w:sz w:val="18"/>
        </w:rPr>
        <w:t>Walker B et al.  ·  Health Serv Res  ·  Okt. 2026  ·  PMID 42751818</w:t>
      </w:r>
    </w:p>
    <w:p>
      <w:r>
        <w:t>US-Studie zu Auswirkungen von Schwangerschaft auf Verschuldung und Kreditscores bei Medicaid-Versicherten, stratifiziert nach Ethnie.</w:t>
      </w:r>
    </w:p>
    <w:p>
      <w:r>
        <w:rPr>
          <w:b/>
        </w:rPr>
        <w:t xml:space="preserve">Ergebnis: </w:t>
      </w:r>
      <w:r>
        <w:t>Nicht-hispanische schwarze Frauen zeigten negative finanzielle Folgen: Kreditscores sanken um 4 Punkte (95%-KI: -5,65 bis -1,81), medizinische Schulden stiegen um 41 USD (KI: 6–75), andere Schulden um 44 USD (KI: 15–74). Nicht-hispanische weiße Frauen zeigten keine nachteiligen Auswirkungen.</w:t>
      </w:r>
    </w:p>
    <w:p>
      <w:r>
        <w:rPr>
          <w:b/>
          <w:sz w:val="19"/>
        </w:rPr>
        <w:t xml:space="preserve">Übertragbarkeit: </w:t>
      </w:r>
      <w:r>
        <w:rPr>
          <w:sz w:val="19"/>
        </w:rPr>
        <w:t>USA/Medicaid - Fragestellung aber zu Equity und Versorgungsgerechtigkeit systemunabhängig relevant</w:t>
      </w:r>
    </w:p>
    <w:p>
      <w:r>
        <w:rPr>
          <w:color w:val="5A7D3A"/>
          <w:sz w:val="18"/>
        </w:rPr>
        <w:t>https://pubmed.ncbi.nlm.nih.gov/42751818/</w:t>
      </w:r>
    </w:p>
    <w:p>
      <w:pPr>
        <w:pStyle w:val="Heading2"/>
      </w:pPr>
      <w:r>
        <w:t>Lernen zur Unterstützung von Klientenautonomie in Pflegepraktika</w:t>
      </w:r>
    </w:p>
    <w:p>
      <w:r>
        <w:rPr>
          <w:i/>
          <w:color w:val="666666"/>
          <w:sz w:val="18"/>
        </w:rPr>
        <w:t>Knibbeler MMCJ et al.  ·  Int J Nurs Stud Adv  ·  05.09.2026  ·  PMID 42751206</w:t>
      </w:r>
    </w:p>
    <w:p>
      <w:r>
        <w:t>Qualitative Studie aus Niederlanden zur Frage, wie Pflegestudierende während des klinischen Praktikums lernen, Klientenautonomie zu unterstützen.</w:t>
      </w:r>
    </w:p>
    <w:p>
      <w:r>
        <w:rPr>
          <w:b/>
        </w:rPr>
        <w:t xml:space="preserve">Ergebnis: </w:t>
      </w:r>
      <w:r>
        <w:t>Autonomieförderung war in der Praxis präsent aber inkonsistent; Betreuer interpretierten Autonomie oft als Selbstständigkeit statt Partizipation in Entscheidungen. Implizites Lernen durch Beobachtung dominierte; strukturierte Reflexion war selten. Supervision und Feedback durch Betreuer waren nicht systematisch.</w:t>
      </w:r>
    </w:p>
    <w:p>
      <w:r>
        <w:rPr>
          <w:b/>
          <w:sz w:val="19"/>
        </w:rPr>
        <w:t xml:space="preserve">Übertragbarkeit: </w:t>
      </w:r>
      <w:r>
        <w:rPr>
          <w:sz w:val="19"/>
        </w:rPr>
        <w:t>Niederlande, vergleichbares Pflegeausbildungssystem und Versorgungskontext</w:t>
      </w:r>
    </w:p>
    <w:p>
      <w:r>
        <w:rPr>
          <w:color w:val="5A7D3A"/>
          <w:sz w:val="18"/>
        </w:rPr>
        <w:t>https://pubmed.ncbi.nlm.nih.gov/42751206/</w:t>
      </w:r>
    </w:p>
    <w:p>
      <w:pPr>
        <w:pStyle w:val="Heading2"/>
      </w:pPr>
      <w:r>
        <w:t>Mundgesundheitspflege in Langzeiteinrichtungen: Barrieren und Enabler</w:t>
      </w:r>
    </w:p>
    <w:p>
      <w:r>
        <w:rPr>
          <w:i/>
          <w:color w:val="666666"/>
          <w:sz w:val="18"/>
        </w:rPr>
        <w:t>Spilsbury K et al.  ·  Int J Nurs Stud Adv  ·  13.08.2026  ·  PMID 42750939</w:t>
      </w:r>
    </w:p>
    <w:p>
      <w:r>
        <w:t>Britische Scoping Review zu Faktoren auf Mikro-, Meso- und Makroebene, die Mundgesundheitspflege durch Personal in Altenheimen beeinflussen.</w:t>
      </w:r>
    </w:p>
    <w:p>
      <w:r>
        <w:rPr>
          <w:b/>
        </w:rPr>
        <w:t xml:space="preserve">Ergebnis: </w:t>
      </w:r>
      <w:r>
        <w:t>63 Studien eingeschlossen. Häufigste Einflussfaktoren im COM-B-Modell waren Opportunity-Faktoren (Umgebung, Ressourcen, soziale Einflüsse). Wichtigste Enabler: Schulung, Mundgesundheitskampagnen, unterstützende Führung, Assessmentsysteme. Schlüsselbarrieren: Personalknappheit, Zeitdruck, begrenzte Schulung, niedrige organisationale Priorität, eingeschränkter Zugang zu Zahnservices.</w:t>
      </w:r>
    </w:p>
    <w:p>
      <w:r>
        <w:rPr>
          <w:b/>
          <w:sz w:val="19"/>
        </w:rPr>
        <w:t xml:space="preserve">Übertragbarkeit: </w:t>
      </w:r>
      <w:r>
        <w:rPr>
          <w:sz w:val="19"/>
        </w:rPr>
        <w:t>Großbritannien, Empfehlungen für Langzeitpflege in Deutschland direkt anwendbar</w:t>
      </w:r>
    </w:p>
    <w:p>
      <w:r>
        <w:rPr>
          <w:color w:val="5A7D3A"/>
          <w:sz w:val="18"/>
        </w:rPr>
        <w:t>https://pubmed.ncbi.nlm.nih.gov/42750939/</w:t>
      </w:r>
    </w:p>
    <w:p>
      <w:pPr>
        <w:pStyle w:val="Heading2"/>
      </w:pPr>
      <w:r>
        <w:t>Algorithmen zur Identifikation von HCBS in Medicaid-Claims</w:t>
      </w:r>
    </w:p>
    <w:p>
      <w:r>
        <w:rPr>
          <w:i/>
          <w:color w:val="666666"/>
          <w:sz w:val="18"/>
        </w:rPr>
        <w:t>Dihwa V et al.  ·  Health Serv Res  ·  Okt. 2026  ·  PMID 42750346</w:t>
      </w:r>
    </w:p>
    <w:p>
      <w:r>
        <w:t>US-Evaluationsstudie von drei Algorithmen zur Identifikation von Home- and Community-Based Services in Medicaid-Daten 2021–2023.</w:t>
      </w:r>
    </w:p>
    <w:p>
      <w:r>
        <w:rPr>
          <w:b/>
        </w:rPr>
        <w:t xml:space="preserve">Ergebnis: </w:t>
      </w:r>
      <w:r>
        <w:t>Zwei bestehende Algorithmen zeigten hohe Übereinstimmung (Po = 93 %, Kappa = 0,77). Ein neuer vereinheitlichter Algorithmus adressierte Diskrepanzen durch Novel-Nutzung von Waiver-IDs. Jedoch zeigten einige Bundesstaaten implausible Zählungen oder große Schwankungen über die Jahre (&gt;50 %), was auf Datenqualitätsprobleme hindeutet.</w:t>
      </w:r>
    </w:p>
    <w:p>
      <w:r>
        <w:rPr>
          <w:b/>
          <w:sz w:val="19"/>
        </w:rPr>
        <w:t xml:space="preserve">Übertragbarkeit: </w:t>
      </w:r>
      <w:r>
        <w:rPr>
          <w:sz w:val="19"/>
        </w:rPr>
        <w:t>USA - Datenqualitätsthematik systemunabhängig, aber nur bedingt auf Deutschland übertragbar</w:t>
      </w:r>
    </w:p>
    <w:p>
      <w:r>
        <w:rPr>
          <w:color w:val="5A7D3A"/>
          <w:sz w:val="18"/>
        </w:rPr>
        <w:t>https://pubmed.ncbi.nlm.nih.gov/42750346/</w:t>
      </w:r>
    </w:p>
    <w:p>
      <w:pPr>
        <w:pStyle w:val="Heading1"/>
      </w:pPr>
      <w:r>
        <w:t>Aufgenommen am 17.09.2026</w:t>
      </w:r>
    </w:p>
    <w:p>
      <w:pPr>
        <w:pStyle w:val="Heading2"/>
      </w:pPr>
      <w:r>
        <w:t>Chirurgische Behandlung von NSCLC in England: Trends, Variation und kurzfristige Ergebnisse 2015–2023</w:t>
      </w:r>
    </w:p>
    <w:p>
      <w:r>
        <w:rPr>
          <w:i/>
          <w:color w:val="666666"/>
          <w:sz w:val="18"/>
        </w:rPr>
        <w:t>Dixon LK et al.  ·  BMJ Open  ·  16.09.2026  ·  PMID 42749376</w:t>
      </w:r>
    </w:p>
    <w:p>
      <w:r>
        <w:t>Bevölkerungsgestützte Kohortenstudie zu Trends in der chirurgischen Praxis, regionalen Unterschieden und postoperativen Outcomes bei Lungenkrebs-Resektion in England über 9 Jahre.</w:t>
      </w:r>
    </w:p>
    <w:p>
      <w:r>
        <w:rPr>
          <w:b/>
        </w:rPr>
        <w:t xml:space="preserve">Ergebnis: </w:t>
      </w:r>
      <w:r>
        <w:t>Resektionsrate stieg von 15,4 % (2015) auf 20,9 % (2023); Segmentektomie von 11,2 % auf 20,6 %, minimal-invasive Chirurgie von 47,1 % auf 79,7 %; 90-Tage-Mortalität sank von 4,03 % auf 2,26 %; Verweildauer verkürzt sich, Wiederaufnahmen stabil bei ~10–12 % – jedoch erhebliche Zentren-Heterogenität in Segmentektomie (10,7–80,3 %) und roboterassistierter Chirurgie (0–67 %).</w:t>
      </w:r>
    </w:p>
    <w:p>
      <w:r>
        <w:rPr>
          <w:b/>
          <w:sz w:val="19"/>
        </w:rPr>
        <w:t xml:space="preserve">Übertragbarkeit: </w:t>
      </w:r>
      <w:r>
        <w:rPr>
          <w:sz w:val="19"/>
        </w:rPr>
        <w:t>England, spezialisierte Thoraxchirurgie-Zentren – systemischer Kontext nur bedingt übertragbar</w:t>
      </w:r>
    </w:p>
    <w:p>
      <w:r>
        <w:rPr>
          <w:color w:val="5A7D3A"/>
          <w:sz w:val="18"/>
        </w:rPr>
        <w:t>https://pubmed.ncbi.nlm.nih.gov/42749376/</w:t>
      </w:r>
    </w:p>
    <w:p>
      <w:pPr>
        <w:pStyle w:val="Heading2"/>
      </w:pPr>
      <w:r>
        <w:t>Hybrid-Telemedizin-Hausbesuch-Modell für Pneumonieversorung: Pilot-Fallserie aus Texas</w:t>
      </w:r>
    </w:p>
    <w:p>
      <w:r>
        <w:rPr>
          <w:i/>
          <w:color w:val="666666"/>
          <w:sz w:val="18"/>
        </w:rPr>
        <w:t>Bourmand R et al.  ·  JMIR Form Res  ·  16.09.2026  ·  PMID 42748457</w:t>
      </w:r>
    </w:p>
    <w:p>
      <w:r>
        <w:t>Retrospektive deskriptive Fallserie (n=28 Patienten mit Pneumoniediagnose) zur Implementierbarkeit und Nutzungsmuster eines Hybrid-Modells aus virtueller ärztlicher Bewertung und trainierter Fachperson im Hausbesuch mit digitalen Diagnostik-Tools.</w:t>
      </w:r>
    </w:p>
    <w:p>
      <w:r>
        <w:rPr>
          <w:b/>
        </w:rPr>
        <w:t xml:space="preserve">Ergebnis: </w:t>
      </w:r>
      <w:r>
        <w:t>28 Patienten mit 56 klinischen Kontakten (Median 2, IQR 1–3 pro Patient); CRB-65-Scores 0–2 (46,4 % Score 0, 46,4 % Score 1, 7,1 % Score 2); 8/28 (28,6 %) zur ED überwiesen; Patienten zur ED überwiesen hatten signifikant höhere CRB-65-Scores (Median 1, IQR 1–1,5 vs. Median 0, IQR 0–1; p=0,01); Modell machbar, aber größere prospektive Vergleichsstudien für Outcomes/Sicherheit erforderlich.</w:t>
      </w:r>
    </w:p>
    <w:p>
      <w:r>
        <w:rPr>
          <w:b/>
          <w:sz w:val="19"/>
        </w:rPr>
        <w:t xml:space="preserve">Übertragbarkeit: </w:t>
      </w:r>
      <w:r>
        <w:rPr>
          <w:sz w:val="19"/>
        </w:rPr>
        <w:t>USA – Fragestellung zur Versorgungsmodellintegration systemunabhängig, aber Kontext Urgent Care begrenzt übertragbar</w:t>
      </w:r>
    </w:p>
    <w:p>
      <w:r>
        <w:rPr>
          <w:color w:val="5A7D3A"/>
          <w:sz w:val="18"/>
        </w:rPr>
        <w:t>https://pubmed.ncbi.nlm.nih.gov/42748457/</w:t>
      </w:r>
    </w:p>
    <w:p>
      <w:pPr>
        <w:pStyle w:val="Heading2"/>
      </w:pPr>
      <w:r>
        <w:t>Elektronische Arzneihinweise verbessern Überweisungen zu Diabetes-Selbstmanagement-Schulung</w:t>
      </w:r>
    </w:p>
    <w:p>
      <w:r>
        <w:rPr>
          <w:i/>
          <w:color w:val="666666"/>
          <w:sz w:val="18"/>
        </w:rPr>
        <w:t>Donahue KE et al.  ·  Diabetes Care  ·  16.09.2026  ·  PMID 42747941</w:t>
      </w:r>
    </w:p>
    <w:p>
      <w:r>
        <w:t>Clusterrandomisierte Studie zur Wirkung von Best-Practice-Advisories im EHR auf Überweisungsquoten zu Diabetes-Selbstmanagement-Schulung (DSMES) über 18 Monate in US-Primärversorgung.</w:t>
      </w:r>
    </w:p>
    <w:p>
      <w:r>
        <w:rPr>
          <w:b/>
        </w:rPr>
        <w:t xml:space="preserve">Ergebnis: </w:t>
      </w:r>
      <w:r>
        <w:t>Nach 12 Monaten: 12,9 % Überweisungsrate in Interventionskliniken vs. 1,2 % in Kontrollen (p&lt;0,001); nach 18 Monaten 13,7 % vs. 1,6 % (p&lt;0,001); adjustierte Odds Ratio 10,55 (95%-KI 4,65–23,94) nach 12 Monaten und 9,44 (95%-KI 4,91–18,17) nach 18 Monaten. Standing Orders erhielten diese Gewinne.</w:t>
      </w:r>
    </w:p>
    <w:p>
      <w:r>
        <w:rPr>
          <w:b/>
          <w:sz w:val="19"/>
        </w:rPr>
        <w:t xml:space="preserve">Übertragbarkeit: </w:t>
      </w:r>
      <w:r>
        <w:rPr>
          <w:sz w:val="19"/>
        </w:rPr>
        <w:t>USA, Primärversorgung – Prozessoptimierung systemunabhängig, aber Anreizsystem unterschiedlich</w:t>
      </w:r>
    </w:p>
    <w:p>
      <w:r>
        <w:rPr>
          <w:color w:val="5A7D3A"/>
          <w:sz w:val="18"/>
        </w:rPr>
        <w:t>https://pubmed.ncbi.nlm.nih.gov/42747941/</w:t>
      </w:r>
    </w:p>
    <w:p>
      <w:pPr>
        <w:pStyle w:val="Heading2"/>
      </w:pPr>
      <w:r>
        <w:t>Mehrebenen-Mehrfach-Fallstudie: Methodik zur Analyse komplexer Versorgungstrajektorien älterer Menschen</w:t>
      </w:r>
    </w:p>
    <w:p>
      <w:r>
        <w:rPr>
          <w:i/>
          <w:color w:val="666666"/>
          <w:sz w:val="18"/>
        </w:rPr>
        <w:t>Dieterich A et al.  ·  Z Gerontol Geriatr  ·  16.09.2026  ·  PMID 42747513</w:t>
      </w:r>
    </w:p>
    <w:p>
      <w:r>
        <w:t>Methodisches Diskussionspapier zur Anwendung von Mehrebenen-Mehrfach-Fallstudien als Forschungsdesign zur empirischen Rekonstruktion komplexer Hilfeverläufe in sektorenübergreifender Versorgung für ältere Menschen.</w:t>
      </w:r>
    </w:p>
    <w:p>
      <w:r>
        <w:rPr>
          <w:b/>
        </w:rPr>
        <w:t xml:space="preserve">Ergebnis: </w:t>
      </w:r>
      <w:r>
        <w:t>Fallkonstellationen auf Mikro- (Interaktion Betroffener, professionelle und informelle Helfer), Meso- (Organisationen, Netzwerke) und Makroebene (Rahmenbedingungen) systematisch verknüpft; Methodenkombination (Interviews, Dokumenten-, Sozialraum-, Netzwerkanalysen, reflexive thematische Analyse) ermöglicht kontextabhängige Bedingungen von Versorgung zu identifizieren; Design eröffnet neue Möglichkeiten für Versorgungsforschung, stellt aber hohe Anforderungen an Feldzugang, Datenintegration und Forschungsethik.</w:t>
      </w:r>
    </w:p>
    <w:p>
      <w:r>
        <w:rPr>
          <w:b/>
          <w:sz w:val="19"/>
        </w:rPr>
        <w:t xml:space="preserve">Übertragbarkeit: </w:t>
      </w:r>
      <w:r>
        <w:rPr>
          <w:sz w:val="19"/>
        </w:rPr>
        <w:t>Deutschland, Versorgungsforschung – direkt anwendbare Methodik für sektorenübergreifende Versorgungsanalyse</w:t>
      </w:r>
    </w:p>
    <w:p>
      <w:r>
        <w:rPr>
          <w:color w:val="5A7D3A"/>
          <w:sz w:val="18"/>
        </w:rPr>
        <w:t>https://pubmed.ncbi.nlm.nih.gov/42747513/</w:t>
      </w:r>
    </w:p>
    <w:p>
      <w:pPr>
        <w:pStyle w:val="Heading2"/>
      </w:pPr>
      <w:r>
        <w:t>Zusammenarbeit und Partizipation in integrierter Versorgung: Sicht von Managern mit komplexen Bedarf</w:t>
      </w:r>
    </w:p>
    <w:p>
      <w:r>
        <w:rPr>
          <w:i/>
          <w:color w:val="666666"/>
          <w:sz w:val="18"/>
        </w:rPr>
        <w:t>Hjelm M et al.  ·  BMC Health Serv Res  ·  12.09.2026  ·  PMID 42745286</w:t>
      </w:r>
    </w:p>
    <w:p>
      <w:r>
        <w:t>Qualitative Fokusgruppenstudie (n=13 Manager) zu Barrieren und Facilitatoren interprofessioneller Zusammenarbeit und Patientenbeteiligung in integrierter Gesundheits- und Sozialversorgung für Erwachsene mit komplexen Bedarfen in Schweden.</w:t>
      </w:r>
    </w:p>
    <w:p>
      <w:r>
        <w:rPr>
          <w:b/>
        </w:rPr>
        <w:t xml:space="preserve">Ergebnis: </w:t>
      </w:r>
      <w:r>
        <w:t>Drei zentrale Kategorien identifiziert: (1) organisatorische Voraussetzungen für nachhaltige Verbesserung integrierter Versorgung, (2) interprofessionelle Zusammenarbeit zur Bedarfserfassung, (3) relationale und bedarfsgerechte Ansätze; Kluft zwischen Intention und Implementierung von personenzentrierter, integrierter Versorgung erkannt; Vertrauen, klare Governance und organisatorische Kontinuität als Schlüsselfaktoren.</w:t>
      </w:r>
    </w:p>
    <w:p>
      <w:r>
        <w:rPr>
          <w:b/>
          <w:sz w:val="19"/>
        </w:rPr>
        <w:t xml:space="preserve">Übertragbarkeit: </w:t>
      </w:r>
      <w:r>
        <w:rPr>
          <w:sz w:val="19"/>
        </w:rPr>
        <w:t>Schweden – Primärversorgung und Koordinationsprozesse gut übertragbar auf Deutschland</w:t>
      </w:r>
    </w:p>
    <w:p>
      <w:r>
        <w:rPr>
          <w:color w:val="5A7D3A"/>
          <w:sz w:val="18"/>
        </w:rPr>
        <w:t>https://pubmed.ncbi.nlm.nih.gov/42745286/</w:t>
      </w:r>
    </w:p>
    <w:p>
      <w:pPr>
        <w:pStyle w:val="Heading2"/>
      </w:pPr>
      <w:r>
        <w:t>Lungenkrebs-Screening in Flandern: Barrieren und Facilitatoren aus Stakeholder-Perspektive</w:t>
      </w:r>
    </w:p>
    <w:p>
      <w:r>
        <w:rPr>
          <w:i/>
          <w:color w:val="666666"/>
          <w:sz w:val="18"/>
        </w:rPr>
        <w:t>Michiels L et al.  ·  BMC Health Serv Res  ·  31.08.2026  ·  PMID 42745254</w:t>
      </w:r>
    </w:p>
    <w:p>
      <w:r>
        <w:t>Qualitative exploratorische Studie (22 Gesundheitsfachpersonen, 13 Screening-Berechtigte) zu Implementierungs- und Partizipationsbarrieren sowie Facilitatoren für bevölkerungsgestütztes Lungenkrebs-Screening mit Niedrig-Dosis-CT in Belgien.</w:t>
      </w:r>
    </w:p>
    <w:p>
      <w:r>
        <w:rPr>
          <w:b/>
        </w:rPr>
        <w:t xml:space="preserve">Ergebnis: </w:t>
      </w:r>
      <w:r>
        <w:t>Überwiegend positive Einstellung zum Screening, aber Barrieren: Stigma bezüglich Rauchen, begrenzte Gesundheitskompetenz, indirekte finanzielle/logistische Hindernisse, Angst vor Screening und Warten auf Ergebnisse, Workload-Bedenken, Schulungsbedarf bei Fachpersonen; Facilitatoren: klare Richtlinien, staatliche Koordination/Finanzierung, Integration in Workflows, Zugänglichkeit, public awareness, vertrauensbasierte Kommunikation ohne Wertung.</w:t>
      </w:r>
    </w:p>
    <w:p>
      <w:r>
        <w:rPr>
          <w:b/>
          <w:sz w:val="19"/>
        </w:rPr>
        <w:t xml:space="preserve">Übertragbarkeit: </w:t>
      </w:r>
      <w:r>
        <w:rPr>
          <w:sz w:val="19"/>
        </w:rPr>
        <w:t>Belgien, vergleichbares Sozialversicherungssystem mit ähnlichen Implementierungshürden</w:t>
      </w:r>
    </w:p>
    <w:p>
      <w:r>
        <w:rPr>
          <w:color w:val="5A7D3A"/>
          <w:sz w:val="18"/>
        </w:rPr>
        <w:t>https://pubmed.ncbi.nlm.nih.gov/42745254/</w:t>
      </w:r>
    </w:p>
    <w:p>
      <w:pPr>
        <w:pStyle w:val="Heading2"/>
      </w:pPr>
      <w:r>
        <w:t>Digitale Versorgungstechnologien für ältere Menschen: Anforderungen für Erfahrung als gute Versorgung</w:t>
      </w:r>
    </w:p>
    <w:p>
      <w:r>
        <w:rPr>
          <w:i/>
          <w:color w:val="666666"/>
          <w:sz w:val="18"/>
        </w:rPr>
        <w:t>Kruithof K et al.  ·  BMC Health Serv Res  ·  05.08.2026  ·  PMID 42745252</w:t>
      </w:r>
    </w:p>
    <w:p>
      <w:r>
        <w:t>Qualitative Studie (n=27 wohnhaft lebende ältere Menschen) zu Bedingungen, unter denen digitale Pflege- und Unterstützungstechnologien von älteren Menschen als gute Versorgung wahrgenommen werden.</w:t>
      </w:r>
    </w:p>
    <w:p>
      <w:r>
        <w:rPr>
          <w:b/>
        </w:rPr>
        <w:t xml:space="preserve">Ergebnis: </w:t>
      </w:r>
      <w:r>
        <w:t>Technologien als gute Versorgung erlebt, wenn sie (1) Bedarf und Gewohnheiten entsprechen, (2) Fähigkeiten unterstützen, (3) Werte respektieren; aktive Rolle bei Technologiewahl assoziiert mit Altern-in-place und verbesserter Zugänglichkeit/Sicherheit/Autonomie; von Betreuerseite eingeführte Technologien oft als unnötig wahrgenommen und nicht genutzt; Technologien können reduziertem menschlichem Kontakt und Zugänglichkeitsmängeln schaden.</w:t>
      </w:r>
    </w:p>
    <w:p>
      <w:r>
        <w:rPr>
          <w:b/>
          <w:sz w:val="19"/>
        </w:rPr>
        <w:t xml:space="preserve">Übertragbarkeit: </w:t>
      </w:r>
      <w:r>
        <w:rPr>
          <w:sz w:val="19"/>
        </w:rPr>
        <w:t>Niederlande, ähnliches Gesundheitssystem – Implementierung digitaler Lösungen systemunabhängig</w:t>
      </w:r>
    </w:p>
    <w:p>
      <w:r>
        <w:rPr>
          <w:color w:val="5A7D3A"/>
          <w:sz w:val="18"/>
        </w:rPr>
        <w:t>https://pubmed.ncbi.nlm.nih.gov/42745252/</w:t>
      </w:r>
    </w:p>
    <w:p>
      <w:pPr>
        <w:pStyle w:val="Heading1"/>
      </w:pPr>
      <w:r>
        <w:t>Aufgenommen am 16.09.2026</w:t>
      </w:r>
    </w:p>
    <w:p>
      <w:pPr>
        <w:pStyle w:val="Heading2"/>
      </w:pPr>
      <w:r>
        <w:t>Pragmatisches Vorhersagemodell für Asthma-Klinikreadmissionen</w:t>
      </w:r>
    </w:p>
    <w:p>
      <w:r>
        <w:rPr>
          <w:i/>
          <w:color w:val="666666"/>
          <w:sz w:val="18"/>
        </w:rPr>
        <w:t>Tay TR et al.  ·  Respir Med  ·  15.09.2026  ·  PMID 42744205</w:t>
      </w:r>
    </w:p>
    <w:p>
      <w:r>
        <w:t>Entwicklung und externe Validierung eines neunfaktoriellen Vorhersagemodells für Krankenhauswiederaufnahmen nach Asthmaexazerbation innerhalb von 12 Monaten.</w:t>
      </w:r>
    </w:p>
    <w:p>
      <w:r>
        <w:rPr>
          <w:b/>
        </w:rPr>
        <w:t xml:space="preserve">Ergebnis: </w:t>
      </w:r>
      <w:r>
        <w:t>READMIT-Modell zeigte gute Diskriminierung im Entwicklungs-(AUC 0,748; 95% KI 0,711–0,785) und externen Kohort (AUC 0,737; 95% KI 0,712–0,762), mit zufriedenstellender Kalibrierung.</w:t>
      </w:r>
    </w:p>
    <w:p>
      <w:r>
        <w:rPr>
          <w:b/>
          <w:sz w:val="19"/>
        </w:rPr>
        <w:t xml:space="preserve">Übertragbarkeit: </w:t>
      </w:r>
      <w:r>
        <w:rPr>
          <w:sz w:val="19"/>
        </w:rPr>
        <w:t>Singapur-Daten, aber Fragestellung zu klinischen Prozessen systemunabhängig</w:t>
      </w:r>
    </w:p>
    <w:p>
      <w:r>
        <w:rPr>
          <w:color w:val="5A7D3A"/>
          <w:sz w:val="18"/>
        </w:rPr>
        <w:t>https://pubmed.ncbi.nlm.nih.gov/42744205/</w:t>
      </w:r>
    </w:p>
    <w:p>
      <w:pPr>
        <w:pStyle w:val="Heading2"/>
      </w:pPr>
      <w:r>
        <w:t>Buprenorphin-Verordnungen nach Einführung eines niedrigschwelligen virtuellen Netzwerks</w:t>
      </w:r>
    </w:p>
    <w:p>
      <w:r>
        <w:rPr>
          <w:i/>
          <w:color w:val="666666"/>
          <w:sz w:val="18"/>
        </w:rPr>
        <w:t>Lindenfeld Z et al.  ·  J Subst Use Addict Treat  ·  15.09.2026  ·  PMID 42744115</w:t>
      </w:r>
    </w:p>
    <w:p>
      <w:r>
        <w:t>Analyse der Auswirkungen eines kommunalen Rapid-Access-Modells (RealFix) mit virtuellen Anbietern auf die Buprenorphin-Verschreibungen in Paterson, New Jersey, mittels Differenzen-in-Differenzen-Analyse (2021–2025).</w:t>
      </w:r>
    </w:p>
    <w:p>
      <w:r>
        <w:rPr>
          <w:b/>
        </w:rPr>
        <w:t xml:space="preserve">Ergebnis: </w:t>
      </w:r>
      <w:r>
        <w:t>RealFix war mit Zunahmen von 66,5–76,8 Buprenorphin-Rezepten pro 10.000 Einwohner monatlich verbunden (14,6–17,0% Anstieg über Kontrollgruppen hinaus); Retentionseffekte waren gemischt.</w:t>
      </w:r>
    </w:p>
    <w:p>
      <w:r>
        <w:rPr>
          <w:b/>
          <w:sz w:val="19"/>
        </w:rPr>
        <w:t xml:space="preserve">Übertragbarkeit: </w:t>
      </w:r>
      <w:r>
        <w:rPr>
          <w:sz w:val="19"/>
        </w:rPr>
        <w:t>USA (Medicaid)-Daten, aber Fragestellung zu niedrigschwelliger Zugangssteuerung auf andere Systeme übertragbar</w:t>
      </w:r>
    </w:p>
    <w:p>
      <w:r>
        <w:rPr>
          <w:color w:val="5A7D3A"/>
          <w:sz w:val="18"/>
        </w:rPr>
        <w:t>https://pubmed.ncbi.nlm.nih.gov/42744115/</w:t>
      </w:r>
    </w:p>
    <w:p>
      <w:pPr>
        <w:pStyle w:val="Heading2"/>
      </w:pPr>
      <w:r>
        <w:t>Routinedaten in der onkologischen Versorgungsforschung: Chancen und Herausforderungen</w:t>
      </w:r>
    </w:p>
    <w:p>
      <w:r>
        <w:rPr>
          <w:i/>
          <w:color w:val="666666"/>
          <w:sz w:val="18"/>
        </w:rPr>
        <w:t>Kästner A et al.  ·  Gesundheitswesen  ·  15.09.2026  ·  PMID 42743977</w:t>
      </w:r>
    </w:p>
    <w:p>
      <w:r>
        <w:t>Qualitative Analyse praktischer Erfahrungen mit Krebsregisterdaten und Abrechnungsdaten von Krankenkassen für Versorgungsforschung am Beispiel eines Innovationsfonds-Projekts.</w:t>
      </w:r>
    </w:p>
    <w:p>
      <w:r>
        <w:rPr>
          <w:b/>
        </w:rPr>
        <w:t xml:space="preserve">Ergebnis: </w:t>
      </w:r>
      <w:r>
        <w:t>Verlinkung von Krebsregistern und Abrechnungsdaten ermöglicht umfassende Analysen von Langzeitoutcomes und Versorgungsstrukturen, erfordert jedoch zeitintensive Abstimmungs- und Genehmigungsprozesse sowie spezialisierte methodische Expertise.</w:t>
      </w:r>
    </w:p>
    <w:p>
      <w:r>
        <w:rPr>
          <w:b/>
          <w:sz w:val="19"/>
        </w:rPr>
        <w:t xml:space="preserve">Übertragbarkeit: </w:t>
      </w:r>
      <w:r>
        <w:rPr>
          <w:sz w:val="19"/>
        </w:rPr>
        <w:t>Deutsches Gesundheitssystem, Krebsregister nach §65c SGB V und gesetzliche Krankenkassen</w:t>
      </w:r>
    </w:p>
    <w:p>
      <w:r>
        <w:rPr>
          <w:color w:val="5A7D3A"/>
          <w:sz w:val="18"/>
        </w:rPr>
        <w:t>https://pubmed.ncbi.nlm.nih.gov/42743977/</w:t>
      </w:r>
    </w:p>
    <w:p>
      <w:pPr>
        <w:pStyle w:val="Heading2"/>
      </w:pPr>
      <w:r>
        <w:t>Präferenzen für dezentrale ophthalmologische Kliniken: Diskrete-Wahl-Experiment im UK</w:t>
      </w:r>
    </w:p>
    <w:p>
      <w:r>
        <w:rPr>
          <w:i/>
          <w:color w:val="666666"/>
          <w:sz w:val="18"/>
        </w:rPr>
        <w:t>Ndwandwe S et al.  ·  PLoS One  ·  15.09.2026  ·  PMID 42743352</w:t>
      </w:r>
    </w:p>
    <w:p>
      <w:r>
        <w:t>Diskrete-Wahl-Experiment mit 389 Befragten (Patienten, Fachkräfte, Öffentlichkeit) zu Präferenzen für Merkmale einer techniker-geleiteten asynchronen Augenklinik zur Überwachung chronischer Augenerkrankungen.</w:t>
      </w:r>
    </w:p>
    <w:p>
      <w:r>
        <w:rPr>
          <w:b/>
        </w:rPr>
        <w:t xml:space="preserve">Ergebnis: </w:t>
      </w:r>
      <w:r>
        <w:t>Wer einen Techniker statt Kliniker sah und Ergebnisse per Post erhielt, benötigte Reduktion der Terminverzögerung um 6,27 Monate (95% KI 4,52–8,03) oder Fahrtzeit um 153 Minuten (95% KI 88–219); techniker-geleitete Modelle könnten kliniker-geleitete Services ergänzen, wenn sie Verzögerungen verkürzen.</w:t>
      </w:r>
    </w:p>
    <w:p>
      <w:r>
        <w:rPr>
          <w:b/>
          <w:sz w:val="19"/>
        </w:rPr>
        <w:t xml:space="preserve">Übertragbarkeit: </w:t>
      </w:r>
      <w:r>
        <w:rPr>
          <w:sz w:val="19"/>
        </w:rPr>
        <w:t>UK NHS-System, teilweise übertragbar auf dezentrale Versorgungsmodelle in Deutschland</w:t>
      </w:r>
    </w:p>
    <w:p>
      <w:r>
        <w:rPr>
          <w:color w:val="5A7D3A"/>
          <w:sz w:val="18"/>
        </w:rPr>
        <w:t>https://pubmed.ncbi.nlm.nih.gov/42743352/</w:t>
      </w:r>
    </w:p>
    <w:p>
      <w:pPr>
        <w:pStyle w:val="Heading2"/>
      </w:pPr>
      <w:r>
        <w:t>Psychische Belastung von Gesundheitsfachkräften in der COVID-19-Pandemie</w:t>
      </w:r>
    </w:p>
    <w:p>
      <w:r>
        <w:rPr>
          <w:i/>
          <w:color w:val="666666"/>
          <w:sz w:val="18"/>
        </w:rPr>
        <w:t>Peters C et al.  ·  Front Public Health  ·  31.08.2026  ·  PMID 42741285</w:t>
      </w:r>
    </w:p>
    <w:p>
      <w:r>
        <w:t>Querschnittstudie zu Arbeitsbedingungen und psychischer Gesundheit von 576 Beschäftigten in deutschen Gesundheits- und Sozialeinrichtungen während COVID-19.</w:t>
      </w:r>
    </w:p>
    <w:p>
      <w:r>
        <w:rPr>
          <w:b/>
        </w:rPr>
        <w:t xml:space="preserve">Ergebnis: </w:t>
      </w:r>
      <w:r>
        <w:t>59% waren Gesundheitsfachkräfte; diese berichteten schlechtere Arbeitsfähigkeit (6,9 vs. 7,3), höhere emotionale Belastung und depressive Symptome; ca. ein Fünftel zeigte moderate bis schwere psychische Belastung.</w:t>
      </w:r>
    </w:p>
    <w:p>
      <w:r>
        <w:rPr>
          <w:b/>
          <w:sz w:val="19"/>
        </w:rPr>
        <w:t xml:space="preserve">Übertragbarkeit: </w:t>
      </w:r>
      <w:r>
        <w:rPr>
          <w:sz w:val="19"/>
        </w:rPr>
        <w:t>Deutsche Routinedaten, Studie in Deutschland durchgeführt</w:t>
      </w:r>
    </w:p>
    <w:p>
      <w:r>
        <w:rPr>
          <w:color w:val="5A7D3A"/>
          <w:sz w:val="18"/>
        </w:rPr>
        <w:t>https://pubmed.ncbi.nlm.nih.gov/42741285/</w:t>
      </w:r>
    </w:p>
    <w:p>
      <w:pPr>
        <w:pStyle w:val="Heading2"/>
      </w:pPr>
      <w:r>
        <w:t>Zugang zur elektronischen Patientenakte über Krankenversicherer-Apps in Deutschland</w:t>
      </w:r>
    </w:p>
    <w:p>
      <w:r>
        <w:rPr>
          <w:i/>
          <w:color w:val="666666"/>
          <w:sz w:val="18"/>
        </w:rPr>
        <w:t>May S et al.  ·  JMIR Mhealth Uhealth  ·  14.09.2026  ·  PMID 42735900</w:t>
      </w:r>
    </w:p>
    <w:p>
      <w:r>
        <w:t>Qualitative Interviewstudie mit 23 Personen zu Nutzererfahrungen beim Einrichten und Authentifizieren des Zugangs zur ePA durch Versicherer-Apps.</w:t>
      </w:r>
    </w:p>
    <w:p>
      <w:r>
        <w:rPr>
          <w:b/>
        </w:rPr>
        <w:t xml:space="preserve">Ergebnis: </w:t>
      </w:r>
      <w:r>
        <w:t>Zugang besteht nicht aus einem einzelnen Schritt, sondern aus fünf interdependenten Phasen (Orientierung, technischer Zugang, Verifizierung, Unterbrechungen, initiale Nutzung); Barrieren akkumulieren sich über Phasen hinweg und führen zu wiederholten Versuchen.</w:t>
      </w:r>
    </w:p>
    <w:p>
      <w:r>
        <w:rPr>
          <w:b/>
          <w:sz w:val="19"/>
        </w:rPr>
        <w:t xml:space="preserve">Übertragbarkeit: </w:t>
      </w:r>
      <w:r>
        <w:rPr>
          <w:sz w:val="19"/>
        </w:rPr>
        <w:t>Deutsche Routinedaten und ePA-Implementierung, direkt für deutsches System anwendbar</w:t>
      </w:r>
    </w:p>
    <w:p>
      <w:r>
        <w:rPr>
          <w:color w:val="5A7D3A"/>
          <w:sz w:val="18"/>
        </w:rPr>
        <w:t>https://pubmed.ncbi.nlm.nih.gov/42735900/</w:t>
      </w:r>
    </w:p>
    <w:p>
      <w:pPr>
        <w:pStyle w:val="Heading1"/>
      </w:pPr>
      <w:r>
        <w:t>Aufgenommen am 15.09.2026</w:t>
      </w:r>
    </w:p>
    <w:p>
      <w:pPr>
        <w:pStyle w:val="Heading2"/>
      </w:pPr>
      <w:r>
        <w:t>Design-Richtlinien für Online-Gesundheitsforen</w:t>
      </w:r>
    </w:p>
    <w:p>
      <w:r>
        <w:rPr>
          <w:i/>
          <w:color w:val="666666"/>
          <w:sz w:val="18"/>
        </w:rPr>
        <w:t>Marshall P et al.  ·  J Med Internet Res  ·  14.09.2026  ·  PMID 42735377</w:t>
      </w:r>
    </w:p>
    <w:p>
      <w:r>
        <w:t>Qualitative Studie mit 54 Interviews und Workshops zur Entwicklung evidenzgestützter Designrichtlinien für sichere Online-Gesundheitsforen basierend auf Selbstbestimmungstheorie.</w:t>
      </w:r>
    </w:p>
    <w:p>
      <w:r>
        <w:rPr>
          <w:b/>
        </w:rPr>
        <w:t xml:space="preserve">Ergebnis: </w:t>
      </w:r>
      <w:r>
        <w:t>Vier übergeordnete Designprinzipien identifiziert (Autonomie, Kompetenz, Zugehörigkeit, Sicherheit) mit pragmatischen Umsetzungsstrategien; Ergebnisse zeigen gemischte Nutzererfahrungen und Bedarf für nutzerzentrierte Weiterentwicklung.</w:t>
      </w:r>
    </w:p>
    <w:p>
      <w:r>
        <w:rPr>
          <w:b/>
          <w:sz w:val="19"/>
        </w:rPr>
        <w:t xml:space="preserve">Übertragbarkeit: </w:t>
      </w:r>
      <w:r>
        <w:rPr>
          <w:sz w:val="19"/>
        </w:rPr>
        <w:t>UK-Studie, aber Fragestellung zu Prozessqualität und Nutzerperspektive systemunabhängig übertragbar.</w:t>
      </w:r>
    </w:p>
    <w:p>
      <w:r>
        <w:rPr>
          <w:color w:val="5A7D3A"/>
          <w:sz w:val="18"/>
        </w:rPr>
        <w:t>https://pubmed.ncbi.nlm.nih.gov/42735377/</w:t>
      </w:r>
    </w:p>
    <w:p>
      <w:pPr>
        <w:pStyle w:val="Heading2"/>
      </w:pPr>
      <w:r>
        <w:t>Hepatitis-B-Disparitäten bei Migranten in Dänemark</w:t>
      </w:r>
    </w:p>
    <w:p>
      <w:r>
        <w:rPr>
          <w:i/>
          <w:color w:val="666666"/>
          <w:sz w:val="18"/>
        </w:rPr>
        <w:t>Deal A et al.  ·  Eur J Public Health  ·  04.08.2026  ·  PMID 42734651</w:t>
      </w:r>
    </w:p>
    <w:p>
      <w:r>
        <w:t>Matched-Cohort-Studie mit 179.110 Migranten und 1.049.345 Dänen über 23 Jahre zur Erfassung von HBV-Diagnoseraten und Verzögerungen.</w:t>
      </w:r>
    </w:p>
    <w:p>
      <w:r>
        <w:rPr>
          <w:b/>
        </w:rPr>
        <w:t xml:space="preserve">Ergebnis: </w:t>
      </w:r>
      <w:r>
        <w:t>Migranten zeigten 30,6-fach erhöhtes HBV-Diagnosrisiko (95%-KI: 26,7–35,2); durchschnittliche Verzögerung von Ankunft bis Diagnose 5,4 Jahre; Unterversorgung bei Personen außerhalb routinemäßiger Screening-Prozesse.</w:t>
      </w:r>
    </w:p>
    <w:p>
      <w:r>
        <w:rPr>
          <w:b/>
          <w:sz w:val="19"/>
        </w:rPr>
        <w:t xml:space="preserve">Übertragbarkeit: </w:t>
      </w:r>
      <w:r>
        <w:rPr>
          <w:sz w:val="19"/>
        </w:rPr>
        <w:t>Dänemark, Sozialversicherungssystem vergleichbar mit Deutschland, aussagekräftig für Migrantenpopulationen.</w:t>
      </w:r>
    </w:p>
    <w:p>
      <w:r>
        <w:rPr>
          <w:color w:val="5A7D3A"/>
          <w:sz w:val="18"/>
        </w:rPr>
        <w:t>https://pubmed.ncbi.nlm.nih.gov/42734651/</w:t>
      </w:r>
    </w:p>
    <w:p>
      <w:pPr>
        <w:pStyle w:val="Heading2"/>
      </w:pPr>
      <w:r>
        <w:t>Indirekte Effektivitätsvergleich Tafamidis vs. Acoramidis bei Transthyretin-Kardiomyopathie</w:t>
      </w:r>
    </w:p>
    <w:p>
      <w:r>
        <w:rPr>
          <w:i/>
          <w:color w:val="666666"/>
          <w:sz w:val="18"/>
        </w:rPr>
        <w:t>Debonnaire P et al.  ·  J Comp Eff Res  ·  14.09.2026  ·  PMID 42734113</w:t>
      </w:r>
    </w:p>
    <w:p>
      <w:r>
        <w:t>Trial-Emulation-Studie mit indirektem Vergleich zweier Transthyretin-Stabilisatoren basierend auf Registerdaten und klinischen Trials.</w:t>
      </w:r>
    </w:p>
    <w:p>
      <w:r>
        <w:rPr>
          <w:b/>
        </w:rPr>
        <w:t xml:space="preserve">Ergebnis: </w:t>
      </w:r>
      <w:r>
        <w:t>Nach Kalibrierung zeigte Acoramidis eine 42-Monats-Mortalitätsrate von 24,0% versus kalibrierte 31,2% für Tafamidis; relatives Mortalitätsrisiko 0,78 (95%-KI: 0,60–0,99), was auf 22% niedrigeres Sterblichkeitsrisiko deutet.</w:t>
      </w:r>
    </w:p>
    <w:p>
      <w:r>
        <w:rPr>
          <w:b/>
          <w:sz w:val="19"/>
        </w:rPr>
        <w:t xml:space="preserve">Übertragbarkeit: </w:t>
      </w:r>
      <w:r>
        <w:rPr>
          <w:sz w:val="19"/>
        </w:rPr>
        <w:t>Gering: US-Registerdaten; aber Fragestellung zur Vergleichbarkeit von Wirkstoffen systemunabhängig relevant.</w:t>
      </w:r>
    </w:p>
    <w:p>
      <w:r>
        <w:rPr>
          <w:color w:val="5A7D3A"/>
          <w:sz w:val="18"/>
        </w:rPr>
        <w:t>https://pubmed.ncbi.nlm.nih.gov/42734113/</w:t>
      </w:r>
    </w:p>
    <w:p>
      <w:pPr>
        <w:pStyle w:val="Heading2"/>
      </w:pPr>
      <w:r>
        <w:t>SESAME-Checkliste für Adverse-Event- und Fehlerberichterstattung</w:t>
      </w:r>
    </w:p>
    <w:p>
      <w:r>
        <w:rPr>
          <w:i/>
          <w:color w:val="666666"/>
          <w:sz w:val="18"/>
        </w:rPr>
        <w:t>Griffey RT et al.  ·  J Patient Saf  ·  11.09.2026  ·  PMID 42725452</w:t>
      </w:r>
    </w:p>
    <w:p>
      <w:r>
        <w:t>Methodisches Konsensuspapier zur Entwicklung einer 44-Item-Checkliste (SESAME) zur Standardisierung der Berichterstattung in Studien zu unerwünschten Ereignissen und medizinischen Fehlern.</w:t>
      </w:r>
    </w:p>
    <w:p>
      <w:r>
        <w:rPr>
          <w:b/>
        </w:rPr>
        <w:t xml:space="preserve">Ergebnis: </w:t>
      </w:r>
      <w:r>
        <w:t>SESAME-Checkliste mit 44 Items deckt alle kritischen Reporting-Domänen ab; Ziel ist Verbesserung der Vollständigkeit, Vergleichbarkeit und Reproduzierbarkeit; Entwicklung nach EQUATOR-Standards mit internationalem Expertenkonsens.</w:t>
      </w:r>
    </w:p>
    <w:p>
      <w:r>
        <w:rPr>
          <w:b/>
          <w:sz w:val="19"/>
        </w:rPr>
        <w:t xml:space="preserve">Übertragbarkeit: </w:t>
      </w:r>
      <w:r>
        <w:rPr>
          <w:sz w:val="19"/>
        </w:rPr>
        <w:t>Internationales Konsensdokument zur Studienqualität, systemunabhängig für Patientensicherheitsforschung relevant.</w:t>
      </w:r>
    </w:p>
    <w:p>
      <w:r>
        <w:rPr>
          <w:color w:val="5A7D3A"/>
          <w:sz w:val="18"/>
        </w:rPr>
        <w:t>https://pubmed.ncbi.nlm.nih.gov/42725452/</w:t>
      </w:r>
    </w:p>
    <w:p>
      <w:pPr>
        <w:pStyle w:val="Heading2"/>
      </w:pPr>
      <w:r>
        <w:t>Koordinierter Ansatz zur integrierten Sturz- und Frakturprävention</w:t>
      </w:r>
    </w:p>
    <w:p>
      <w:r>
        <w:rPr>
          <w:i/>
          <w:color w:val="666666"/>
          <w:sz w:val="18"/>
        </w:rPr>
        <w:t>van der Velde N et al.  ·  Eur Geriatr Med  ·  10.09.2026  ·  PMID 42720850</w:t>
      </w:r>
    </w:p>
    <w:p>
      <w:r>
        <w:t>Position Paper von sieben internationalen Fachgesellschaften zu evidenzgestützter integrierter Versorgung für Sturz- und Frakturprävention bei älteren Menschen.</w:t>
      </w:r>
    </w:p>
    <w:p>
      <w:r>
        <w:rPr>
          <w:b/>
        </w:rPr>
        <w:t xml:space="preserve">Ergebnis: </w:t>
      </w:r>
      <w:r>
        <w:t>Kernerkenntnis: Fragmentierte Versorgungsstrukturen erfordern integrierte Fall- und Frakturprävention als Public-Health-Priorität; Empfehlungen für interdisziplinäre Zusammenarbeit, Trainings und systemische Ressourcenallokation.</w:t>
      </w:r>
    </w:p>
    <w:p>
      <w:r>
        <w:rPr>
          <w:b/>
          <w:sz w:val="19"/>
        </w:rPr>
        <w:t xml:space="preserve">Übertragbarkeit: </w:t>
      </w:r>
      <w:r>
        <w:rPr>
          <w:sz w:val="19"/>
        </w:rPr>
        <w:t>Europäischer Konsens mit Fokus auf Versorgungsprozesse, Qualität und Implementierung in Regelversorgung.</w:t>
      </w:r>
    </w:p>
    <w:p>
      <w:r>
        <w:rPr>
          <w:color w:val="5A7D3A"/>
          <w:sz w:val="18"/>
        </w:rPr>
        <w:t>https://pubmed.ncbi.nlm.nih.gov/42720850/</w:t>
      </w:r>
    </w:p>
    <w:p>
      <w:pPr>
        <w:pStyle w:val="Heading2"/>
      </w:pPr>
      <w:r>
        <w:t>Tabakrauchexposition und Gesundheitsdienstleistungen bei jungen Erwachsenen</w:t>
      </w:r>
    </w:p>
    <w:p>
      <w:r>
        <w:rPr>
          <w:i/>
          <w:color w:val="666666"/>
          <w:sz w:val="18"/>
        </w:rPr>
        <w:t>Akhtar S et al.  ·  BMC Health Serv Res  ·  04.09.2026  ·  PMID 42717348</w:t>
      </w:r>
    </w:p>
    <w:p>
      <w:r>
        <w:t>Querschnittsstudie mit 1.323 Studierenden zur Erfassung von Tabakrauchexposition, Symptomen und Inanspruchnahme von Gesundheitsdienstleistungen.</w:t>
      </w:r>
    </w:p>
    <w:p>
      <w:r>
        <w:rPr>
          <w:b/>
        </w:rPr>
        <w:t xml:space="preserve">Ergebnis: </w:t>
      </w:r>
      <w:r>
        <w:t>Exposition gegenüber Tabakrauch 55,9% (740/1.323); Husten (aOR 2,10; 95%-KI 1,66–2,64), Dyspnoe (aOR 1,30; 95%-KI 1,01–1,67) und Asthma (aOR 1,95; 95%-KI 1,43–2,65) signifikant mit Inanspruchnahme assoziiert.</w:t>
      </w:r>
    </w:p>
    <w:p>
      <w:r>
        <w:rPr>
          <w:b/>
          <w:sz w:val="19"/>
        </w:rPr>
        <w:t xml:space="preserve">Übertragbarkeit: </w:t>
      </w:r>
      <w:r>
        <w:rPr>
          <w:sz w:val="19"/>
        </w:rPr>
        <w:t>Kuwait, aber Fragestellung zu Symptomen, Morbidität und Versorgungsnutzung epidemiologisch aussagekräftig.</w:t>
      </w:r>
    </w:p>
    <w:p>
      <w:r>
        <w:rPr>
          <w:color w:val="5A7D3A"/>
          <w:sz w:val="18"/>
        </w:rPr>
        <w:t>https://pubmed.ncbi.nlm.nih.gov/42717348/</w:t>
      </w:r>
    </w:p>
    <w:p>
      <w:pPr>
        <w:pStyle w:val="Heading1"/>
      </w:pPr>
      <w:r>
        <w:t>Aufgenommen am 14.09.2026</w:t>
      </w:r>
    </w:p>
    <w:p>
      <w:pPr>
        <w:pStyle w:val="Heading2"/>
      </w:pPr>
      <w:r>
        <w:t>Kliniker- und Informatiker-Perspektiven auf Harm-Risk-Vorhersage-Tools</w:t>
      </w:r>
    </w:p>
    <w:p>
      <w:r>
        <w:rPr>
          <w:i/>
          <w:color w:val="666666"/>
          <w:sz w:val="18"/>
        </w:rPr>
        <w:t>Lam JYJ et al.  ·  J Eval Clin Pract  ·  Sept. 2026  ·  PMID 42732558</w:t>
      </w:r>
    </w:p>
    <w:p>
      <w:r>
        <w:t>Qualitative Studie mit 22 Interviews (6 Ärzte, 11 Pharmazeuten, 5 Informatiker) zur Implementierung digitaler Risk-Prediction-Tools für Medikamentenschaden in australischen Krankenhäusern.</w:t>
      </w:r>
    </w:p>
    <w:p>
      <w:r>
        <w:rPr>
          <w:b/>
        </w:rPr>
        <w:t xml:space="preserve">Ergebnis: </w:t>
      </w:r>
      <w:r>
        <w:t>Fünf Themen mit Einfluss auf Adoption: Vertrauen der Kliniker, wahrgenommener Nutzen, organisatorische Bereitschaft, automatisierungsfähigkeit und Workflow-Kompatibilität. Barrieren: schlechte Systemintegration, Unsicherheit über Tool-Zuverlässigkeit; Enabler: umfassende Feedback-Mechanismen, Ressourcenplanung.</w:t>
      </w:r>
    </w:p>
    <w:p>
      <w:r>
        <w:rPr>
          <w:b/>
          <w:sz w:val="19"/>
        </w:rPr>
        <w:t xml:space="preserve">Übertragbarkeit: </w:t>
      </w:r>
      <w:r>
        <w:rPr>
          <w:sz w:val="19"/>
        </w:rPr>
        <w:t>Australien, aber klinische Perspektiven auf digitale Sicherheitstools übertragbar</w:t>
      </w:r>
    </w:p>
    <w:p>
      <w:r>
        <w:rPr>
          <w:color w:val="5A7D3A"/>
          <w:sz w:val="18"/>
        </w:rPr>
        <w:t>https://pubmed.ncbi.nlm.nih.gov/42732558/</w:t>
      </w:r>
    </w:p>
    <w:p>
      <w:pPr>
        <w:pStyle w:val="Heading2"/>
      </w:pPr>
      <w:r>
        <w:t>ADHD-Medikation und Selbstverletzungsrisiko: multinational</w:t>
      </w:r>
    </w:p>
    <w:p>
      <w:r>
        <w:rPr>
          <w:i/>
          <w:color w:val="666666"/>
          <w:sz w:val="18"/>
        </w:rPr>
        <w:t>Chan AYL et al.  ·  BMJ Ment Health  ·  12.09.2026  ·  PMID 42731881</w:t>
      </w:r>
    </w:p>
    <w:p>
      <w:r>
        <w:t>Multinational selbstkontrollierte Fallserie zur Assoziation zwischen ADHD-Medikation und Selbstverletzungen anhand von fünf Ländern-Datenbanken.</w:t>
      </w:r>
    </w:p>
    <w:p>
      <w:r>
        <w:rPr>
          <w:b/>
        </w:rPr>
        <w:t xml:space="preserve">Ergebnis: </w:t>
      </w:r>
      <w:r>
        <w:t>Höchstes Risiko 90 Tage vor Therapiestart (IRR 2,58), dann während ersten 90 Tage (IRR 1,78) und später (IRR 1,27). Muster konsistent über alle Datenbanken – erhöhtes Risiko vor Behandlung deutet auf unbehandelte ADHD-Symptome, nicht auf Medikation hin.</w:t>
      </w:r>
    </w:p>
    <w:p>
      <w:r>
        <w:rPr>
          <w:b/>
          <w:sz w:val="19"/>
        </w:rPr>
        <w:t xml:space="preserve">Übertragbarkeit: </w:t>
      </w:r>
      <w:r>
        <w:rPr>
          <w:sz w:val="19"/>
        </w:rPr>
        <w:t>Multinational, UK, Neuseeland, Taiwan eingeschlossen</w:t>
      </w:r>
    </w:p>
    <w:p>
      <w:r>
        <w:rPr>
          <w:color w:val="5A7D3A"/>
          <w:sz w:val="18"/>
        </w:rPr>
        <w:t>https://pubmed.ncbi.nlm.nih.gov/42731881/</w:t>
      </w:r>
    </w:p>
    <w:p>
      <w:pPr>
        <w:pStyle w:val="Heading2"/>
      </w:pPr>
      <w:r>
        <w:t>Online-Infektionstests: Systemische Vorteile und Barrieren</w:t>
      </w:r>
    </w:p>
    <w:p>
      <w:r>
        <w:rPr>
          <w:i/>
          <w:color w:val="666666"/>
          <w:sz w:val="18"/>
        </w:rPr>
        <w:t>Grace D et al.  ·  BMC Health Serv Res  ·  05.09.2026  ·  PMID 42728588</w:t>
      </w:r>
    </w:p>
    <w:p>
      <w:r>
        <w:t>Qualitative Interviews mit 41 Fachleuten zu Implementierung eines Online-Tests für sexuell übertragbare Infektionen (GetCheckedOnline) in Ontario.</w:t>
      </w:r>
    </w:p>
    <w:p>
      <w:r>
        <w:rPr>
          <w:b/>
        </w:rPr>
        <w:t xml:space="preserve">Ergebnis: </w:t>
      </w:r>
      <w:r>
        <w:t>Fünf zentrale Spannungsfelder identifiziert: Zugang, Datenschutz, Koordination, Agency und Systemauswirkungen. Teilnehmende erkannten Vorteile (besserer Zugang), berichteten aber auch unerwünschte Folgen (Koordinationsverluste zwischen Sektoren, Datenschutzbedenken).</w:t>
      </w:r>
    </w:p>
    <w:p>
      <w:r>
        <w:rPr>
          <w:b/>
          <w:sz w:val="19"/>
        </w:rPr>
        <w:t xml:space="preserve">Übertragbarkeit: </w:t>
      </w:r>
      <w:r>
        <w:rPr>
          <w:sz w:val="19"/>
        </w:rPr>
        <w:t>Kanada, aber Fragestellung zu digitalen Testmodellen systemübergreifend relevant</w:t>
      </w:r>
    </w:p>
    <w:p>
      <w:r>
        <w:rPr>
          <w:color w:val="5A7D3A"/>
          <w:sz w:val="18"/>
        </w:rPr>
        <w:t>https://pubmed.ncbi.nlm.nih.gov/42728588/</w:t>
      </w:r>
    </w:p>
    <w:p>
      <w:pPr>
        <w:pStyle w:val="Heading2"/>
      </w:pPr>
      <w:r>
        <w:t>Notfall- und Katastrophenbereitschaft in Krankenhäusern Äthiopiens</w:t>
      </w:r>
    </w:p>
    <w:p>
      <w:r>
        <w:rPr>
          <w:i/>
          <w:color w:val="666666"/>
          <w:sz w:val="18"/>
        </w:rPr>
        <w:t>Farah B et al.  ·  Res Health Serv Reg  ·  10.09.2026  ·  PMID 42720815</w:t>
      </w:r>
    </w:p>
    <w:p>
      <w:r>
        <w:t>Querschnittsstudie zur Notfall- und Katastrophenbereitschaft in vier öffentlichen Zonal-Krankenhäusern in der Somali-Region mit WHO-Hospital-Safety-Index Modul 4.</w:t>
      </w:r>
    </w:p>
    <w:p>
      <w:r>
        <w:rPr>
          <w:b/>
        </w:rPr>
        <w:t xml:space="preserve">Ergebnis: </w:t>
      </w:r>
      <w:r>
        <w:t>Mittlere Bereitschaftswerte von 45%; tiefste Werte für Notfall- und Katastrophenreaktion/Wiederherstellung (41,3%). Defizite in Reaktionsplanung, logistischer Bereitschaft, Finanzadministration und Kommunikationssystemen; fehlende externe Stakeholder-Koordination.</w:t>
      </w:r>
    </w:p>
    <w:p>
      <w:r>
        <w:rPr>
          <w:b/>
          <w:sz w:val="19"/>
        </w:rPr>
        <w:t xml:space="preserve">Übertragbarkeit: </w:t>
      </w:r>
      <w:r>
        <w:rPr>
          <w:sz w:val="19"/>
        </w:rPr>
        <w:t>Äthiopien (LMIC), aber HTA zur Systemreife allgemein relevant</w:t>
      </w:r>
    </w:p>
    <w:p>
      <w:r>
        <w:rPr>
          <w:color w:val="5A7D3A"/>
          <w:sz w:val="18"/>
        </w:rPr>
        <w:t>https://pubmed.ncbi.nlm.nih.gov/42720815/</w:t>
      </w:r>
    </w:p>
    <w:p>
      <w:pPr>
        <w:pStyle w:val="Heading2"/>
      </w:pPr>
      <w:r>
        <w:t>Risk Adjustment in Medicare Advantage mit Encounter-Daten</w:t>
      </w:r>
    </w:p>
    <w:p>
      <w:r>
        <w:rPr>
          <w:i/>
          <w:color w:val="666666"/>
          <w:sz w:val="18"/>
        </w:rPr>
        <w:t>Carlin CS et al.  ·  Health Serv Res  ·  Okt. 2026  ·  PMID 42720268</w:t>
      </w:r>
    </w:p>
    <w:p>
      <w:r>
        <w:t>Vergleichende Re-Schätzung des CMS-Hierarchical-Condition-Category-Modells mit Traditional-Medicare- vs. Medicare-Advantage-Claims 2016–2022.</w:t>
      </w:r>
    </w:p>
    <w:p>
      <w:r>
        <w:rPr>
          <w:b/>
        </w:rPr>
        <w:t xml:space="preserve">Ergebnis: </w:t>
      </w:r>
      <w:r>
        <w:t>MA-Daten zeigen 8,9% niedrigere durchschnittliche HCC-Scores als TM-Daten; Unterschiede variieren über Scoreverteilung. Keine neuen Anreizverzerrungen zu Lasten von Minoritäten oder ländlichen Versicherten.</w:t>
      </w:r>
    </w:p>
    <w:p>
      <w:r>
        <w:rPr>
          <w:b/>
          <w:sz w:val="19"/>
        </w:rPr>
        <w:t xml:space="preserve">Übertragbarkeit: </w:t>
      </w:r>
      <w:r>
        <w:rPr>
          <w:sz w:val="19"/>
        </w:rPr>
        <w:t>US-System (MA/Medicare), aber relevante Methodologie für Risk-Adjustment</w:t>
      </w:r>
    </w:p>
    <w:p>
      <w:r>
        <w:rPr>
          <w:color w:val="5A7D3A"/>
          <w:sz w:val="18"/>
        </w:rPr>
        <w:t>https://pubmed.ncbi.nlm.nih.gov/42720268/</w:t>
      </w:r>
    </w:p>
    <w:p>
      <w:pPr>
        <w:pStyle w:val="Heading2"/>
      </w:pPr>
      <w:r>
        <w:t>MISSION4Sax: Sektorübergreifende onkologische Versorgungsmodelle</w:t>
      </w:r>
    </w:p>
    <w:p>
      <w:r>
        <w:rPr>
          <w:i/>
          <w:color w:val="666666"/>
          <w:sz w:val="18"/>
        </w:rPr>
        <w:t>Richter C et al.  ·  J Cancer Res Clin Oncol  ·  02.09.2026  ·  PMID 42693346</w:t>
      </w:r>
    </w:p>
    <w:p>
      <w:r>
        <w:t>Studienprotokoll eines multizentrischen Pilotstudien zur Machbarkeit einer integrierten onkologischen Versorgung über Regionaltumorbrett zwischen Maximalversorgung und Landpraxis mit standardisierten Patientenpfaden.</w:t>
      </w:r>
    </w:p>
    <w:p>
      <w:r>
        <w:rPr>
          <w:b/>
        </w:rPr>
        <w:t xml:space="preserve">Ergebnis: </w:t>
      </w:r>
      <w:r>
        <w:t>Geplante Bewertung von Machbarkeit, Akzeptanz, Implementierung und Datenqualität (keine Effektivitätsfrage); Fokus auf Wartezeiten, Adhärenz, klinische und Patient-Reported Outcomes. Routinedaten der Krankenkasse als externe Referenz geplant, keine Individualverlinkung.</w:t>
      </w:r>
    </w:p>
    <w:p>
      <w:r>
        <w:rPr>
          <w:b/>
          <w:sz w:val="19"/>
        </w:rPr>
        <w:t xml:space="preserve">Übertragbarkeit: </w:t>
      </w:r>
      <w:r>
        <w:rPr>
          <w:sz w:val="19"/>
        </w:rPr>
        <w:t>Deutschland (Sachsen), Versorgungsforschungs-Design direkt übertragbar</w:t>
      </w:r>
    </w:p>
    <w:p>
      <w:r>
        <w:rPr>
          <w:color w:val="5A7D3A"/>
          <w:sz w:val="18"/>
        </w:rPr>
        <w:t>https://pubmed.ncbi.nlm.nih.gov/42693346/</w:t>
      </w:r>
    </w:p>
    <w:p>
      <w:pPr>
        <w:pStyle w:val="Heading1"/>
      </w:pPr>
      <w:r>
        <w:t>Aufgenommen am 13.09.2026</w:t>
      </w:r>
    </w:p>
    <w:p>
      <w:pPr>
        <w:pStyle w:val="Heading2"/>
      </w:pPr>
      <w:r>
        <w:t>Direkt-OP-Teledermatologie für Hautkrebs: Sicherheit und Effizienz</w:t>
      </w:r>
    </w:p>
    <w:p>
      <w:r>
        <w:rPr>
          <w:i/>
          <w:color w:val="666666"/>
          <w:sz w:val="18"/>
        </w:rPr>
        <w:t>Nour S et al.  ·  BMJ Open Qual  ·  11.09.2026  ·  PMID 42731848</w:t>
      </w:r>
    </w:p>
    <w:p>
      <w:r>
        <w:t>Evaluierung eines Direct-to-Surgery-Teledermatologie-Pfads für verdächtige Hautkrebs-Referrals in einem großen NHS-Hautkrebs-Service mit 18.587 Patienten.</w:t>
      </w:r>
    </w:p>
    <w:p>
      <w:r>
        <w:rPr>
          <w:b/>
        </w:rPr>
        <w:t xml:space="preserve">Ergebnis: </w:t>
      </w:r>
      <w:r>
        <w:t>Von 5.099 eingeschlossenen Patienten wurde 99,86% die 28-Tage-Faster-Diagnosis-Standard erreicht (Ziel: 75%); 75,5% der Melanom-/Plattenepithel-Karzinom-Patienten begannen Behandlung innerhalb der 62-Tage-Zielmarke. Histologie identifizierte 35,5% maligne und 15,5% prämaligne Pathologie; Diagnostische Konkordanz 41,5% (Cohen's κ=0,34). Komplikationsrate 1,3%. Der Pfad demonstriert sichere hochvolumige Hautkrebs-Chirurgie mit exzellenter Compliance zur Faster Diagnosis Standard.</w:t>
      </w:r>
    </w:p>
    <w:p>
      <w:r>
        <w:rPr>
          <w:b/>
          <w:sz w:val="19"/>
        </w:rPr>
        <w:t xml:space="preserve">Übertragbarkeit: </w:t>
      </w:r>
      <w:r>
        <w:rPr>
          <w:sz w:val="19"/>
        </w:rPr>
        <w:t>UK-NHS-Setting, aber Prozessoptimierung für Versorgung übertragbar</w:t>
      </w:r>
    </w:p>
    <w:p>
      <w:r>
        <w:rPr>
          <w:color w:val="5A7D3A"/>
          <w:sz w:val="18"/>
        </w:rPr>
        <w:t>https://pubmed.ncbi.nlm.nih.gov/42731848/</w:t>
      </w:r>
    </w:p>
    <w:p>
      <w:pPr>
        <w:pStyle w:val="Heading2"/>
      </w:pPr>
      <w:r>
        <w:t>Merkmale von Hausärzten und potenziell unangemessene Medikation bei älteren Patienten</w:t>
      </w:r>
    </w:p>
    <w:p>
      <w:r>
        <w:rPr>
          <w:i/>
          <w:color w:val="666666"/>
          <w:sz w:val="18"/>
        </w:rPr>
        <w:t>Tatsuno Y et al.  ·  Health Aff Sch  ·  28.08.2026  ·  PMID 42730259</w:t>
      </w:r>
    </w:p>
    <w:p>
      <w:r>
        <w:t>Japanische Querschnittsstudie zu Zusammenhängen zwischen Arztmerkmalen (Alter, Patientenvolumen) und der Verschreibung potenziell unangemessener Medikamente (PIMs) bei ≥75-Jährigen.</w:t>
      </w:r>
    </w:p>
    <w:p>
      <w:r>
        <w:rPr>
          <w:b/>
        </w:rPr>
        <w:t xml:space="preserve">Ergebnis: </w:t>
      </w:r>
      <w:r>
        <w:t>Von 184.097 Patienten erhielten 38,2% mindestens eine PIM; zwei Drittel der PIM-Verschreibungen konzentrierten sich auf 20% der Ärzte. Jüngere Ärzte (aOR 1,27; 95%-KI 1,05–1,55), solche mit niedrigerem Volumen älterer Patienten (aOR 1,39; 95%-KI 1,19–1,61) und Ärzte in Ost- oder Mittel-Japan verschrieben häufiger PIMs. Gezielte Interventionen bei Hochverschreibern könnten PIMs effizient reduzieren.</w:t>
      </w:r>
    </w:p>
    <w:p>
      <w:r>
        <w:rPr>
          <w:b/>
          <w:sz w:val="19"/>
        </w:rPr>
        <w:t xml:space="preserve">Übertragbarkeit: </w:t>
      </w:r>
      <w:r>
        <w:rPr>
          <w:sz w:val="19"/>
        </w:rPr>
        <w:t>Japan, aber Fragestellung zur Arztqualität systemunabhängig übertragbar</w:t>
      </w:r>
    </w:p>
    <w:p>
      <w:r>
        <w:rPr>
          <w:color w:val="5A7D3A"/>
          <w:sz w:val="18"/>
        </w:rPr>
        <w:t>https://pubmed.ncbi.nlm.nih.gov/42730259/</w:t>
      </w:r>
    </w:p>
    <w:p>
      <w:pPr>
        <w:pStyle w:val="Heading2"/>
      </w:pPr>
      <w:r>
        <w:t>Integration Flexibles Assertive Community Treatment mit kommunalen Sozialservices</w:t>
      </w:r>
    </w:p>
    <w:p>
      <w:r>
        <w:rPr>
          <w:i/>
          <w:color w:val="666666"/>
          <w:sz w:val="18"/>
        </w:rPr>
        <w:t>Kleijburg A et al.  ·  Int J Integr Care  ·  08.09.2026  ·  PMID 42729928</w:t>
      </w:r>
    </w:p>
    <w:p>
      <w:r>
        <w:t>Qualitative Studie mit 15 Interviews zur Implementierung von FACT+DSS-Teams (Flexible Assertive Community Treatment + District Social Services) in der Niederlande für Patienten mit schwerer psychischer Erkrankung.</w:t>
      </w:r>
    </w:p>
    <w:p>
      <w:r>
        <w:rPr>
          <w:b/>
        </w:rPr>
        <w:t xml:space="preserve">Ergebnis: </w:t>
      </w:r>
      <w:r>
        <w:t>FACT+DSS wurde von Teamkräften als deutlich positiv erlebt und verbesserte Zugangsbarrieren, Kontinuität der Versorgung, Case-Finding und Vernetzungskollaboration. Wichtige Erfolgsfaktoren waren starke Führung, geteilter Besitz, gleichberechtigte Zusammenarbeit und direkte Beziehungen. Barrieren waren unzureichende Ressourcen und fehlende klare Rollenverteilung.</w:t>
      </w:r>
    </w:p>
    <w:p>
      <w:r>
        <w:rPr>
          <w:b/>
          <w:sz w:val="19"/>
        </w:rPr>
        <w:t xml:space="preserve">Übertragbarkeit: </w:t>
      </w:r>
      <w:r>
        <w:rPr>
          <w:sz w:val="19"/>
        </w:rPr>
        <w:t>Niederlande, vergleichbares Sozialversicherungssystem, integrierte Versorgung</w:t>
      </w:r>
    </w:p>
    <w:p>
      <w:r>
        <w:rPr>
          <w:color w:val="5A7D3A"/>
          <w:sz w:val="18"/>
        </w:rPr>
        <w:t>https://pubmed.ncbi.nlm.nih.gov/42729928/</w:t>
      </w:r>
    </w:p>
    <w:p>
      <w:pPr>
        <w:pStyle w:val="Heading2"/>
      </w:pPr>
      <w:r>
        <w:t>Auswirkung Brandon Act auf Suizidversuche im US-Militär</w:t>
      </w:r>
    </w:p>
    <w:p>
      <w:r>
        <w:rPr>
          <w:i/>
          <w:color w:val="666666"/>
          <w:sz w:val="18"/>
        </w:rPr>
        <w:t>Yoon J et al.  ·  Health Serv Res  ·  Okt. 2026  ·  PMID 42728782</w:t>
      </w:r>
    </w:p>
    <w:p>
      <w:r>
        <w:t>Unterbrochene Zeitreihen-Analyse (2018–2024) der Military Health System-Daten zu Effekten des Brandon Acts (Geheime Selbst-Überweisungs-Pathways für psychische Gesundheit) auf Suizidversuche bei Active-Duty-Soldaten.</w:t>
      </w:r>
    </w:p>
    <w:p>
      <w:r>
        <w:rPr>
          <w:b/>
        </w:rPr>
        <w:t xml:space="preserve">Ergebnis: </w:t>
      </w:r>
      <w:r>
        <w:t>Brandon Act im Dezember 2021 assoziiert mit unmittelbare Reduktion von 6,51 pro 100.000 (95%-KI: -10,54, -2,47) und Trendwechsel von -2,25 pro Quartal (95%-KI: -3,81, -0,70). Nach Implementation Mai 2023 weitere Reduktion von 21,19 pro 100.000 (95%-KI: -26,83, -15,55). Über 3 Jahre geschätzt ~3.800 Suizidversuche verhindert. Größte Effekte bei junior Enlisted, Frauen, Army/Marines.</w:t>
      </w:r>
    </w:p>
    <w:p>
      <w:r>
        <w:rPr>
          <w:b/>
          <w:sz w:val="19"/>
        </w:rPr>
        <w:t xml:space="preserve">Übertragbarkeit: </w:t>
      </w:r>
      <w:r>
        <w:rPr>
          <w:sz w:val="19"/>
        </w:rPr>
        <w:t>US-Militärsystem, aber Fragestellung zu Stigma-Reduktion systemunabhängig übertragbar</w:t>
      </w:r>
    </w:p>
    <w:p>
      <w:r>
        <w:rPr>
          <w:color w:val="5A7D3A"/>
          <w:sz w:val="18"/>
        </w:rPr>
        <w:t>https://pubmed.ncbi.nlm.nih.gov/42728782/</w:t>
      </w:r>
    </w:p>
    <w:p>
      <w:pPr>
        <w:pStyle w:val="Heading2"/>
      </w:pPr>
      <w:r>
        <w:t>Subjektive Bedarfserkennung und Inanspruchnahme psychischer Gesundheitsversorgung</w:t>
      </w:r>
    </w:p>
    <w:p>
      <w:r>
        <w:rPr>
          <w:i/>
          <w:color w:val="666666"/>
          <w:sz w:val="18"/>
        </w:rPr>
        <w:t>Reinhold AK et al.  ·  BMC Health Serv Res  ·  10.09.2026  ·  PMID 42728591</w:t>
      </w:r>
    </w:p>
    <w:p>
      <w:r>
        <w:t>Gemischte Methoden-Studie mit 456 Teilnehmern mit depressiven Symptomen (PHQ-9≥5) zur Diskrepanz zwischen objektivem, subjektivem Bedarf und tatsächlicher Inanspruchnahme von psychischer Versorgung.</w:t>
      </w:r>
    </w:p>
    <w:p>
      <w:r>
        <w:rPr>
          <w:b/>
        </w:rPr>
        <w:t xml:space="preserve">Ergebnis: </w:t>
      </w:r>
      <w:r>
        <w:t>Subjektive Bedarfserkennung ist starker Prädiktor für Inanspruchnahme: 38,1% der Negativ-Gescreenten und 45,8% der Positiv-Gescreenten berichteten weniger als "sehr genau" zu Suizid-Gedanken geantwortet zu haben. Qualitative Analyse (n=23) identifizierte eine Sechsteilung-Typologie von subjektivem Bedarf statt binärer Klassifikation.</w:t>
      </w:r>
    </w:p>
    <w:p>
      <w:r>
        <w:rPr>
          <w:b/>
          <w:sz w:val="19"/>
        </w:rPr>
        <w:t xml:space="preserve">Übertragbarkeit: </w:t>
      </w:r>
      <w:r>
        <w:rPr>
          <w:sz w:val="19"/>
        </w:rPr>
        <w:t>Deutsche Routinedaten, populationsbasierte Stichprobe, Hausarzt-nahe Versorgung</w:t>
      </w:r>
    </w:p>
    <w:p>
      <w:r>
        <w:rPr>
          <w:color w:val="5A7D3A"/>
          <w:sz w:val="18"/>
        </w:rPr>
        <w:t>https://pubmed.ncbi.nlm.nih.gov/42728591/</w:t>
      </w:r>
    </w:p>
    <w:p>
      <w:pPr>
        <w:pStyle w:val="Heading2"/>
      </w:pPr>
      <w:r>
        <w:t>Vial-Sharing-Strategie reduziert Arzneimittelabfall bei CT-Kontrastmittel</w:t>
      </w:r>
    </w:p>
    <w:p>
      <w:r>
        <w:rPr>
          <w:i/>
          <w:color w:val="666666"/>
          <w:sz w:val="18"/>
        </w:rPr>
        <w:t>Yin Y et al.  ·  BMC Health Serv Res  ·  30.07.2026  ·  PMID 42723046</w:t>
      </w:r>
    </w:p>
    <w:p>
      <w:r>
        <w:t>Retrospektive Studie in chinesischem Universitätskrankenhaus zur Kostenreduktion durch Umstellung von Einzelvial- auf gemeinsame Vial-Abrechnung für CT-Kontrastmittel mit Prozessoptimierung.</w:t>
      </w:r>
    </w:p>
    <w:p>
      <w:r>
        <w:rPr>
          <w:b/>
        </w:rPr>
        <w:t xml:space="preserve">Ergebnis: </w:t>
      </w:r>
      <w:r>
        <w:t>Vial-Sharing-Strategie führte zu jährlicher Einsparung von 2.906.398,8 mL Kontrastmittel und Kostenreduktion von 9.181.958,83 CNY; durchschnittlich 66,93 CNY Kostenreduktion pro Patient. Multidisziplinäre Prozessoptimierung verbesserte Drug Utilization Efficiency und Ressourcenschonung.</w:t>
      </w:r>
    </w:p>
    <w:p>
      <w:r>
        <w:rPr>
          <w:b/>
          <w:sz w:val="19"/>
        </w:rPr>
        <w:t xml:space="preserve">Übertragbarkeit: </w:t>
      </w:r>
      <w:r>
        <w:rPr>
          <w:sz w:val="19"/>
        </w:rPr>
        <w:t>China, aber Versorgungseffizienz-Ansatz für deutsche Krankenhäuser adaptierbar</w:t>
      </w:r>
    </w:p>
    <w:p>
      <w:r>
        <w:rPr>
          <w:color w:val="5A7D3A"/>
          <w:sz w:val="18"/>
        </w:rPr>
        <w:t>https://pubmed.ncbi.nlm.nih.gov/42723046/</w:t>
      </w:r>
    </w:p>
    <w:p>
      <w:pPr>
        <w:pStyle w:val="Heading1"/>
      </w:pPr>
      <w:r>
        <w:t>Aufgenommen am 12.09.2026</w:t>
      </w:r>
    </w:p>
    <w:p>
      <w:pPr>
        <w:pStyle w:val="Heading2"/>
      </w:pPr>
      <w:r>
        <w:t>Geografische Erreichbarkeit Primärversorgung Schweden</w:t>
      </w:r>
    </w:p>
    <w:p>
      <w:r>
        <w:rPr>
          <w:i/>
          <w:color w:val="666666"/>
          <w:sz w:val="18"/>
        </w:rPr>
        <w:t>Isaksson D et al.  ·  BMJ Open  ·  11.09.2026  ·  PMID 42727971</w:t>
      </w:r>
    </w:p>
    <w:p>
      <w:r>
        <w:t>Landesweite Querschnittsstudie zur Fahrtzeit-Erreichbarkeit von Hausarztpraxen in Schweden anhand von Routinedaten.</w:t>
      </w:r>
    </w:p>
    <w:p>
      <w:r>
        <w:rPr>
          <w:b/>
        </w:rPr>
        <w:t xml:space="preserve">Ergebnis: </w:t>
      </w:r>
      <w:r>
        <w:t>Mittlere Fahrtzeit zur nächsten Praxis: 5,6 Min (SD 6,3), Median 3,3 Min; 15,8% erreichen Praxis nicht in ≤10 Min; deutliche Urban-Rural-Disparität (15,1 Min vs 3,0 Min in Großstädten). Geographischer Zugang hoch im Mittel, aber substantielle Unterschiede bleiben.</w:t>
      </w:r>
    </w:p>
    <w:p>
      <w:r>
        <w:rPr>
          <w:b/>
          <w:sz w:val="19"/>
        </w:rPr>
        <w:t xml:space="preserve">Übertragbarkeit: </w:t>
      </w:r>
      <w:r>
        <w:rPr>
          <w:sz w:val="19"/>
        </w:rPr>
        <w:t>Schweden, steuerfinanziert; Prozessmessungen zur Zugänglichkeit auf deutsche Strukturen gut übertragbar.</w:t>
      </w:r>
    </w:p>
    <w:p>
      <w:r>
        <w:rPr>
          <w:color w:val="5A7D3A"/>
          <w:sz w:val="18"/>
        </w:rPr>
        <w:t>https://pubmed.ncbi.nlm.nih.gov/42727971/</w:t>
      </w:r>
    </w:p>
    <w:p>
      <w:pPr>
        <w:pStyle w:val="Heading2"/>
      </w:pPr>
      <w:r>
        <w:t>Psychische Belastung von Gesundheitsfachkräften durch COVID-19</w:t>
      </w:r>
    </w:p>
    <w:p>
      <w:r>
        <w:rPr>
          <w:i/>
          <w:color w:val="666666"/>
          <w:sz w:val="18"/>
        </w:rPr>
        <w:t>Alonso J et al.  ·  Span J Psychiatry Ment Health  ·  11.09.2026  ·  PMID 42727923</w:t>
      </w:r>
    </w:p>
    <w:p>
      <w:r>
        <w:t>Dreieinhalb-Jahres-Längsschnittstudie zu psychischen Auswirkungen von COVID-19 auf spanische Gesundheitsfachkräfte.</w:t>
      </w:r>
    </w:p>
    <w:p>
      <w:r>
        <w:rPr>
          <w:b/>
        </w:rPr>
        <w:t xml:space="preserve">Ergebnis: </w:t>
      </w:r>
      <w:r>
        <w:t>38,1% der negativ gescreenten und 45,8% der positiv gescreenten Veteranen berichteten unauffällige Disclosure bei Suizidales-Screening. Weniger genaue Angaben assoziiert mit niedrigerem Glauben, Suizid sei Ausweg (OR 0,46 bzw 0,40), und höherer Sorge vor Überreaktion (OR 2,36 bzw 3,73). Screening-Genauigkeit limitiert durch Offenbarungshemmungen.</w:t>
      </w:r>
    </w:p>
    <w:p>
      <w:r>
        <w:rPr>
          <w:b/>
          <w:sz w:val="19"/>
        </w:rPr>
        <w:t xml:space="preserve">Übertragbarkeit: </w:t>
      </w:r>
      <w:r>
        <w:rPr>
          <w:sz w:val="19"/>
        </w:rPr>
        <w:t>Spanische Gesundheitsfachkräfte; Health Services Research-Perspektive auf Implementierungsbarrieren auf deutsche Verhältnisse übertragbar.</w:t>
      </w:r>
    </w:p>
    <w:p>
      <w:r>
        <w:rPr>
          <w:color w:val="5A7D3A"/>
          <w:sz w:val="18"/>
        </w:rPr>
        <w:t>https://pubmed.ncbi.nlm.nih.gov/42727923/</w:t>
      </w:r>
    </w:p>
    <w:p>
      <w:pPr>
        <w:pStyle w:val="Heading2"/>
      </w:pPr>
      <w:r>
        <w:t>Technische Unterstützung für Leitlinien-Implementation in LMICs</w:t>
      </w:r>
    </w:p>
    <w:p>
      <w:r>
        <w:rPr>
          <w:i/>
          <w:color w:val="666666"/>
          <w:sz w:val="18"/>
        </w:rPr>
        <w:t>Fahim C et al.  ·  Health Res Policy Syst  ·  10.09.2026  ·  PMID 42723069</w:t>
      </w:r>
    </w:p>
    <w:p>
      <w:r>
        <w:t>Mixed-Methods-Evaluation eines Unterstützungszentrums zur Stärkung der Forschungskapazität für Health Systems Research und Implementierung in Ländern mit niedrigem und mittlerem Einkommen.</w:t>
      </w:r>
    </w:p>
    <w:p>
      <w:r>
        <w:rPr>
          <w:b/>
        </w:rPr>
        <w:t xml:space="preserve">Ergebnis: </w:t>
      </w:r>
      <w:r>
        <w:t>22 Teilnehmer aus 6 Ländern; 8 von 9 Forschungskapazitäts-Outcomes verbesserten sich signifikant; signifikante Unterschiede in der Fähigkeit zur Entwicklung evidenzgestützter Knowledge-Translation-Interventionen (Z=-2,93, p&lt;0,05). Hauptbarrieren: fragmentierte Dienstleistungen, mangelnde Daten/Ausrüstung; Enabler: Stakeholder-Partnerschaften, multi-sektorale Ansätze.</w:t>
      </w:r>
    </w:p>
    <w:p>
      <w:r>
        <w:rPr>
          <w:b/>
          <w:sz w:val="19"/>
        </w:rPr>
        <w:t xml:space="preserve">Übertragbarkeit: </w:t>
      </w:r>
      <w:r>
        <w:rPr>
          <w:sz w:val="19"/>
        </w:rPr>
        <w:t>Low- and Middle-Income Countries; Implementierungswissenschaft auf deutsche Kapazitätsentwicklung nicht direkt übertragbar.</w:t>
      </w:r>
    </w:p>
    <w:p>
      <w:r>
        <w:rPr>
          <w:color w:val="5A7D3A"/>
          <w:sz w:val="18"/>
        </w:rPr>
        <w:t>https://pubmed.ncbi.nlm.nih.gov/42723069/</w:t>
      </w:r>
    </w:p>
    <w:p>
      <w:pPr>
        <w:pStyle w:val="Heading2"/>
      </w:pPr>
      <w:r>
        <w:t>Conversational Agent für Magenkrebspatienten</w:t>
      </w:r>
    </w:p>
    <w:p>
      <w:r>
        <w:rPr>
          <w:i/>
          <w:color w:val="666666"/>
          <w:sz w:val="18"/>
        </w:rPr>
        <w:t>Kang Y et al.  ·  J Med Internet Res  ·  10.09.2026  ·  PMID 42721321</w:t>
      </w:r>
    </w:p>
    <w:p>
      <w:r>
        <w:t>Action-Research-Studie zur Entwicklung und Usability-Bewertung eines KI-gestützten Conversational Agents für Patientenschulung bei Magenkrebs.</w:t>
      </w:r>
    </w:p>
    <w:p>
      <w:r>
        <w:rPr>
          <w:b/>
        </w:rPr>
        <w:t xml:space="preserve">Ergebnis: </w:t>
      </w:r>
      <w:r>
        <w:t>44 Patienten, 13 Pflegekräfte, 3 Manager, 2 Chirurgen getestet; Accuracy über 3 Testzyklen: 67%, 71%, 82%; RAG-Knowledge-Hit-Rate: 86%, 98%, 100% (signifikante Verbesserung p&lt;0,01). Chatbot-Usability-Score: 91,9 (SD 3,6); Content-Relevanz: 3,75 (SD 0,9). Drei Themen nutzer-zentriert: Wahrgenommene Nützlichkeit, Ease of Use, Nutzungsabsicht.</w:t>
      </w:r>
    </w:p>
    <w:p>
      <w:r>
        <w:rPr>
          <w:b/>
          <w:sz w:val="19"/>
        </w:rPr>
        <w:t xml:space="preserve">Übertragbarkeit: </w:t>
      </w:r>
      <w:r>
        <w:rPr>
          <w:sz w:val="19"/>
        </w:rPr>
        <w:t>China, Krankenhaus-Setting; Technologie-Anwendung für Patientenbildung auf deutsche Systeme prinzipiell übertragbar, Validierung erforderlich.</w:t>
      </w:r>
    </w:p>
    <w:p>
      <w:r>
        <w:rPr>
          <w:color w:val="5A7D3A"/>
          <w:sz w:val="18"/>
        </w:rPr>
        <w:t>https://pubmed.ncbi.nlm.nih.gov/42721321/</w:t>
      </w:r>
    </w:p>
    <w:p>
      <w:pPr>
        <w:pStyle w:val="Heading2"/>
      </w:pPr>
      <w:r>
        <w:t>Lebensqualität bei Krebspatienten in der DR Kongo</w:t>
      </w:r>
    </w:p>
    <w:p>
      <w:r>
        <w:rPr>
          <w:i/>
          <w:color w:val="666666"/>
          <w:sz w:val="18"/>
        </w:rPr>
        <w:t>Pilz MJ et al.  ·  BMJ Open  ·  09.09.2026  ·  PMID 42716684</w:t>
      </w:r>
    </w:p>
    <w:p>
      <w:r>
        <w:t>Querschnitts-Mixed-Methods-Studie zur gesundheitsbezogenen Lebensqualität von Krebspatienten in Lubumbashi, Demokratische Republik Kongo.</w:t>
      </w:r>
    </w:p>
    <w:p>
      <w:r>
        <w:rPr>
          <w:b/>
        </w:rPr>
        <w:t xml:space="preserve">Ergebnis: </w:t>
      </w:r>
      <w:r>
        <w:t>103 Patienten untersucht; 94,1% berichten finanzielle Probleme, 80,4% soziale Isolation, 71,8% Besorgnis. Symptombelastung deutlich höher als in Spanien-Kontrollgruppe (OR 1,18–28,0 für Symptome); nach Adjustierung für Alter, Geschlecht, Komorbiditäten blieben signifikante Unterschiede für 10 von 16 Skalen (p&lt;0,05). Hohe Symptombelastung erfordert Unterstützungsmaßnahmen.</w:t>
      </w:r>
    </w:p>
    <w:p>
      <w:r>
        <w:rPr>
          <w:b/>
          <w:sz w:val="19"/>
        </w:rPr>
        <w:t xml:space="preserve">Übertragbarkeit: </w:t>
      </w:r>
      <w:r>
        <w:rPr>
          <w:sz w:val="19"/>
        </w:rPr>
        <w:t>DR Kongo, Low-Income Setting; Bedeutung für ressourcenlimitierte Systeme, eingeschränkte Übertragbarkeit auf deutsche Verhältnisse.</w:t>
      </w:r>
    </w:p>
    <w:p>
      <w:r>
        <w:rPr>
          <w:color w:val="5A7D3A"/>
          <w:sz w:val="18"/>
        </w:rPr>
        <w:t>https://pubmed.ncbi.nlm.nih.gov/42716684/</w:t>
      </w:r>
    </w:p>
    <w:p>
      <w:pPr>
        <w:pStyle w:val="Heading2"/>
      </w:pPr>
      <w:r>
        <w:t>Verbrauchergesteuerte Forschungspriorität in Australien</w:t>
      </w:r>
    </w:p>
    <w:p>
      <w:r>
        <w:rPr>
          <w:i/>
          <w:color w:val="666666"/>
          <w:sz w:val="18"/>
        </w:rPr>
        <w:t>Catapan SC et al.  ·  Rural Remote Health  ·  01.09.2026  ·  PMID 42716571</w:t>
      </w:r>
    </w:p>
    <w:p>
      <w:r>
        <w:t>Qualitative Studie mit World Café-Methode zur Bestimmung von Forschungsprioritäten für Gesundheit in ruralen australischen Gemeinden.</w:t>
      </w:r>
    </w:p>
    <w:p>
      <w:r>
        <w:rPr>
          <w:b/>
        </w:rPr>
        <w:t xml:space="preserve">Ergebnis: </w:t>
      </w:r>
      <w:r>
        <w:t>Fünf identifizierte Prioritäten: (1) Rekrutierung/Bindung von Hausärzten, (2) multidisziplinäre Versorgung, (3) Bewusstsein für lokale Dienste, (4) erweiterte Chroniker-Betreuung mit Remote-Monitoring, (5) Verbindung zu sozialen Determinanten (Wohnung, Finanzen). Konsens zwischen Verbrauchern und Forschern auf Bedarf für maßgeschneiderte, gemeindegesteuerte Interventionen.</w:t>
      </w:r>
    </w:p>
    <w:p>
      <w:r>
        <w:rPr>
          <w:b/>
          <w:sz w:val="19"/>
        </w:rPr>
        <w:t xml:space="preserve">Übertragbarkeit: </w:t>
      </w:r>
      <w:r>
        <w:rPr>
          <w:sz w:val="19"/>
        </w:rPr>
        <w:t>Australien, steuerfinanziert; Partizipativmethode zur Prioritätensetzung auf deutsche Versorgungsforschung teilweise übertragbar.</w:t>
      </w:r>
    </w:p>
    <w:p>
      <w:r>
        <w:rPr>
          <w:color w:val="5A7D3A"/>
          <w:sz w:val="18"/>
        </w:rPr>
        <w:t>https://pubmed.ncbi.nlm.nih.gov/42716571/</w:t>
      </w:r>
    </w:p>
    <w:p>
      <w:pPr>
        <w:pStyle w:val="Heading1"/>
      </w:pPr>
      <w:r>
        <w:t>Aufgenommen am 11.09.2026</w:t>
      </w:r>
    </w:p>
    <w:p>
      <w:pPr>
        <w:pStyle w:val="Heading2"/>
      </w:pPr>
      <w:r>
        <w:t>Mobile Single-Lead ECG-Screening für Vorhofflimmern in Routine-Settings</w:t>
      </w:r>
    </w:p>
    <w:p>
      <w:r>
        <w:rPr>
          <w:i/>
          <w:color w:val="666666"/>
          <w:sz w:val="18"/>
        </w:rPr>
        <w:t>Fenske R et al.  ·  JMIR Cardio  ·  10.09.2026  ·  PMID 42721301</w:t>
      </w:r>
    </w:p>
    <w:p>
      <w:r>
        <w:t>Deutsche Multizenterstudie zur Machbarkeit von mobiler Single-Lead-EKG-Detektion für Vorhofflimmern in Krankenhaus und Praxis.</w:t>
      </w:r>
    </w:p>
    <w:p>
      <w:r>
        <w:rPr>
          <w:b/>
        </w:rPr>
        <w:t xml:space="preserve">Ergebnis: </w:t>
      </w:r>
      <w:r>
        <w:t>Von 237 Patienten lieferte das Gerät Interpretation bei 95,3% (41/43) der Ambulanten und 85,6% (166/194) der Stationären. Neu vermutetes Vorhofflimmern fand sich bei 1,7% (4/237); technische Probleme bei 16,0% (38/237). Nur 6,3% (15/237) nutzten regelmäßig Telemedizin. Die Machbarkeit ist gegeben, aber systematische Bestätigungstests und höhere Telemedizin-Akzeptanz fehlen.</w:t>
      </w:r>
    </w:p>
    <w:p>
      <w:r>
        <w:rPr>
          <w:b/>
          <w:sz w:val="19"/>
        </w:rPr>
        <w:t xml:space="preserve">Übertragbarkeit: </w:t>
      </w:r>
      <w:r>
        <w:rPr>
          <w:sz w:val="19"/>
        </w:rPr>
        <w:t>Deutsche Multizenterstudie mit lokalem Versorgungskontext</w:t>
      </w:r>
    </w:p>
    <w:p>
      <w:r>
        <w:rPr>
          <w:color w:val="5A7D3A"/>
          <w:sz w:val="18"/>
        </w:rPr>
        <w:t>https://pubmed.ncbi.nlm.nih.gov/42721301/</w:t>
      </w:r>
    </w:p>
    <w:p>
      <w:pPr>
        <w:pStyle w:val="Heading2"/>
      </w:pPr>
      <w:r>
        <w:t>Trends bei Milchpumpen-Verschreibungen in Deutschland 2011-2024</w:t>
      </w:r>
    </w:p>
    <w:p>
      <w:r>
        <w:rPr>
          <w:i/>
          <w:color w:val="666666"/>
          <w:sz w:val="18"/>
        </w:rPr>
        <w:t>Fischer L et al.  ·  Breastfeed Med  ·  10.09.2026  ·  PMID 42720285</w:t>
      </w:r>
    </w:p>
    <w:p>
      <w:r>
        <w:t>Sekundäranalyse von Routinedaten der gesetzlichen Krankenversicherung zu Trends bei Verordnungen von Milchpumpen im ambulanten Sektor.</w:t>
      </w:r>
    </w:p>
    <w:p>
      <w:r>
        <w:rPr>
          <w:b/>
        </w:rPr>
        <w:t xml:space="preserve">Ergebnis: </w:t>
      </w:r>
      <w:r>
        <w:t>Elektrische Milchpumpen-Ansprüche stiegen von 235 auf 605 Ansprüche pro 1.000 Neugeborene (durchschnittliches jährliches Wachstum 8,2%). 2024 betrugen die Krankenkassen-Kosten für Leih-Pumpen €15,3 Millionen. Erhebliche regionale Schwankungen zwischen Bundesländern, aber überall Anstieg.</w:t>
      </w:r>
    </w:p>
    <w:p>
      <w:r>
        <w:rPr>
          <w:b/>
          <w:sz w:val="19"/>
        </w:rPr>
        <w:t xml:space="preserve">Übertragbarkeit: </w:t>
      </w:r>
      <w:r>
        <w:rPr>
          <w:sz w:val="19"/>
        </w:rPr>
        <w:t>Deutsche Routinedaten der gesetzlichen Krankenversicherung, vollständig übertragbar</w:t>
      </w:r>
    </w:p>
    <w:p>
      <w:r>
        <w:rPr>
          <w:color w:val="5A7D3A"/>
          <w:sz w:val="18"/>
        </w:rPr>
        <w:t>https://pubmed.ncbi.nlm.nih.gov/42720285/</w:t>
      </w:r>
    </w:p>
    <w:p>
      <w:pPr>
        <w:pStyle w:val="Heading2"/>
      </w:pPr>
      <w:r>
        <w:t>Medical Invalidation: Systematische Konzeptualisierung eines Versorgungsproblems</w:t>
      </w:r>
    </w:p>
    <w:p>
      <w:r>
        <w:rPr>
          <w:i/>
          <w:color w:val="666666"/>
          <w:sz w:val="18"/>
        </w:rPr>
        <w:t>Lerch SP et al.  ·  BMC Health Serv Res  ·  08.09.2026  ·  PMID 42717341</w:t>
      </w:r>
    </w:p>
    <w:p>
      <w:r>
        <w:t>Scoping Review zur konzeptuellen Klärung von Medical Invalidation, Ursachen, Konsequenzen und Lösungsansätze in der Gesundheitsversorgung.</w:t>
      </w:r>
    </w:p>
    <w:p>
      <w:r>
        <w:rPr>
          <w:b/>
        </w:rPr>
        <w:t xml:space="preserve">Ergebnis: </w:t>
      </w:r>
      <w:r>
        <w:t>158 Studien zeigen inkonsistente Definitionen von Invalidation und Gaslighting. Multifaktorielle Ursachen identifiziert: diagnostische Herausforderungen, strukturelle Faktoren, Stigma, Diagnostikskills-Defizite. Validierung hatte konsistent positive Effekte; Invalidation führte zu Verhaltens-, emotionalen, kognitiven und physischen Schäden. Lösungen: Kommunikationstraining, klinische Schulung, Patientenunterstützung, Forschung, systemische Änderungen.</w:t>
      </w:r>
    </w:p>
    <w:p>
      <w:r>
        <w:rPr>
          <w:b/>
          <w:sz w:val="19"/>
        </w:rPr>
        <w:t xml:space="preserve">Übertragbarkeit: </w:t>
      </w:r>
      <w:r>
        <w:rPr>
          <w:sz w:val="19"/>
        </w:rPr>
        <w:t>Universeller Problembereich, besonders relevant für deutsches Versorgungssystem</w:t>
      </w:r>
    </w:p>
    <w:p>
      <w:r>
        <w:rPr>
          <w:color w:val="5A7D3A"/>
          <w:sz w:val="18"/>
        </w:rPr>
        <w:t>https://pubmed.ncbi.nlm.nih.gov/42717341/</w:t>
      </w:r>
    </w:p>
    <w:p>
      <w:pPr>
        <w:pStyle w:val="Heading2"/>
      </w:pPr>
      <w:r>
        <w:t>Cardiolotse: Transitionales Care-Modell für kardiovaskuläre Patienten</w:t>
      </w:r>
    </w:p>
    <w:p>
      <w:r>
        <w:rPr>
          <w:i/>
          <w:color w:val="666666"/>
          <w:sz w:val="18"/>
        </w:rPr>
        <w:t>Kropp S et al.  ·  BMC Health Serv Res  ·  09.09.2026  ·  PMID 42717334</w:t>
      </w:r>
    </w:p>
    <w:p>
      <w:r>
        <w:t>Prozessevaluation eines Pflegefachpersonen-geführten Transitionscare-Modells in Deutschland zur Verbesserung der Versorgungskoordination nach Krankenhausentlassung.</w:t>
      </w:r>
    </w:p>
    <w:p>
      <w:r>
        <w:rPr>
          <w:b/>
        </w:rPr>
        <w:t xml:space="preserve">Ergebnis: </w:t>
      </w:r>
      <w:r>
        <w:t>Etwa 12.500 Kontakte wurden durchgeführt. Patienten berichteten hohe Zufriedenheit und vertrauten den Cardiolotsen. Jedoch konnten zufriedenheitsscore zwischen Interventions- und Kontrollgruppe hinsichtlich Behandlung nicht unterschieden werden. Nur 10% der niedergelassenen Ärzte erreichten regelmäßigen Kontakt – sektorübergreifende Kommunikation war die Haupthürde.</w:t>
      </w:r>
    </w:p>
    <w:p>
      <w:r>
        <w:rPr>
          <w:b/>
          <w:sz w:val="19"/>
        </w:rPr>
        <w:t xml:space="preserve">Übertragbarkeit: </w:t>
      </w:r>
      <w:r>
        <w:rPr>
          <w:sz w:val="19"/>
        </w:rPr>
        <w:t>Realistische deutsche Versorgungsforschung zu Care Coordination</w:t>
      </w:r>
    </w:p>
    <w:p>
      <w:r>
        <w:rPr>
          <w:color w:val="5A7D3A"/>
          <w:sz w:val="18"/>
        </w:rPr>
        <w:t>https://pubmed.ncbi.nlm.nih.gov/42717334/</w:t>
      </w:r>
    </w:p>
    <w:p>
      <w:pPr>
        <w:pStyle w:val="Heading2"/>
      </w:pPr>
      <w:r>
        <w:t>Patient-Reported Outcomes nach Revaskularisation bei Claudicatio intermittens</w:t>
      </w:r>
    </w:p>
    <w:p>
      <w:r>
        <w:rPr>
          <w:i/>
          <w:color w:val="666666"/>
          <w:sz w:val="18"/>
        </w:rPr>
        <w:t>Peters F et al.  ·  J Vasc Surg  ·  08.09.2026  ·  PMID 42710606</w:t>
      </w:r>
    </w:p>
    <w:p>
      <w:r>
        <w:t>Deutsche prospektive Multizenterstudie zu Patient-Reported Outcomes (PROMs) nach invasiver Revaskularisierung bei Claudicatio intermittens.</w:t>
      </w:r>
    </w:p>
    <w:p>
      <w:r>
        <w:rPr>
          <w:b/>
        </w:rPr>
        <w:t xml:space="preserve">Ergebnis: </w:t>
      </w:r>
      <w:r>
        <w:t>Von 963 Patienten (64% Männer, Median 68 Jahre) verbesserte sich der Physical Component Summary score (SF-12) von median 35 auf 45 (Bereich Q1-Q3: 28-43 auf 39-52). Maximale schmerzfreie Gehstrecke stieg um 20 Minuten, Beinschmerzen im Ruhezustand sank um 10 Punkte. Adipositas, Rentner-Status und Nicht-Erwerbstätigkeit waren mit kleineren Verbesserungen assoziiert.</w:t>
      </w:r>
    </w:p>
    <w:p>
      <w:r>
        <w:rPr>
          <w:b/>
          <w:sz w:val="19"/>
        </w:rPr>
        <w:t xml:space="preserve">Übertragbarkeit: </w:t>
      </w:r>
      <w:r>
        <w:rPr>
          <w:sz w:val="19"/>
        </w:rPr>
        <w:t>Deutsche Multizenterstudie, direkt auf deutsches Gesundheitssystem übertragbar</w:t>
      </w:r>
    </w:p>
    <w:p>
      <w:r>
        <w:rPr>
          <w:color w:val="5A7D3A"/>
          <w:sz w:val="18"/>
        </w:rPr>
        <w:t>https://pubmed.ncbi.nlm.nih.gov/42710606/</w:t>
      </w:r>
    </w:p>
    <w:p>
      <w:pPr>
        <w:pStyle w:val="Heading2"/>
      </w:pPr>
      <w:r>
        <w:t>Gute Praxis Sekundärdatenanalyse Version 4: Leitlinien und Empfehlungen</w:t>
      </w:r>
    </w:p>
    <w:p>
      <w:r>
        <w:rPr>
          <w:i/>
          <w:color w:val="666666"/>
          <w:sz w:val="18"/>
        </w:rPr>
        <w:t>Swart E et al.  ·  Gesundheitswesen  ·  07.09.2026  ·  PMID 42705329</w:t>
      </w:r>
    </w:p>
    <w:p>
      <w:r>
        <w:t>Aktualisierte Richtlinie für methodische Standards bei der Durchführung von Sekundärdatenanalysen in Deutschland mit neuen Empfehlungen.</w:t>
      </w:r>
    </w:p>
    <w:p>
      <w:r>
        <w:rPr>
          <w:b/>
        </w:rPr>
        <w:t xml:space="preserve">Ergebnis: </w:t>
      </w:r>
      <w:r>
        <w:t>Version 4 ergänzt frühere Versionen um Empfehlungen zu Studienpopulation, Auswertestrategie, Registrierung, Zusammenspiel von Datenanalyse und Patient:innenperspektive, Data Dictionaries, Zwischenauswertungen, verteiltem Rechnen, Dokumentation, gepoolten Daten, Rechtrahmen und Wissenschaftskommunikation. Standard für Sekundärdatenanalysen nach wissenschaftlichen Grundsätzen in Deutschland etabliert.</w:t>
      </w:r>
    </w:p>
    <w:p>
      <w:r>
        <w:rPr>
          <w:b/>
          <w:sz w:val="19"/>
        </w:rPr>
        <w:t xml:space="preserve">Übertragbarkeit: </w:t>
      </w:r>
      <w:r>
        <w:rPr>
          <w:sz w:val="19"/>
        </w:rPr>
        <w:t>Deutsche Fachmethodologie, grundlegend für deutsches Versorgungsforschungs-System</w:t>
      </w:r>
    </w:p>
    <w:p>
      <w:r>
        <w:rPr>
          <w:color w:val="5A7D3A"/>
          <w:sz w:val="18"/>
        </w:rPr>
        <w:t>https://pubmed.ncbi.nlm.nih.gov/42705329/</w:t>
      </w:r>
    </w:p>
    <w:p>
      <w:pPr>
        <w:pStyle w:val="Heading1"/>
      </w:pPr>
      <w:r>
        <w:t>Aufgenommen am 10.09.2026</w:t>
      </w:r>
    </w:p>
    <w:p>
      <w:pPr>
        <w:pStyle w:val="Heading2"/>
      </w:pPr>
      <w:r>
        <w:t>Sentiment analysis mit BERT-Modell für Patientenerfahrungen in der Primärversorgung</w:t>
      </w:r>
    </w:p>
    <w:p>
      <w:r>
        <w:rPr>
          <w:i/>
          <w:color w:val="666666"/>
          <w:sz w:val="18"/>
        </w:rPr>
        <w:t>Norman RM et al.  ·  Fam Pract  ·  31.07.2026  ·  PMID 42713859</w:t>
      </w:r>
    </w:p>
    <w:p>
      <w:r>
        <w:t>Fine-tuning eines Sprachmodells (NorBERT3) zur automatisierten Sentimentanalyse von Patientenerfahrungen in norwegischen Hausarztpraxen.</w:t>
      </w:r>
    </w:p>
    <w:p>
      <w:r>
        <w:rPr>
          <w:b/>
        </w:rPr>
        <w:t xml:space="preserve">Ergebnis: </w:t>
      </w:r>
      <w:r>
        <w:t>Das optimierte Modell erzielte hohe F1-Scores auf Testdaten (0,80 AUC für Online-Bewertungen), übertraf traditionelle Methoden und ein großes Sprachmodell. Konstruktvalidität wurde durch erwartete Korrelationen mit Patientenerfahrungsscores und bekannte Subgruppenunterschiede unterstützt.</w:t>
      </w:r>
    </w:p>
    <w:p>
      <w:r>
        <w:rPr>
          <w:b/>
          <w:sz w:val="19"/>
        </w:rPr>
        <w:t xml:space="preserve">Übertragbarkeit: </w:t>
      </w:r>
      <w:r>
        <w:rPr>
          <w:sz w:val="19"/>
        </w:rPr>
        <w:t>Norwegen, ähnliche Primärversorgungsstruktur wie Deutschland</w:t>
      </w:r>
    </w:p>
    <w:p>
      <w:r>
        <w:rPr>
          <w:color w:val="5A7D3A"/>
          <w:sz w:val="18"/>
        </w:rPr>
        <w:t>https://pubmed.ncbi.nlm.nih.gov/42713859/</w:t>
      </w:r>
    </w:p>
    <w:p>
      <w:pPr>
        <w:pStyle w:val="Heading2"/>
      </w:pPr>
      <w:r>
        <w:t>Unterstützungsmodell für sichere Medikamentennutzung bei Migranten mit Sprachbarrieren</w:t>
      </w:r>
    </w:p>
    <w:p>
      <w:r>
        <w:rPr>
          <w:i/>
          <w:color w:val="666666"/>
          <w:sz w:val="18"/>
        </w:rPr>
        <w:t>Hjelm K et al.  ·  BMC Health Serv Res  ·  07.09.2026  ·  PMID 42711692</w:t>
      </w:r>
    </w:p>
    <w:p>
      <w:r>
        <w:t>Co-creation Partizipative Aktionsforschung identifizierte Unterstützungsbedarfe für sichere Medikamentennutzung bei fremdgeborenen Personen mit Sprachschwierigkeiten in Schweden.</w:t>
      </w:r>
    </w:p>
    <w:p>
      <w:r>
        <w:rPr>
          <w:b/>
        </w:rPr>
        <w:t xml:space="preserve">Ergebnis: </w:t>
      </w:r>
      <w:r>
        <w:t>Sieben Handlungsfelder identifiziert: Routinen für sichere Medikamentennutzung, Kontinuität, Sprachenunterstützung, Ressourcen, Patienteneducation, Mitarbeiterschulung und nationale Maßnahmen. Kern: Koordiniertes interdisziplinäres Team in der Primärversorgung mit erreichbarer Kontaktperson.</w:t>
      </w:r>
    </w:p>
    <w:p>
      <w:r>
        <w:rPr>
          <w:b/>
          <w:sz w:val="19"/>
        </w:rPr>
        <w:t xml:space="preserve">Übertragbarkeit: </w:t>
      </w:r>
      <w:r>
        <w:rPr>
          <w:sz w:val="19"/>
        </w:rPr>
        <w:t>Schweden, vergleichbares Sozialversicherungssystem, Migrationskontexte zentral</w:t>
      </w:r>
    </w:p>
    <w:p>
      <w:r>
        <w:rPr>
          <w:color w:val="5A7D3A"/>
          <w:sz w:val="18"/>
        </w:rPr>
        <w:t>https://pubmed.ncbi.nlm.nih.gov/42711692/</w:t>
      </w:r>
    </w:p>
    <w:p>
      <w:pPr>
        <w:pStyle w:val="Heading2"/>
      </w:pPr>
      <w:r>
        <w:t>Dementenangebot und Ergebnisse in japanischen Akutkrankenhäusern nach Finanzierungsanreiz</w:t>
      </w:r>
    </w:p>
    <w:p>
      <w:r>
        <w:rPr>
          <w:i/>
          <w:color w:val="666666"/>
          <w:sz w:val="18"/>
        </w:rPr>
        <w:t>Wu J et al.  ·  Geriatr Gerontol Int  ·  Sept. 2026  ·  PMID 42711657</w:t>
      </w:r>
    </w:p>
    <w:p>
      <w:r>
        <w:t>Nationale Analyse der Patienten, die für Japans Dementatax-Anreiz (DCA) berechtigt sind, und deren klinische Versorgungsergebnisse 2016–2019.</w:t>
      </w:r>
    </w:p>
    <w:p>
      <w:r>
        <w:rPr>
          <w:b/>
        </w:rPr>
        <w:t xml:space="preserve">Ergebnis: </w:t>
      </w:r>
      <w:r>
        <w:t>1.046.652 Hospitalisierungen von Personen über 65 Jahren mit Dementia. DCA-Abrechnungen stiegen von 6,4% (DCA1) und 13,2% (DCA2) 2016 auf 20,8% und 32,8% 2019. Verweildauer sank von 33,7 auf 27,8 Tage, Krankenhaussterblichkeit von 13,9% auf 12,9%, unangemessene Medikation von 16,2% auf 14,0%.</w:t>
      </w:r>
    </w:p>
    <w:p>
      <w:r>
        <w:rPr>
          <w:b/>
          <w:sz w:val="19"/>
        </w:rPr>
        <w:t xml:space="preserve">Übertragbarkeit: </w:t>
      </w:r>
      <w:r>
        <w:rPr>
          <w:sz w:val="19"/>
        </w:rPr>
        <w:t>Japan, begrenzt übertragbar; Fragestellung zu Finanzierungseffekten in Gesundheitssystemen mit anderen Anreizstrukturen</w:t>
      </w:r>
    </w:p>
    <w:p>
      <w:r>
        <w:rPr>
          <w:color w:val="5A7D3A"/>
          <w:sz w:val="18"/>
        </w:rPr>
        <w:t>https://pubmed.ncbi.nlm.nih.gov/42711657/</w:t>
      </w:r>
    </w:p>
    <w:p>
      <w:pPr>
        <w:pStyle w:val="Heading2"/>
      </w:pPr>
      <w:r>
        <w:t>Auswirkungen von Fortbildung auf Personalfluktuation in US-Veteranenkliniken</w:t>
      </w:r>
    </w:p>
    <w:p>
      <w:r>
        <w:rPr>
          <w:i/>
          <w:color w:val="666666"/>
          <w:sz w:val="18"/>
        </w:rPr>
        <w:t>Sterling R et al.  ·  J Rural Health  ·  Juni 2026  ·  PMID 42708822</w:t>
      </w:r>
    </w:p>
    <w:p>
      <w:r>
        <w:t>Quasi-experimentelle Studie der Rural Interprofessional Faculty Development Initiative (RIFDI) auf Mitarbeiterkontinuität in VHA-Kliniken landesweit 2019–2024.</w:t>
      </w:r>
    </w:p>
    <w:p>
      <w:r>
        <w:rPr>
          <w:b/>
        </w:rPr>
        <w:t xml:space="preserve">Ergebnis: </w:t>
      </w:r>
      <w:r>
        <w:t>Fluktuationsrate &lt;1 Jahr nach RIFDI-Abschluss: 12,8% (geringe Engagements), &lt;1,0% (hohe Engagements), 11,3% (keine RIFDI). Hochengagierte Teilnehmer hatten 11-fach niedrigere Fluktuationsquoten (p&lt;0,001).</w:t>
      </w:r>
    </w:p>
    <w:p>
      <w:r>
        <w:rPr>
          <w:b/>
          <w:sz w:val="19"/>
        </w:rPr>
        <w:t xml:space="preserve">Übertragbarkeit: </w:t>
      </w:r>
      <w:r>
        <w:rPr>
          <w:sz w:val="19"/>
        </w:rPr>
        <w:t>USA-Veteranensystem; Fragestellung zu Personalentwicklung systemunabhängig</w:t>
      </w:r>
    </w:p>
    <w:p>
      <w:r>
        <w:rPr>
          <w:color w:val="5A7D3A"/>
          <w:sz w:val="18"/>
        </w:rPr>
        <w:t>https://pubmed.ncbi.nlm.nih.gov/42708822/</w:t>
      </w:r>
    </w:p>
    <w:p>
      <w:pPr>
        <w:pStyle w:val="Heading2"/>
      </w:pPr>
      <w:r>
        <w:t>Exposition gegenüber Passivrauchen und durch GBD 2023 verursachte Krankheitslast</w:t>
      </w:r>
    </w:p>
    <w:p>
      <w:r>
        <w:rPr>
          <w:i/>
          <w:color w:val="666666"/>
          <w:sz w:val="18"/>
        </w:rPr>
        <w:t>GBD 2023 Second-hand smoke Collaborators  ·  Lancet Public Health  ·  07.09.2026  ·  PMID 42705247</w:t>
      </w:r>
    </w:p>
    <w:p>
      <w:r>
        <w:t>Globale, regionale und nationale Prävalenz der Passivrauchwirkung und der zurechenbaren Krankheitslast in 204 Ländern 1990–2023, GBD 2023 Studie.</w:t>
      </w:r>
    </w:p>
    <w:p>
      <w:r>
        <w:rPr>
          <w:b/>
        </w:rPr>
        <w:t xml:space="preserve">Ergebnis: </w:t>
      </w:r>
      <w:r>
        <w:t>2,71 Mrd. Menschen 2023 exponiert (767 Mio. Kinder 0–14 Jahre); 22,2% Rückgang der altersstandartisierten Prävalenz seit 1990. Absolute Fallzahlen stabil global, aber +98,5% in Sub-Sahara-Afrika, +72,1% Nordafrika/Naher Osten. 1,66 Mio. Todesfälle, 44,8 Mio. DALYs; ischämische Herzerkrankung und pädiatrische Infektionen der Atemwege führend.</w:t>
      </w:r>
    </w:p>
    <w:p>
      <w:r>
        <w:rPr>
          <w:b/>
          <w:sz w:val="19"/>
        </w:rPr>
        <w:t xml:space="preserve">Übertragbarkeit: </w:t>
      </w:r>
      <w:r>
        <w:rPr>
          <w:sz w:val="19"/>
        </w:rPr>
        <w:t>Globale Daten; Public-Health-Fragestellung systemunabhängig relevant</w:t>
      </w:r>
    </w:p>
    <w:p>
      <w:r>
        <w:rPr>
          <w:color w:val="5A7D3A"/>
          <w:sz w:val="18"/>
        </w:rPr>
        <w:t>https://pubmed.ncbi.nlm.nih.gov/42705247/</w:t>
      </w:r>
    </w:p>
    <w:p>
      <w:pPr>
        <w:pStyle w:val="Heading1"/>
      </w:pPr>
      <w:r>
        <w:t>Aufgenommen am 09.09.2026</w:t>
      </w:r>
    </w:p>
    <w:p>
      <w:pPr>
        <w:pStyle w:val="Heading2"/>
      </w:pPr>
      <w:r>
        <w:t>Fahrplan für die organisationsweite Einführung evidenzbasierter Medizin</w:t>
      </w:r>
    </w:p>
    <w:p>
      <w:r>
        <w:rPr>
          <w:i/>
          <w:color w:val="666666"/>
          <w:sz w:val="18"/>
        </w:rPr>
        <w:t>van der Braak K et al.  ·  JBI Evid Implement  ·  09.09.2026  ·  PMID 42710024</w:t>
      </w:r>
    </w:p>
    <w:p>
      <w:r>
        <w:t>Systematischer Überblick über 100 Reviews (2013–2023) zur Implementierung evidenzbasierter Medizin, ausgewertet nach Outcome-Messung, Kontextanalyse und Implementierungsstrategien.</w:t>
      </w:r>
    </w:p>
    <w:p>
      <w:r>
        <w:rPr>
          <w:b/>
        </w:rPr>
        <w:t xml:space="preserve">Ergebnis: </w:t>
      </w:r>
      <w:r>
        <w:t>Vier durchgängig empfohlene Messinstrumente wurden identifiziert (EBPQ, EPIC, Fresno Test, HS-EBP); 50 Reviews behandelten die Outcome-Messung, 57 die Kontextanalyse mit 22 Themen und 40 die Implementierungsstrategien, davon 38 edukative. Edukative Strategien sind am besten untersucht; Veränderungen der Infrastruktur sowie Outcomes auf Organisations- und Patientenebene bleiben unterrepräsentiert.</w:t>
      </w:r>
    </w:p>
    <w:p>
      <w:r>
        <w:rPr>
          <w:b/>
          <w:sz w:val="19"/>
        </w:rPr>
        <w:t xml:space="preserve">Übertragbarkeit: </w:t>
      </w:r>
      <w:r>
        <w:rPr>
          <w:sz w:val="19"/>
        </w:rPr>
        <w:t>Niederlande, Cochrane-Netzwerk; Sozialversicherungssystem mit Implementierungswissenschaft.</w:t>
      </w:r>
    </w:p>
    <w:p>
      <w:r>
        <w:rPr>
          <w:color w:val="5A7D3A"/>
          <w:sz w:val="18"/>
        </w:rPr>
        <w:t>https://pubmed.ncbi.nlm.nih.gov/42710024/</w:t>
      </w:r>
    </w:p>
    <w:p>
      <w:pPr>
        <w:pStyle w:val="Heading2"/>
      </w:pPr>
      <w:r>
        <w:t>Umweltverträglichere Arzneiwirkstoffe: Sichtweisen von Fachleuten im Gesundheitswesen</w:t>
      </w:r>
    </w:p>
    <w:p>
      <w:r>
        <w:rPr>
          <w:i/>
          <w:color w:val="666666"/>
          <w:sz w:val="18"/>
        </w:rPr>
        <w:t>Puhlmann N et al.  ·  BMC Health Serv Res  ·  04.09.2026  ·  PMID 42706542</w:t>
      </w:r>
    </w:p>
    <w:p>
      <w:r>
        <w:t>Qualitative Interviewstudie mit 16 europäischen Fachleuten (Ärzte, Apotheker, Beschaffung, Erstattung, Zulassung) zu den Voraussetzungen für den Einsatz umweltverträglicherer Arzneiwirkstoffe.</w:t>
      </w:r>
    </w:p>
    <w:p>
      <w:r>
        <w:rPr>
          <w:b/>
        </w:rPr>
        <w:t xml:space="preserve">Ergebnis: </w:t>
      </w:r>
      <w:r>
        <w:t>Die Befragten benannten bereits bestehende Ansätze, etwa Umweltkriterien in Beschaffungsausschreibungen. Als Voraussetzungen gelten verlässliche Daten zur Umweltwirkung, ein harmonisierter rechtlicher Bewertungsrahmen und eine zentrale Entscheidungsinstanz für Umwelteigenschaften. Wichtigster Ansatzpunkt ist aus Sicht der Befragten das Zulassungsverfahren; das fachliche Interesse an Umweltdaten könne Hersteller zur Offenlegung und zu umweltverträglicherem Wirkstoffdesign bewegen.</w:t>
      </w:r>
    </w:p>
    <w:p>
      <w:r>
        <w:rPr>
          <w:b/>
          <w:sz w:val="19"/>
        </w:rPr>
        <w:t xml:space="preserve">Übertragbarkeit: </w:t>
      </w:r>
      <w:r>
        <w:rPr>
          <w:sz w:val="19"/>
        </w:rPr>
        <w:t>Europäische Perspektiven; Regulierung und Beschaffung relevant für deutsches System.</w:t>
      </w:r>
    </w:p>
    <w:p>
      <w:r>
        <w:rPr>
          <w:color w:val="5A7D3A"/>
          <w:sz w:val="18"/>
        </w:rPr>
        <w:t>https://pubmed.ncbi.nlm.nih.gov/42706542/</w:t>
      </w:r>
    </w:p>
    <w:p>
      <w:pPr>
        <w:pStyle w:val="Heading2"/>
      </w:pPr>
      <w:r>
        <w:t>System Support Mapping: Implementierungsfaktoren auf neonatologischen Intensivstationen erfassen</w:t>
      </w:r>
    </w:p>
    <w:p>
      <w:r>
        <w:rPr>
          <w:i/>
          <w:color w:val="666666"/>
          <w:sz w:val="18"/>
        </w:rPr>
        <w:t>Dymek NG et al.  ·  BMC Health Serv Res  ·  05.09.2026  ·  PMID 42706532</w:t>
      </w:r>
    </w:p>
    <w:p>
      <w:r>
        <w:t>Methodische Darstellung des System Support Mapping in Verbindung mit einem Matrixed Multiple Case Study-Ansatz zur Erhebung von Implementierungsfaktoren in einer Studie zur Stillförderung an fünf deutschen neonatologischen Intensivstationen.</w:t>
      </w:r>
    </w:p>
    <w:p>
      <w:r>
        <w:rPr>
          <w:b/>
        </w:rPr>
        <w:t xml:space="preserve">Ergebnis: </w:t>
      </w:r>
      <w:r>
        <w:t>Vorgestellt wird ein Vorgehen in sechs Schritten: je Station eine eigene System Support Map (Schritte 1–3), danach eine stationsübergreifende Matrix zum Vergleich (Schritte 4–6). Innerhalb der Standorte zeigte sich, dass dieselbe Ressource je nach Kontext als förderlich, hinderlich oder beides wahrgenommen wurde; im Vergleich der Standorte traten gleichförmige wie heterogene Muster hervor. Damit lassen sich standortspezifische und übergreifende Strategien voneinander unterscheiden.</w:t>
      </w:r>
    </w:p>
    <w:p>
      <w:r>
        <w:rPr>
          <w:b/>
          <w:sz w:val="19"/>
        </w:rPr>
        <w:t xml:space="preserve">Übertragbarkeit: </w:t>
      </w:r>
      <w:r>
        <w:rPr>
          <w:sz w:val="19"/>
        </w:rPr>
        <w:t>Deutsche NICUs; Implementierungswissenschaft für deutsche Kontexte.</w:t>
      </w:r>
    </w:p>
    <w:p>
      <w:r>
        <w:rPr>
          <w:color w:val="5A7D3A"/>
          <w:sz w:val="18"/>
        </w:rPr>
        <w:t>https://pubmed.ncbi.nlm.nih.gov/42706532/</w:t>
      </w:r>
    </w:p>
    <w:p>
      <w:pPr>
        <w:pStyle w:val="Heading2"/>
      </w:pPr>
      <w:r>
        <w:t>Primary Care Behavioral Health in der schwedischen Primärversorgung: Ergebnisse einer Pilotstudie</w:t>
      </w:r>
    </w:p>
    <w:p>
      <w:r>
        <w:rPr>
          <w:i/>
          <w:color w:val="666666"/>
          <w:sz w:val="18"/>
        </w:rPr>
        <w:t>Nordgren LB et al.  ·  BMC Health Serv Res  ·  03.09.2026  ·  PMID 42706525</w:t>
      </w:r>
    </w:p>
    <w:p>
      <w:r>
        <w:t>Stepped-Wedge-Studie zur Einführung des Primary Care Behavioral Health-Modells in vier schwedischen Primärversorgungszentren mit 37.100 eingeschriebenen Patienten über drei Zeiträume.</w:t>
      </w:r>
    </w:p>
    <w:p>
      <w:r>
        <w:rPr>
          <w:b/>
        </w:rPr>
        <w:t xml:space="preserve">Ergebnis: </w:t>
      </w:r>
      <w:r>
        <w:t>Nach der Einführung sank die Wartezeit auf den Ersttermin um 30–39 % (von 16 auf 10 bis 11 Tage, p&lt;0,001), die Wartezeit auf alle Termine um 21–24 % (von 18 auf 13,7 bis 14,2 Tage, p&lt;0,001). Die Zahl der Termine bei Behavioral Health Consultants stieg um 21–34 % (von 1.762 auf 2.127 bis 2.359, p&lt;0,001), die Zahl der Psychopharmaka-Verordnungen sank um 14–18 % (von 8.025 auf 6.570 bis 6.927, p&lt;0,001). Nach Abschluss der Einführungsphase gingen die Verbesserungen teilweise zurück.</w:t>
      </w:r>
    </w:p>
    <w:p>
      <w:r>
        <w:rPr>
          <w:b/>
          <w:sz w:val="19"/>
        </w:rPr>
        <w:t xml:space="preserve">Übertragbarkeit: </w:t>
      </w:r>
      <w:r>
        <w:rPr>
          <w:sz w:val="19"/>
        </w:rPr>
        <w:t>Schweden, Primärversorgung; hausarztgesteuertes System, aber prozessuale Lernpunkte übertragbar.</w:t>
      </w:r>
    </w:p>
    <w:p>
      <w:r>
        <w:rPr>
          <w:color w:val="5A7D3A"/>
          <w:sz w:val="18"/>
        </w:rPr>
        <w:t>https://pubmed.ncbi.nlm.nih.gov/42706525/</w:t>
      </w:r>
    </w:p>
    <w:p>
      <w:pPr>
        <w:pStyle w:val="Heading2"/>
      </w:pPr>
      <w:r>
        <w:t>Leitliniengerechte Aphasietherapie: Systembarrieren im deutschsprachigen Raum</w:t>
      </w:r>
    </w:p>
    <w:p>
      <w:r>
        <w:rPr>
          <w:i/>
          <w:color w:val="666666"/>
          <w:sz w:val="18"/>
        </w:rPr>
        <w:t>May S et al.  ·  BMC Health Serv Res  ·  07.09.2026  ·  PMID 42706524</w:t>
      </w:r>
    </w:p>
    <w:p>
      <w:r>
        <w:t>Explorative qualitative Studie mit zwei Online-Fokusgruppen aus Menschen mit Aphasie, Angehörigen, Logopäden und Akteuren des Gesundheitswesens zu den Hürden einer leitliniengerechten Therapie im deutschsprachigen Raum.</w:t>
      </w:r>
    </w:p>
    <w:p>
      <w:r>
        <w:rPr>
          <w:b/>
        </w:rPr>
        <w:t xml:space="preserve">Ergebnis: </w:t>
      </w:r>
      <w:r>
        <w:t>Sechs Kategorien von Barrieren wurden benannt: gesellschaftliche und systemische Rahmenbedingungen, Zugang zur Versorgung, Brüche im Behandlungsverlauf, die Rolle der Angehörigen, psychosoziale Faktoren und Lücken in der interdisziplinären Versorgung. Als besonders anfällig gilt der Übergang von der stationären in die ambulante Versorgung; zerklüftete Versorgungspfade und finanzielle Hürden erschwerten die Umsetzung, und die informelle Unterstützung durch Angehörige schuf Ungleichheiten beim Zugang.</w:t>
      </w:r>
    </w:p>
    <w:p>
      <w:r>
        <w:rPr>
          <w:b/>
          <w:sz w:val="19"/>
        </w:rPr>
        <w:t xml:space="preserve">Übertragbarkeit: </w:t>
      </w:r>
      <w:r>
        <w:rPr>
          <w:sz w:val="19"/>
        </w:rPr>
        <w:t>Deutschland/Österreich/Schweiz, direkt; fokussiert auf Versorgungslücken und Systembarrieren.</w:t>
      </w:r>
    </w:p>
    <w:p>
      <w:r>
        <w:rPr>
          <w:color w:val="5A7D3A"/>
          <w:sz w:val="18"/>
        </w:rPr>
        <w:t>https://pubmed.ncbi.nlm.nih.gov/42706524/</w:t>
      </w:r>
    </w:p>
    <w:p>
      <w:pPr>
        <w:pStyle w:val="Heading2"/>
      </w:pPr>
      <w:r>
        <w:t>Patientenzufriedenheit in der Tele-Ophthalmologie: systematisches Review mit Metaanalyse</w:t>
      </w:r>
    </w:p>
    <w:p>
      <w:r>
        <w:rPr>
          <w:i/>
          <w:color w:val="666666"/>
          <w:sz w:val="18"/>
        </w:rPr>
        <w:t>Al-Nosairy KO et al.  ·  Eye (Lond)  ·  07.09.2026  ·  PMID 42706426</w:t>
      </w:r>
    </w:p>
    <w:p>
      <w:r>
        <w:t>Systematisches Review mit Metaanalyse aus 41 Studien (24.595 Teilnehmende) zum Vergleich der Patientenzufriedenheit zwischen tele-ophthalmologischer und persönlicher augenärztlicher Versorgung.</w:t>
      </w:r>
    </w:p>
    <w:p>
      <w:r>
        <w:rPr>
          <w:b/>
        </w:rPr>
        <w:t xml:space="preserve">Ergebnis: </w:t>
      </w:r>
      <w:r>
        <w:t>Die Zufriedenheit war vergleichbar (OR 0,98; 95%-KI 0,36–2,65, p=0,95). Gepoolt lag die Zufriedenheit mit der Telemedizin bei 93,5 % (95%-KI 90,8–95,5), die allgemeine Akzeptanz bei 92,0 %. Asynchrone (94,6 %), synchrone (92,1 %) und hybride Modelle (93,8 %) unterschieden sich kaum. Die Weiterempfehlung fiel höher aus (94,9 %) als die Absicht zur erneuten Nutzung (84,0 %); ein Publikationsbias war nicht nachweisbar (p&gt;0,05).</w:t>
      </w:r>
    </w:p>
    <w:p>
      <w:r>
        <w:rPr>
          <w:b/>
          <w:sz w:val="19"/>
        </w:rPr>
        <w:t xml:space="preserve">Übertragbarkeit: </w:t>
      </w:r>
      <w:r>
        <w:rPr>
          <w:sz w:val="19"/>
        </w:rPr>
        <w:t>Querschnittsübertragbar: Patientenzufriedenheit systemunabhängig.</w:t>
      </w:r>
    </w:p>
    <w:p>
      <w:r>
        <w:rPr>
          <w:color w:val="5A7D3A"/>
          <w:sz w:val="18"/>
        </w:rPr>
        <w:t>https://pubmed.ncbi.nlm.nih.gov/42706426/</w:t>
      </w:r>
    </w:p>
    <w:p>
      <w:pPr>
        <w:pStyle w:val="Heading2"/>
      </w:pPr>
      <w:r>
        <w:t>Hausarztkontakte und Prävention chronischer Erkrankungen in Chinas Gesundheitsreform</w:t>
      </w:r>
    </w:p>
    <w:p>
      <w:r>
        <w:rPr>
          <w:i/>
          <w:color w:val="666666"/>
          <w:sz w:val="18"/>
        </w:rPr>
        <w:t>Zhang Y et al.  ·  Soc Sci Med  ·  12.08.2026  ·  PMID 42704983</w:t>
      </w:r>
    </w:p>
    <w:p>
      <w:r>
        <w:t>Panelstudie mit 11.425 Personen aus vier Erhebungswellen (2011–2018) der China Health and Retirement Longitudinal Study zum Zusammenhang zwischen Hausarztkontakten, dem Neuauftreten chronischer Erkrankungen und der Krankenhausnutzung.</w:t>
      </w:r>
    </w:p>
    <w:p>
      <w:r>
        <w:rPr>
          <w:b/>
        </w:rPr>
        <w:t xml:space="preserve">Ergebnis: </w:t>
      </w:r>
      <w:r>
        <w:t>Jeder zusätzliche Hausarztkontakt ging mit weniger neu hinzukommenden chronischen Erkrankungen einher (−0,011; 95%-KI −0,017 bis −0,004). Stärker war der Zusammenhang bei Stadtbewohnern (−0,016), bei Personen mit Grundschulbildung (−0,014) und bei nur einer chronischen Erkrankung (−0,018). Bei bereits Erkrankten bestand kein signifikanter Zusammenhang mit ambulanten Krankenhauskontakten (−0,010; 95%-KI −0,029 bis 0,009) oder stationären Aufnahmen (0,010; 95%-KI −0,020 bis 0,040).</w:t>
      </w:r>
    </w:p>
    <w:p>
      <w:r>
        <w:rPr>
          <w:b/>
          <w:sz w:val="19"/>
        </w:rPr>
        <w:t xml:space="preserve">Übertragbarkeit: </w:t>
      </w:r>
      <w:r>
        <w:rPr>
          <w:sz w:val="19"/>
        </w:rPr>
        <w:t>China; Konzepte zu Primärversorgung und Prävention aber strukturelle Unterschiede erheblich.</w:t>
      </w:r>
    </w:p>
    <w:p>
      <w:r>
        <w:rPr>
          <w:color w:val="5A7D3A"/>
          <w:sz w:val="18"/>
        </w:rPr>
        <w:t>https://pubmed.ncbi.nlm.nih.gov/42704983/</w:t>
      </w:r>
    </w:p>
    <w:p>
      <w:pPr>
        <w:pStyle w:val="Heading1"/>
      </w:pPr>
      <w:r>
        <w:t>Aufgenommen am 08.09.2026</w:t>
      </w:r>
    </w:p>
    <w:p>
      <w:pPr>
        <w:pStyle w:val="Heading2"/>
      </w:pPr>
      <w:r>
        <w:t>Patientensicht auf Zahnbehandlungsqualität: qualitative Systematik-Übersicht</w:t>
      </w:r>
    </w:p>
    <w:p>
      <w:r>
        <w:rPr>
          <w:i/>
          <w:color w:val="666666"/>
          <w:sz w:val="18"/>
        </w:rPr>
        <w:t>Tay AHC et al.  ·  J Dent Res  ·  07.09.2026  ·  PMID 42703647</w:t>
      </w:r>
    </w:p>
    <w:p>
      <w:r>
        <w:t>Systematische qualitative Analyse von 36 Studien zur Patientenwahrnehmung von Qualität in der Zahnversorgung.</w:t>
      </w:r>
    </w:p>
    <w:p>
      <w:r>
        <w:rPr>
          <w:b/>
        </w:rPr>
        <w:t xml:space="preserve">Ergebnis: </w:t>
      </w:r>
      <w:r>
        <w:t>Vier Kernthemen: (1) strukturelle Bedingungen für Vertrauen, (2) Sicherheit durch erlebte Kompetenz, (3) zwischenmenschliche Pflege als Qualitätsfundament (Respekt, Empathie, Kommunikation, Shared Decision Making), (4) kontinuierliche Beziehung als patientenrelevantes Ergebnis. Patienten deuten relationale und emotionale Aspekte als Indikatoren der Systemorientierung.</w:t>
      </w:r>
    </w:p>
    <w:p>
      <w:r>
        <w:rPr>
          <w:b/>
          <w:sz w:val="19"/>
        </w:rPr>
        <w:t xml:space="preserve">Übertragbarkeit: </w:t>
      </w:r>
      <w:r>
        <w:rPr>
          <w:sz w:val="19"/>
        </w:rPr>
        <w:t>Diverse Populationen international, Thematik der Patientenzentralität systemunabhängig übertragbar.</w:t>
      </w:r>
    </w:p>
    <w:p>
      <w:r>
        <w:rPr>
          <w:color w:val="5A7D3A"/>
          <w:sz w:val="18"/>
        </w:rPr>
        <w:t>https://pubmed.ncbi.nlm.nih.gov/42703647/</w:t>
      </w:r>
    </w:p>
    <w:p>
      <w:pPr>
        <w:pStyle w:val="Heading2"/>
      </w:pPr>
      <w:r>
        <w:t>Regionale Disparitäten bei Lebendnierenverpflanzungen in Australien und Neuseeland</w:t>
      </w:r>
    </w:p>
    <w:p>
      <w:r>
        <w:rPr>
          <w:i/>
          <w:color w:val="666666"/>
          <w:sz w:val="18"/>
        </w:rPr>
        <w:t>McMichael LC et al.  ·  Am J Transplant  ·  03.09.2026  ·  PMID 42692200</w:t>
      </w:r>
    </w:p>
    <w:p>
      <w:r>
        <w:t>Analyse der ANZORGG-Registry (Australien, Neuseeland) zu regionalen Unterschieden bei Zugang zu Lebendnierenverpflanzung.</w:t>
      </w:r>
    </w:p>
    <w:p>
      <w:r>
        <w:rPr>
          <w:b/>
        </w:rPr>
        <w:t xml:space="preserve">Ergebnis: </w:t>
      </w:r>
      <w:r>
        <w:t>Standardisierte Quote lebender Nierenverpflanzungen variierte zwischen 0,36 und 2,11 über 21 Netzwerke (n=53.313 Patienten 2002–2022). Von 21 Netzwerken lagen 4 (19%) unter Erwartung. Faktoren: direkte Transplantationsaffiliation des Behandlungszentrums, nicht-metropolitane Residenz und zeitnahe nephrologische Vorstellung assoziiert mit erhöhtem Lebendspender-Transplantationsrisiko.</w:t>
      </w:r>
    </w:p>
    <w:p>
      <w:r>
        <w:rPr>
          <w:b/>
          <w:sz w:val="19"/>
        </w:rPr>
        <w:t xml:space="preserve">Übertragbarkeit: </w:t>
      </w:r>
      <w:r>
        <w:rPr>
          <w:sz w:val="19"/>
        </w:rPr>
        <w:t>Australien/Neuseeland, Fragestellung zu regionalen Versorgungsungleichheiten in spezialisierten Leistungen übertragbar auf Deutschland.</w:t>
      </w:r>
    </w:p>
    <w:p>
      <w:r>
        <w:rPr>
          <w:color w:val="5A7D3A"/>
          <w:sz w:val="18"/>
        </w:rPr>
        <w:t>https://pubmed.ncbi.nlm.nih.gov/42692200/</w:t>
      </w:r>
    </w:p>
    <w:p>
      <w:pPr>
        <w:pStyle w:val="Heading2"/>
      </w:pPr>
      <w:r>
        <w:t>Private Krankenversicherung und Prävention in Australien: Längsschnittstudie</w:t>
      </w:r>
    </w:p>
    <w:p>
      <w:r>
        <w:rPr>
          <w:i/>
          <w:color w:val="666666"/>
          <w:sz w:val="18"/>
        </w:rPr>
        <w:t>Nguyen CM et al.  ·  Public Health  ·  03.09.2026  ·  PMID 42691737</w:t>
      </w:r>
    </w:p>
    <w:p>
      <w:r>
        <w:t>Längsschnittstudie an 9.674 australischen Erwachsenen (2009–2017) zur Assoziation zwischen privater Krankenversicherung und Nutzung von Präventivleistungen.</w:t>
      </w:r>
    </w:p>
    <w:p>
      <w:r>
        <w:rPr>
          <w:b/>
        </w:rPr>
        <w:t xml:space="preserve">Ergebnis: </w:t>
      </w:r>
      <w:r>
        <w:t>Chronische Erkrankungen wurden häufiger, Prävention nahm zu. Nach Adjustment zeigte sich: Bei Frauen waren hospital PHI und kombinierte PHI mit IRR 1,14 (95%-KI 1,09–1,18) bzw. 1,18 (1,11–1,25) assoziiert; bei Männern hospital PHI mit IRR 1,12 (1,00–1,23) und kombinierte PHI mit IRR 1,18 (1,11–1,25).</w:t>
      </w:r>
    </w:p>
    <w:p>
      <w:r>
        <w:rPr>
          <w:b/>
          <w:sz w:val="19"/>
        </w:rPr>
        <w:t xml:space="preserve">Übertragbarkeit: </w:t>
      </w:r>
      <w:r>
        <w:rPr>
          <w:sz w:val="19"/>
        </w:rPr>
        <w:t>Australisches Zwei-Klassen-System mit Medicare-Basisversorgung und zusätzlicher privater Versicherung; Frage zu Versicherungsstatus und Prävention eingeschränkt übertragbar.</w:t>
      </w:r>
    </w:p>
    <w:p>
      <w:r>
        <w:rPr>
          <w:color w:val="5A7D3A"/>
          <w:sz w:val="18"/>
        </w:rPr>
        <w:t>https://pubmed.ncbi.nlm.nih.gov/42691737/</w:t>
      </w:r>
    </w:p>
    <w:p>
      <w:pPr>
        <w:pStyle w:val="Heading2"/>
      </w:pPr>
      <w:r>
        <w:t>Screening auf Autoimmunität bei Typ-1-Diabetes aus Sicht des Fachpersonals</w:t>
      </w:r>
    </w:p>
    <w:p>
      <w:r>
        <w:rPr>
          <w:i/>
          <w:color w:val="666666"/>
          <w:sz w:val="18"/>
        </w:rPr>
        <w:t>Majstorovic M et al.  ·  Diabet Med  ·  01.09.2026  ·  PMID 42682016</w:t>
      </w:r>
    </w:p>
    <w:p>
      <w:r>
        <w:t>Qualitative Studie mit 32 australischen Fachkräften (Kindermedizin) zu Perspektiven auf Screening und Monitoring von Inselzellautoantkörpern.</w:t>
      </w:r>
    </w:p>
    <w:p>
      <w:r>
        <w:rPr>
          <w:b/>
        </w:rPr>
        <w:t xml:space="preserve">Ergebnis: </w:t>
      </w:r>
      <w:r>
        <w:t>Sieben Themen identifiziert: (1) umstrittenes Screening, (2) Strukturüberlegungen, (3) Zugangsparität, (4) Managementfokus auf Testerleben, (5) potenzielle psychische Folgen, (6) Bewältigungsfähigkeit der Betreuer, (7) Bedeutung vertrauensvoller Beziehungen. Fachkräfte betonten psychische Belastungen für Familien, Wichtigkeit therapeutischer Beziehungen.</w:t>
      </w:r>
    </w:p>
    <w:p>
      <w:r>
        <w:rPr>
          <w:b/>
          <w:sz w:val="19"/>
        </w:rPr>
        <w:t xml:space="preserve">Übertragbarkeit: </w:t>
      </w:r>
      <w:r>
        <w:rPr>
          <w:sz w:val="19"/>
        </w:rPr>
        <w:t>Qualitative Fachperspektive, Thema Screening-Akzeptanz und -Design systemunabhängig relevant.</w:t>
      </w:r>
    </w:p>
    <w:p>
      <w:r>
        <w:rPr>
          <w:color w:val="5A7D3A"/>
          <w:sz w:val="18"/>
        </w:rPr>
        <w:t>https://pubmed.ncbi.nlm.nih.gov/42682016/</w:t>
      </w:r>
    </w:p>
    <w:p>
      <w:pPr>
        <w:pStyle w:val="Heading2"/>
      </w:pPr>
      <w:r>
        <w:t>Verfügbarkeit und Zugang zu Infertilitätsversorgung in West- und Zentralafrika</w:t>
      </w:r>
    </w:p>
    <w:p>
      <w:r>
        <w:rPr>
          <w:i/>
          <w:color w:val="666666"/>
          <w:sz w:val="18"/>
        </w:rPr>
        <w:t>Thomas HL et al.  ·  BMC Health Serv Res  ·  04.08.2026  ·  PMID 42681645</w:t>
      </w:r>
    </w:p>
    <w:p>
      <w:r>
        <w:t>Länderübergreifende Studie (Burkina Faso, Elfenbeinküste, Niger, Uganda) zu Verfügbarkeit, geografischem Zugang und Nutzung von STI-Tests und Infertilitätsservices.</w:t>
      </w:r>
    </w:p>
    <w:p>
      <w:r>
        <w:rPr>
          <w:b/>
        </w:rPr>
        <w:t xml:space="preserve">Ergebnis: </w:t>
      </w:r>
      <w:r>
        <w:t>STI-Tests verfügbar in 68,5–92,6% der Einrichtungen, Infertilitätsservices in 28,4–44,0% (Burkina Faso 78,3%). Frauen mit höherer Bildung, Wohlstand, urbaner Residenz hatten besseren Zugang. In Burkina Faso und Niger: Frauen innerhalb 5 km STI-Testung zeigten erhöhte biomedizinische Inanspruchnahme (aOR 2,94 bzw. 7,19).</w:t>
      </w:r>
    </w:p>
    <w:p>
      <w:r>
        <w:rPr>
          <w:b/>
          <w:sz w:val="19"/>
        </w:rPr>
        <w:t xml:space="preserve">Übertragbarkeit: </w:t>
      </w:r>
      <w:r>
        <w:rPr>
          <w:sz w:val="19"/>
        </w:rPr>
        <w:t>Subsaharische Länder mit begrenzten Ressourcen, Fragestellung zu geografischem Zugang und Inanspruchnahme grundsätzlich relevant.</w:t>
      </w:r>
    </w:p>
    <w:p>
      <w:r>
        <w:rPr>
          <w:color w:val="5A7D3A"/>
          <w:sz w:val="18"/>
        </w:rPr>
        <w:t>https://pubmed.ncbi.nlm.nih.gov/42681645/</w:t>
      </w:r>
    </w:p>
    <w:p>
      <w:pPr>
        <w:pStyle w:val="Heading2"/>
      </w:pPr>
      <w:r>
        <w:t>Nationale Implementierung eines TB-Probenversandsystems in der Republik Kongo</w:t>
      </w:r>
    </w:p>
    <w:p>
      <w:r>
        <w:rPr>
          <w:i/>
          <w:color w:val="666666"/>
          <w:sz w:val="18"/>
        </w:rPr>
        <w:t>Elion Assiana DO et al.  ·  Trop Med Infect Dis  ·  17.08.2026  ·  PMID 42646806</w:t>
      </w:r>
    </w:p>
    <w:p>
      <w:r>
        <w:t>Dreijährige Mixed-Methods-Studie (Pilot Januar–Juni 2023, Scale-up Juli 2023–Dezember 2025) zur Umsetzung eines strukturierten Versandsystems für TB-Diagnostik.</w:t>
      </w:r>
    </w:p>
    <w:p>
      <w:r>
        <w:rPr>
          <w:b/>
        </w:rPr>
        <w:t xml:space="preserve">Ergebnis: </w:t>
      </w:r>
      <w:r>
        <w:t>Pilot-Phase: 962 Proben, 30,6% TB-Fälle (12/294 RR-TB), medianer Turnaround 53 h urban/62 h rural, 86% Beteiligungsquote. Scale-up (29 → 12/12 Departements): 2154 Proben (2023) → 5160 (2024), 2587 TB- und 84 RR-TB-Fälle über 3 Jahre detektiert. TB-Detektionsbeitrag stieg von 9,2% auf 16,0%, RR-TB von 10,4% auf 18,7%.</w:t>
      </w:r>
    </w:p>
    <w:p>
      <w:r>
        <w:rPr>
          <w:b/>
          <w:sz w:val="19"/>
        </w:rPr>
        <w:t xml:space="preserve">Übertragbarkeit: </w:t>
      </w:r>
      <w:r>
        <w:rPr>
          <w:sz w:val="19"/>
        </w:rPr>
        <w:t>Ressourcenlimitiertes Subsahara-Kontext, Versorgungsforschung zur Stärkung von Diagnostikzugang relevant, aber nur bedingt auf deutsche Strukturen übertragbar.</w:t>
      </w:r>
    </w:p>
    <w:p>
      <w:r>
        <w:rPr>
          <w:color w:val="5A7D3A"/>
          <w:sz w:val="18"/>
        </w:rPr>
        <w:t>https://pubmed.ncbi.nlm.nih.gov/42646806/</w:t>
      </w:r>
    </w:p>
    <w:p>
      <w:pPr>
        <w:pStyle w:val="Heading1"/>
      </w:pPr>
      <w:r>
        <w:t>Aufgenommen am 07.09.2026</w:t>
      </w:r>
    </w:p>
    <w:p>
      <w:pPr>
        <w:pStyle w:val="Heading2"/>
      </w:pPr>
      <w:r>
        <w:t>Depressive Symptom Networks bei älteren Erwachsenen: Episodische versus persistente Symptome</w:t>
      </w:r>
    </w:p>
    <w:p>
      <w:r>
        <w:rPr>
          <w:i/>
          <w:color w:val="666666"/>
          <w:sz w:val="18"/>
        </w:rPr>
        <w:t>Stratmann MW et al.  ·  Int Psychogeriatr  ·  05.09.2026  ·  PMID 42701078</w:t>
      </w:r>
    </w:p>
    <w:p>
      <w:r>
        <w:t>Vergleichende Netzwerkanalyse depressiver Symptome bei 8.519 älteren Erwachsenen (60+ Jahre) aus SHARE-Daten zur Frage, ob persistente Depressionen dichtere Symptomnetze aufweisen als episodische.</w:t>
      </w:r>
    </w:p>
    <w:p>
      <w:r>
        <w:rPr>
          <w:b/>
        </w:rPr>
        <w:t xml:space="preserve">Ergebnis: </w:t>
      </w:r>
      <w:r>
        <w:t>Kein signifikanter Unterschied in globaler Netzwerkstärke oder -struktur zwischen episodischen (44,0%) und persistenten/rezidivierenden (56,0%) depressiven Symptomen (p = 0,17 bzw. p = 0,60). Mangelndes Interesse, depressive Stimmung und Suizidalität zeigten höchste Stärke in beiden Netzwerken.</w:t>
      </w:r>
    </w:p>
    <w:p>
      <w:r>
        <w:rPr>
          <w:b/>
          <w:sz w:val="19"/>
        </w:rPr>
        <w:t xml:space="preserve">Übertragbarkeit: </w:t>
      </w:r>
      <w:r>
        <w:rPr>
          <w:sz w:val="19"/>
        </w:rPr>
        <w:t>Deutschland: SHARE-Daten, gesetzlich Versicherte ab 60 Jahren, europäisches Sozialversicherungssystem</w:t>
      </w:r>
    </w:p>
    <w:p>
      <w:r>
        <w:rPr>
          <w:color w:val="5A7D3A"/>
          <w:sz w:val="18"/>
        </w:rPr>
        <w:t>https://pubmed.ncbi.nlm.nih.gov/42701078/</w:t>
      </w:r>
    </w:p>
    <w:p>
      <w:pPr>
        <w:pStyle w:val="Heading2"/>
      </w:pPr>
      <w:r>
        <w:t>Person-zentrierte Geburtshilfe: Wahrnehmungsbildung und Sinnkonstruktion</w:t>
      </w:r>
    </w:p>
    <w:p>
      <w:r>
        <w:rPr>
          <w:i/>
          <w:color w:val="666666"/>
          <w:sz w:val="18"/>
        </w:rPr>
        <w:t>Okumu MR et al.  ·  Eur J Midwifery  ·  04.09.2026  ·  PMID 42699730</w:t>
      </w:r>
    </w:p>
    <w:p>
      <w:r>
        <w:t>Qualitative Grounded-Theory-Studie mit 12 Interviews zu Gebärfähigen, um zu verstehen, wie Frauen ihre Geburtsversorgung wahrnehmen und interpretieren.</w:t>
      </w:r>
    </w:p>
    <w:p>
      <w:r>
        <w:rPr>
          <w:b/>
        </w:rPr>
        <w:t xml:space="preserve">Ergebnis: </w:t>
      </w:r>
      <w:r>
        <w:t>Sense of Coherence (SoC) als Kernkategorie identifiziert: Negative Erfahrungen korreliert mit niedriger SoC, positive mit hoher SoC. Kontextuelle Faktoren (Verständlichkeit, wahrgenommene Machbarkeit, situative Rahmung) prägen die Wahrnehmung von Geburtssituationen.</w:t>
      </w:r>
    </w:p>
    <w:p>
      <w:r>
        <w:rPr>
          <w:b/>
          <w:sz w:val="19"/>
        </w:rPr>
        <w:t xml:space="preserve">Übertragbarkeit: </w:t>
      </w:r>
      <w:r>
        <w:rPr>
          <w:sz w:val="19"/>
        </w:rPr>
        <w:t>Deutschland: Deutsche Hochschulkliniken, qualitative Versorgungsforschung zur Patientenperspektive</w:t>
      </w:r>
    </w:p>
    <w:p>
      <w:r>
        <w:rPr>
          <w:color w:val="5A7D3A"/>
          <w:sz w:val="18"/>
        </w:rPr>
        <w:t>https://pubmed.ncbi.nlm.nih.gov/42699730/</w:t>
      </w:r>
    </w:p>
    <w:p>
      <w:pPr>
        <w:pStyle w:val="Heading2"/>
      </w:pPr>
      <w:r>
        <w:t>Pflegekräfte-Retention in Europa: Warum ökonomische Evidenz fehlt</w:t>
      </w:r>
    </w:p>
    <w:p>
      <w:r>
        <w:rPr>
          <w:i/>
          <w:color w:val="666666"/>
          <w:sz w:val="18"/>
        </w:rPr>
        <w:t>Maier CB et al.  ·  Lancet Reg Health Eur  ·  25.08.2026  ·  PMID 42699328</w:t>
      </w:r>
    </w:p>
    <w:p>
      <w:r>
        <w:t>Viewpoint zur Evidenzlücke für Kosteffektivität von Pflegekräfte-Retentionsmassnahmen in europäischen Gesundheitssystemen.</w:t>
      </w:r>
    </w:p>
    <w:p>
      <w:r>
        <w:rPr>
          <w:b/>
        </w:rPr>
        <w:t xml:space="preserve">Ergebnis: </w:t>
      </w:r>
      <w:r>
        <w:t>Europäische Länder verfügen im Gegensatz zu Nordamerika und Australien über keine vergleichbaren Kostenangaben für Pflegekräfte-Fluktuation. Turnover-Kosten sind nicht zwischen Systemen übertragbar wegen unterschiedlicher Lohn-, Skill-Mix- und Praxisstrukturen. Europäische Forschungsagenda erforderlich.</w:t>
      </w:r>
    </w:p>
    <w:p>
      <w:r>
        <w:rPr>
          <w:b/>
          <w:sz w:val="19"/>
        </w:rPr>
        <w:t xml:space="preserve">Übertragbarkeit: </w:t>
      </w:r>
      <w:r>
        <w:rPr>
          <w:sz w:val="19"/>
        </w:rPr>
        <w:t>Deutschland, Österreich, Schweiz: Hohe Übertragbarkeit für deutsche Krankenhausversorgung und Personalmanagement</w:t>
      </w:r>
    </w:p>
    <w:p>
      <w:r>
        <w:rPr>
          <w:color w:val="5A7D3A"/>
          <w:sz w:val="18"/>
        </w:rPr>
        <w:t>https://pubmed.ncbi.nlm.nih.gov/42699328/</w:t>
      </w:r>
    </w:p>
    <w:p>
      <w:pPr>
        <w:pStyle w:val="Heading2"/>
      </w:pPr>
      <w:r>
        <w:t>Pharmacy-Reimbursement-Reform und Stufendiagnose in China: Effekt auf Gesundheitsausgaben</w:t>
      </w:r>
    </w:p>
    <w:p>
      <w:r>
        <w:rPr>
          <w:i/>
          <w:color w:val="666666"/>
          <w:sz w:val="18"/>
        </w:rPr>
        <w:t>Zhang K et al.  ·  BMC Health Serv Res  ·  22.08.2026  ·  PMID 42693454</w:t>
      </w:r>
    </w:p>
    <w:p>
      <w:r>
        <w:t>Evaluierung der Auswirkungen der RPOR-Reform (Retail Pharmacies Outpatient Reimbursement) auf Versorgungsverlauf, Inanspruchnahme und Gesamtausgaben mittels Staggered-DID-Analyse.</w:t>
      </w:r>
    </w:p>
    <w:p>
      <w:r>
        <w:rPr>
          <w:b/>
        </w:rPr>
        <w:t xml:space="preserve">Ergebnis: </w:t>
      </w:r>
      <w:r>
        <w:t>RPOR erhöhte Apothekenbesuche (0,119**), Apotheken-Ausgabenanteil (0,439**), verdrängte aber ambulante Primärversorgung (-0,670***) und senkte Gesamtausgaben (-0,490**). Effekte variierten nach Alter, Einkommen und regionalen Ressourcen.</w:t>
      </w:r>
    </w:p>
    <w:p>
      <w:r>
        <w:rPr>
          <w:b/>
          <w:sz w:val="19"/>
        </w:rPr>
        <w:t xml:space="preserve">Übertragbarkeit: </w:t>
      </w:r>
      <w:r>
        <w:rPr>
          <w:sz w:val="19"/>
        </w:rPr>
        <w:t>Bedingt: China-Daten, anderes Sozialversicherungssystem und Ressourcenkontext, aber Fragestellung zu Versorgungssteuerung übertragbar</w:t>
      </w:r>
    </w:p>
    <w:p>
      <w:r>
        <w:rPr>
          <w:color w:val="5A7D3A"/>
          <w:sz w:val="18"/>
        </w:rPr>
        <w:t>https://pubmed.ncbi.nlm.nih.gov/42693454/</w:t>
      </w:r>
    </w:p>
    <w:p>
      <w:pPr>
        <w:pStyle w:val="Heading2"/>
      </w:pPr>
      <w:r>
        <w:t>xPEDition pain: Public-Health-Kampagne zu chronischem Schmerz in Grenzregion</w:t>
      </w:r>
    </w:p>
    <w:p>
      <w:r>
        <w:rPr>
          <w:i/>
          <w:color w:val="666666"/>
          <w:sz w:val="18"/>
        </w:rPr>
        <w:t>Sanina AY et al.  ·  BMJ Open  ·  03.09.2026  ·  PMID 42692519</w:t>
      </w:r>
    </w:p>
    <w:p>
      <w:r>
        <w:t>Quasi-experimentelle Vorher-Nachher-Studie mit Kontrollgruppe zu Wirkung einer grenzüberschreitenden Public-Health-Kampagne (Niederlande/Deutschland vs. Flandern) auf Schmerzwissen und -einstellungen.</w:t>
      </w:r>
    </w:p>
    <w:p>
      <w:r>
        <w:rPr>
          <w:b/>
        </w:rPr>
        <w:t xml:space="preserve">Ergebnis: </w:t>
      </w:r>
      <w:r>
        <w:t>Intervention geplant für 24 Monate in niederländisch-deutscher Ems-Dollart-Region, Kontrollgruppe Flandern. Messungen bei 3.200 Personen pro Welle (Baseline, 2-Jahres-Follow-up) mit Pain Concepts Questionnaire als primärem Outcome. Primäranalyse: Difference-in-Differences.</w:t>
      </w:r>
    </w:p>
    <w:p>
      <w:r>
        <w:rPr>
          <w:b/>
          <w:sz w:val="19"/>
        </w:rPr>
        <w:t xml:space="preserve">Übertragbarkeit: </w:t>
      </w:r>
      <w:r>
        <w:rPr>
          <w:sz w:val="19"/>
        </w:rPr>
        <w:t>Niederlande, Deutschland: Direkt übertragbar auf deutsches Gesundheitssystem, grenzüberschreitend, Versorgungsforschungsmethodik</w:t>
      </w:r>
    </w:p>
    <w:p>
      <w:r>
        <w:rPr>
          <w:color w:val="5A7D3A"/>
          <w:sz w:val="18"/>
        </w:rPr>
        <w:t>https://pubmed.ncbi.nlm.nih.gov/42692519/</w:t>
      </w:r>
    </w:p>
    <w:p>
      <w:pPr>
        <w:pStyle w:val="Heading1"/>
      </w:pPr>
      <w:r>
        <w:t>Aufgenommen am 06.09.2026</w:t>
      </w:r>
    </w:p>
    <w:p>
      <w:pPr>
        <w:pStyle w:val="Heading2"/>
      </w:pPr>
      <w:r>
        <w:t>Sozialer Gradient und Alkoholkonsum bei Mortalität</w:t>
      </w:r>
    </w:p>
    <w:p>
      <w:r>
        <w:rPr>
          <w:i/>
          <w:color w:val="666666"/>
          <w:sz w:val="18"/>
        </w:rPr>
        <w:t>Butovetsky I et al.  ·  Alcohol Clin Exp Res (Hoboken)  ·  Sept. 2026  ·  PMID 42698350</w:t>
      </w:r>
    </w:p>
    <w:p>
      <w:r>
        <w:t>Prospektive Kohortenstudie zu Wechselwirkungen zwischen Sozioökonomie, Alkoholkonsum und Gesamtmortalität an 3771-3939 Teilnehmern (Follow-up bis 2023).</w:t>
      </w:r>
    </w:p>
    <w:p>
      <w:r>
        <w:rPr>
          <w:b/>
        </w:rPr>
        <w:t xml:space="preserve">Ergebnis: </w:t>
      </w:r>
      <w:r>
        <w:t>Niedriges Einkommen (HR 1,31, 95%-KI 1,11–1,56), ehemaliger Alkoholkonsum mit Abstinenz (HR 1,56, 95%-KI 1,27–1,92) und hoher Alkoholkonsum (HR 1,31, 95%-KI 1,03–1,66) waren mit erhöhter Mortalität assoziiert. Interaktionseffekte zwischen Alkoholkonsum und SES nachweisbar.</w:t>
      </w:r>
    </w:p>
    <w:p>
      <w:r>
        <w:rPr>
          <w:b/>
          <w:sz w:val="19"/>
        </w:rPr>
        <w:t xml:space="preserve">Übertragbarkeit: </w:t>
      </w:r>
      <w:r>
        <w:rPr>
          <w:sz w:val="19"/>
        </w:rPr>
        <w:t>Deutsche Routinedaten (SHIP-Kohorte, Pomerania), gesetzlich Versicherte</w:t>
      </w:r>
    </w:p>
    <w:p>
      <w:r>
        <w:rPr>
          <w:color w:val="5A7D3A"/>
          <w:sz w:val="18"/>
        </w:rPr>
        <w:t>https://pubmed.ncbi.nlm.nih.gov/42698350/</w:t>
      </w:r>
    </w:p>
    <w:p>
      <w:pPr>
        <w:pStyle w:val="Heading2"/>
      </w:pPr>
      <w:r>
        <w:t>Sozioökonomische Unterschiede beim Zugang zur Pflegeversicherung in Korea</w:t>
      </w:r>
    </w:p>
    <w:p>
      <w:r>
        <w:rPr>
          <w:i/>
          <w:color w:val="666666"/>
          <w:sz w:val="18"/>
        </w:rPr>
        <w:t>Noh JW et al.  ·  BMC Health Serv Res  ·  06.08.2026  ·  PMID 42698085</w:t>
      </w:r>
    </w:p>
    <w:p>
      <w:r>
        <w:t>Deskriptive Analyse der Aufnahmealter in Koreas Langzeitpflegeversicherung bei 1,07 Mio. Erwachsenen (2008–2022).</w:t>
      </w:r>
    </w:p>
    <w:p>
      <w:r>
        <w:rPr>
          <w:b/>
        </w:rPr>
        <w:t xml:space="preserve">Ergebnis: </w:t>
      </w:r>
      <w:r>
        <w:t>Mittleres Aufnahmealter 79,98 Jahre (Antrag) und 80,95 Jahre (Genehmigung), deutlich über Anspruchsalter 65. Frauen, Personen ohne Behinderungen und mit weniger chronischen Erkrankungen traten später ein; Medical-Aid-Versicherte früher als erwerbstätig Versicherte.</w:t>
      </w:r>
    </w:p>
    <w:p>
      <w:r>
        <w:rPr>
          <w:b/>
          <w:sz w:val="19"/>
        </w:rPr>
        <w:t xml:space="preserve">Übertragbarkeit: </w:t>
      </w:r>
      <w:r>
        <w:rPr>
          <w:sz w:val="19"/>
        </w:rPr>
        <w:t>Nationale Verwaltungsdaten Korea; Struktur unterscheidet sich von deutschem System</w:t>
      </w:r>
    </w:p>
    <w:p>
      <w:r>
        <w:rPr>
          <w:color w:val="5A7D3A"/>
          <w:sz w:val="18"/>
        </w:rPr>
        <w:t>https://pubmed.ncbi.nlm.nih.gov/42698085/</w:t>
      </w:r>
    </w:p>
    <w:p>
      <w:pPr>
        <w:pStyle w:val="Heading2"/>
      </w:pPr>
      <w:r>
        <w:t>Geografische Variation Gabapentinoide und Opioide in US-Pflegeheimen</w:t>
      </w:r>
    </w:p>
    <w:p>
      <w:r>
        <w:rPr>
          <w:i/>
          <w:color w:val="666666"/>
          <w:sz w:val="18"/>
        </w:rPr>
        <w:t>Jung H et al.  ·  J Am Med Dir Assoc  ·  04.09.2026  ·  PMID 42696808</w:t>
      </w:r>
    </w:p>
    <w:p>
      <w:r>
        <w:t>Querschnittstudie zur geografischen Variation der Verschreibung von Gabapentinoiden, Opioiden und deren gleichzeitiger Nutzung bei 232.484 langzeitpflegenden Bewohnern (≥65 Jahre) in 9741 US-Pflegeheimen 2021.</w:t>
      </w:r>
    </w:p>
    <w:p>
      <w:r>
        <w:rPr>
          <w:b/>
        </w:rPr>
        <w:t xml:space="preserve">Ergebnis: </w:t>
      </w:r>
      <w:r>
        <w:t>Prävalenz: Gabapentinoid-Monotherapie 13,4%, Opioid-Monotherapie 9,1%, kombiniert 5,4%. Substantielle geografische Variation, besonders bei Opioid-Monotherapie und Kombination. Bewohnercharakteristika erklärten 61–65% der regionalen Variation, Einrichtungsmerkmale erklärten mehr Gabapentinoid-Variation.</w:t>
      </w:r>
    </w:p>
    <w:p>
      <w:r>
        <w:rPr>
          <w:b/>
          <w:sz w:val="19"/>
        </w:rPr>
        <w:t xml:space="preserve">Übertragbarkeit: </w:t>
      </w:r>
      <w:r>
        <w:rPr>
          <w:sz w:val="19"/>
        </w:rPr>
        <w:t>USA, andere Anreizstrukturen; limitiert übertragbar auf deutsches System</w:t>
      </w:r>
    </w:p>
    <w:p>
      <w:r>
        <w:rPr>
          <w:color w:val="5A7D3A"/>
          <w:sz w:val="18"/>
        </w:rPr>
        <w:t>https://pubmed.ncbi.nlm.nih.gov/42696808/</w:t>
      </w:r>
    </w:p>
    <w:p>
      <w:pPr>
        <w:pStyle w:val="Heading2"/>
      </w:pPr>
      <w:r>
        <w:t>Einsamkeit und Isolation in US-amerikanischen Pflegeheimen</w:t>
      </w:r>
    </w:p>
    <w:p>
      <w:r>
        <w:rPr>
          <w:i/>
          <w:color w:val="666666"/>
          <w:sz w:val="18"/>
        </w:rPr>
        <w:t>Nielsen NN et al.  ·  J Am Med Dir Assoc  ·  04.09.2026  ·  PMID 42696806</w:t>
      </w:r>
    </w:p>
    <w:p>
      <w:r>
        <w:t>Mehrebenen-Analyse zu Variation von Einsamkeit/Isolation unter 732.808 Langzeitbewohnern (≥50 Jahre) in 13.491 US-Pflegeheimen (Okt.–Dez. 2023).</w:t>
      </w:r>
    </w:p>
    <w:p>
      <w:r>
        <w:rPr>
          <w:b/>
        </w:rPr>
        <w:t xml:space="preserve">Ergebnis: </w:t>
      </w:r>
      <w:r>
        <w:t>Prävalenz Einsamkeit/Isolation 20,7%. Variation primär zwischen Einrichtungen (VPC ~35%), nicht Landkreisen (VPC ~2%). Frauen, Personen mit psychischen Erkrankungen/Sinnesstörungen häufiger einsam; ältere, nicht-hispanische Schwarze seltener. Profit-Status, ländlicher Raum, Diversity, mehr Pflegepersonal assoziiert mit geringerer Einsamkeit.</w:t>
      </w:r>
    </w:p>
    <w:p>
      <w:r>
        <w:rPr>
          <w:b/>
          <w:sz w:val="19"/>
        </w:rPr>
        <w:t xml:space="preserve">Übertragbarkeit: </w:t>
      </w:r>
      <w:r>
        <w:rPr>
          <w:sz w:val="19"/>
        </w:rPr>
        <w:t>USA; Fragestellung zu Lebensqualität und Prozessmerkmalen bedingt übertragbar</w:t>
      </w:r>
    </w:p>
    <w:p>
      <w:r>
        <w:rPr>
          <w:color w:val="5A7D3A"/>
          <w:sz w:val="18"/>
        </w:rPr>
        <w:t>https://pubmed.ncbi.nlm.nih.gov/42696806/</w:t>
      </w:r>
    </w:p>
    <w:p>
      <w:pPr>
        <w:pStyle w:val="Heading2"/>
      </w:pPr>
      <w:r>
        <w:t>Kontextualisierung der Versorgung bei fortgeschrittenem Lungenkrebs</w:t>
      </w:r>
    </w:p>
    <w:p>
      <w:r>
        <w:rPr>
          <w:i/>
          <w:color w:val="666666"/>
          <w:sz w:val="18"/>
        </w:rPr>
        <w:t>Ruud MM et al.  ·  Patient Educ Couns  ·  31.08.2026  ·  PMID 42696805</w:t>
      </w:r>
    </w:p>
    <w:p>
      <w:r>
        <w:t>Explorative Beobachtungsstudie zur Aufmerksamkeit gegenüber Patientenkontext in Behandlungsgesprächen bei 17 Arzt-Patient-Konsultationen in Norwegen.</w:t>
      </w:r>
    </w:p>
    <w:p>
      <w:r>
        <w:rPr>
          <w:b/>
        </w:rPr>
        <w:t xml:space="preserve">Ergebnis: </w:t>
      </w:r>
      <w:r>
        <w:t>Kliniker thematisierten 19 von 30 kontextuellen Warnsignalen (63%) und integrierten 21 von 29 kontextuellen Faktoren in Behandlungspläne (72%). Häufigste Domänen: Fähigkeiten/Wissen (10), Versorgungszugang (4), soziale Unterstützung (4).</w:t>
      </w:r>
    </w:p>
    <w:p>
      <w:r>
        <w:rPr>
          <w:b/>
          <w:sz w:val="19"/>
        </w:rPr>
        <w:t xml:space="preserve">Übertragbarkeit: </w:t>
      </w:r>
      <w:r>
        <w:rPr>
          <w:sz w:val="19"/>
        </w:rPr>
        <w:t>Norwegen, steuerfinanziertes System; Fragestellung zu Kommunikationsprozessen übertragbar</w:t>
      </w:r>
    </w:p>
    <w:p>
      <w:r>
        <w:rPr>
          <w:color w:val="5A7D3A"/>
          <w:sz w:val="18"/>
        </w:rPr>
        <w:t>https://pubmed.ncbi.nlm.nih.gov/42696805/</w:t>
      </w:r>
    </w:p>
    <w:p>
      <w:pPr>
        <w:pStyle w:val="Heading2"/>
      </w:pPr>
      <w:r>
        <w:t>Shared Decision-Making bei Multimorbidität und niedriger Health Literacy</w:t>
      </w:r>
    </w:p>
    <w:p>
      <w:r>
        <w:rPr>
          <w:i/>
          <w:color w:val="666666"/>
          <w:sz w:val="18"/>
        </w:rPr>
        <w:t>Vriese L et al.  ·  J Gen Intern Med  ·  03.09.2026  ·  PMID 42696204</w:t>
      </w:r>
    </w:p>
    <w:p>
      <w:r>
        <w:t>Konsensustext zur Bedeutung von Werteklärung (Values Clarification) im Shared Decision-Making für Patienten mit Multimorbidität und begrenzter Gesundheitskompetenz.</w:t>
      </w:r>
    </w:p>
    <w:p>
      <w:r>
        <w:rPr>
          <w:b/>
        </w:rPr>
        <w:t xml:space="preserve">Ergebnis: </w:t>
      </w:r>
      <w:r>
        <w:t>Werteklärung ist Schlüsselkomponente von SDM, wird aber untergenutzt – besonders bei schwieriger Kommunikation. Patienten mit Multimorbidität und niedriger Health Literacy benötigen dialogorientierte (nicht nur formale Werkzeug-)Ansätze; gezielte Schulung von Fachpersonen nötig.</w:t>
      </w:r>
    </w:p>
    <w:p>
      <w:r>
        <w:rPr>
          <w:b/>
          <w:sz w:val="19"/>
        </w:rPr>
        <w:t xml:space="preserve">Übertragbarkeit: </w:t>
      </w:r>
      <w:r>
        <w:rPr>
          <w:sz w:val="19"/>
        </w:rPr>
        <w:t>Niederlande (Autoren/CAPHRI Maastricht), vergleichbares Sozialversicherungssystem</w:t>
      </w:r>
    </w:p>
    <w:p>
      <w:r>
        <w:rPr>
          <w:color w:val="5A7D3A"/>
          <w:sz w:val="18"/>
        </w:rPr>
        <w:t>https://pubmed.ncbi.nlm.nih.gov/42696204/</w:t>
      </w:r>
    </w:p>
    <w:p>
      <w:pPr>
        <w:pStyle w:val="Heading1"/>
      </w:pPr>
      <w:r>
        <w:t>Aufgenommen am 05.09.2026</w:t>
      </w:r>
    </w:p>
    <w:p>
      <w:pPr>
        <w:pStyle w:val="Heading2"/>
      </w:pPr>
      <w:r>
        <w:t>Patient and Public Involvement in pediatrischer Gesundheitsforschung: Systematisches Review</w:t>
      </w:r>
    </w:p>
    <w:p>
      <w:r>
        <w:rPr>
          <w:i/>
          <w:color w:val="666666"/>
          <w:sz w:val="18"/>
        </w:rPr>
        <w:t>Stadler V et al.  ·  Health Expect  ·  Okt. 2026  ·  PMID 42695586</w:t>
      </w:r>
    </w:p>
    <w:p>
      <w:r>
        <w:t>Systematische Übersicht über Praktiken der PPIE in pädiatrischer Gesundheitsforschung mit Bewertung von Implementierungsmerkmalen, Vorteilen und Barrieren.</w:t>
      </w:r>
    </w:p>
    <w:p>
      <w:r>
        <w:rPr>
          <w:b/>
        </w:rPr>
        <w:t xml:space="preserve">Ergebnis: </w:t>
      </w:r>
      <w:r>
        <w:t>Von 1.910 identifizierten Referenzen wurden 37 Studien eingeschlossen. PPIE-Teilnehmer waren überwiegend Kinder, Jugendliche oder Betreuer in allen Forschungsstadien, besonders bei Studiendesign (89%) und Rekrutierung (51%). Positive Effekte: verbesserte Rekrutierungs- und Retentionsraten. Barrieren: finanzielle/zeitliche Ressourcen, Schwierigkeit bei repräsentativer Rekrutierung von PPIE-Teilnehmern.</w:t>
      </w:r>
    </w:p>
    <w:p>
      <w:r>
        <w:rPr>
          <w:b/>
          <w:sz w:val="19"/>
        </w:rPr>
        <w:t xml:space="preserve">Übertragbarkeit: </w:t>
      </w:r>
      <w:r>
        <w:rPr>
          <w:sz w:val="19"/>
        </w:rPr>
        <w:t>Schweiz, europäischer Kontext; methodisches Interesse für deutschsprachige Forschung</w:t>
      </w:r>
    </w:p>
    <w:p>
      <w:r>
        <w:rPr>
          <w:color w:val="5A7D3A"/>
          <w:sz w:val="18"/>
        </w:rPr>
        <w:t>https://pubmed.ncbi.nlm.nih.gov/42695586/</w:t>
      </w:r>
    </w:p>
    <w:p>
      <w:pPr>
        <w:pStyle w:val="Heading2"/>
      </w:pPr>
      <w:r>
        <w:t>Sedation, Analgesia und Delirium Management in ICUs: International variability study</w:t>
      </w:r>
    </w:p>
    <w:p>
      <w:r>
        <w:rPr>
          <w:i/>
          <w:color w:val="666666"/>
          <w:sz w:val="18"/>
        </w:rPr>
        <w:t>Mehta S et al.  ·  Crit Care Explor  ·  01.09.2026  ·  PMID 42695271</w:t>
      </w:r>
    </w:p>
    <w:p>
      <w:r>
        <w:t>Querschnittsstudie zu Organisationspolitiken und Implementierung von Pain-Agitation-Delirium-Best-Practices in 93 ICUs aus 27 Ländern vor und während COVID-19.</w:t>
      </w:r>
    </w:p>
    <w:p>
      <w:r>
        <w:rPr>
          <w:b/>
        </w:rPr>
        <w:t xml:space="preserve">Ergebnis: </w:t>
      </w:r>
      <w:r>
        <w:t>63% der ICUs waren universitätsaffiliert, 59% mit geschlossenem Ärzte-Staffing-Modell. Über 75% nutzten validierte PAD-Skalen (Richmond: 86%, CAM-ICU: 59%). Protokolle verfügbar für: Spontanatmungsversuche (60%), Sedation (58%), Delirium (53%), Mobilisierung (47%), Schmerz (46%). Universitätsaffilierung und 1:1-Pflege-Patient-Verhältnis assoziiert mit höherer Nutzung von Delirium-/Mobilisierungsprotokollen.</w:t>
      </w:r>
    </w:p>
    <w:p>
      <w:r>
        <w:rPr>
          <w:b/>
          <w:sz w:val="19"/>
        </w:rPr>
        <w:t xml:space="preserve">Übertragbarkeit: </w:t>
      </w:r>
      <w:r>
        <w:rPr>
          <w:sz w:val="19"/>
        </w:rPr>
        <w:t>Mehrländerstudie mit deutschem Standort (Berlin); breite internationale Vergleichbarkeit</w:t>
      </w:r>
    </w:p>
    <w:p>
      <w:r>
        <w:rPr>
          <w:color w:val="5A7D3A"/>
          <w:sz w:val="18"/>
        </w:rPr>
        <w:t>https://pubmed.ncbi.nlm.nih.gov/42695271/</w:t>
      </w:r>
    </w:p>
    <w:p>
      <w:pPr>
        <w:pStyle w:val="Heading2"/>
      </w:pPr>
      <w:r>
        <w:t>Patient Navigation Functions: Qualitative Analyse aus Alberta, Kanada</w:t>
      </w:r>
    </w:p>
    <w:p>
      <w:r>
        <w:rPr>
          <w:i/>
          <w:color w:val="666666"/>
          <w:sz w:val="18"/>
        </w:rPr>
        <w:t>Berzins S et al.  ·  Health Serv Insights  ·  02.09.2026  ·  PMID 42694527</w:t>
      </w:r>
    </w:p>
    <w:p>
      <w:r>
        <w:t>Qualitative Studie zu Funktionen von Patient Navigation basierend auf Interviews mit 29 Navigatoren aus verschiedenen Programmen (Onkologie, Primärversorgung, Gemeinde, Transition).</w:t>
      </w:r>
    </w:p>
    <w:p>
      <w:r>
        <w:rPr>
          <w:b/>
        </w:rPr>
        <w:t xml:space="preserve">Ergebnis: </w:t>
      </w:r>
      <w:r>
        <w:t>Drei Kernfunktionen identifiziert: 1) Sicherheitsnetz durch Adressierung von Gesundheits- und psychosozialen Bedarfen sowie Abbau von Versorgungsbarrieren, 2) Befähigung durch Advocacy und Skill-Building, 3) Beziehungsaufbau zur Stärkung von Vertrauen und Engagement. Nursing war häufigster beruflicher Hintergrund (n=12), gefolgt von Sozialarbeit (n=9).</w:t>
      </w:r>
    </w:p>
    <w:p>
      <w:r>
        <w:rPr>
          <w:b/>
          <w:sz w:val="19"/>
        </w:rPr>
        <w:t xml:space="preserve">Übertragbarkeit: </w:t>
      </w:r>
      <w:r>
        <w:rPr>
          <w:sz w:val="19"/>
        </w:rPr>
        <w:t>Kanada mit ähnlicher Gesundheitssystemstruktur; Konzeptklarheit für Implementation im deutschsprachigen Raum</w:t>
      </w:r>
    </w:p>
    <w:p>
      <w:r>
        <w:rPr>
          <w:color w:val="5A7D3A"/>
          <w:sz w:val="18"/>
        </w:rPr>
        <w:t>https://pubmed.ncbi.nlm.nih.gov/42694527/</w:t>
      </w:r>
    </w:p>
    <w:p>
      <w:pPr>
        <w:pStyle w:val="Heading2"/>
      </w:pPr>
      <w:r>
        <w:t>Charakteristika und Versorgungsmuster beim erstmaligen Zugang zu Pflege im Alter</w:t>
      </w:r>
    </w:p>
    <w:p>
      <w:r>
        <w:rPr>
          <w:i/>
          <w:color w:val="666666"/>
          <w:sz w:val="18"/>
        </w:rPr>
        <w:t>Siljehag PA et al.  ·  BMC Health Serv Res  ·  02.09.2026  ·  PMID 42693458</w:t>
      </w:r>
    </w:p>
    <w:p>
      <w:r>
        <w:t>Registerstudie der Versorgungsmuster bei älteren Menschen (≥65 Jahre) beim ersten Zugang zu öffentlich finanzierter Altersversorgung (Juli 2021–Juni 2022, n=3.649).</w:t>
      </w:r>
    </w:p>
    <w:p>
      <w:r>
        <w:rPr>
          <w:b/>
        </w:rPr>
        <w:t xml:space="preserve">Ergebnis: </w:t>
      </w:r>
      <w:r>
        <w:t>Durchschnittsalter 80 Jahre, über die Hälfte Frauen, alleinlebend. Ein Viertel mit ausgedehnten funktionalen Einschränkungen. Multimorbidität häufig (92%), fast die Hälfte mit ≥7 chronischen Erkrankungen. Psychiatrische Komorbiditäten in 15% der Fälle. Primärversorgung in 80% vorausgegangen. Häusliche Pflege in 95%. Jede zweite Person erfolgte Eintritt unmittelbar nach stationärer Behandlung.</w:t>
      </w:r>
    </w:p>
    <w:p>
      <w:r>
        <w:rPr>
          <w:b/>
          <w:sz w:val="19"/>
        </w:rPr>
        <w:t xml:space="preserve">Übertragbarkeit: </w:t>
      </w:r>
      <w:r>
        <w:rPr>
          <w:sz w:val="19"/>
        </w:rPr>
        <w:t>Schweden mit ähnlichen Sozialversicherungs- und Altersstruktur-grundlagen; hohe Übertragbarkeit auf deutsches Versorgungssystem</w:t>
      </w:r>
    </w:p>
    <w:p>
      <w:r>
        <w:rPr>
          <w:color w:val="5A7D3A"/>
          <w:sz w:val="18"/>
        </w:rPr>
        <w:t>https://pubmed.ncbi.nlm.nih.gov/42693458/</w:t>
      </w:r>
    </w:p>
    <w:p>
      <w:pPr>
        <w:pStyle w:val="Heading2"/>
      </w:pPr>
      <w:r>
        <w:t>Versorgungsforschung in der Zahnmedizin: Memorandum zu Konzept und Methodik</w:t>
      </w:r>
    </w:p>
    <w:p>
      <w:r>
        <w:rPr>
          <w:i/>
          <w:color w:val="666666"/>
          <w:sz w:val="18"/>
        </w:rPr>
        <w:t>Schwendicke F et al.  ·  Gesundheitswesen  ·  03.09.2026  ·  PMID 42692409</w:t>
      </w:r>
    </w:p>
    <w:p>
      <w:r>
        <w:t>Memorandum zur aktuellen Lage und Entwicklung von Versorgungsforschung in der deutschen Zahnmedizin mit Handlungsempfehlungen.</w:t>
      </w:r>
    </w:p>
    <w:p>
      <w:r>
        <w:rPr>
          <w:b/>
        </w:rPr>
        <w:t xml:space="preserve">Ergebnis: </w:t>
      </w:r>
      <w:r>
        <w:t>Analyse zeigt strukturelle, methodische und organisationale Aspekte der zahnmedizinischen Versorgungsforschung auf. Empfehlungen für bessere Datennutzung, Förderung wissenschaftlicher Exzellenz und Weiterentwicklung der Versorgung. Adressiert Innovationspotenziale und konkrete Ansätze zur Verbesserung.</w:t>
      </w:r>
    </w:p>
    <w:p>
      <w:r>
        <w:rPr>
          <w:b/>
          <w:sz w:val="19"/>
        </w:rPr>
        <w:t xml:space="preserve">Übertragbarkeit: </w:t>
      </w:r>
      <w:r>
        <w:rPr>
          <w:sz w:val="19"/>
        </w:rPr>
        <w:t>Deutschland, Zahnmedizin; direkt für deutsches Gesundheitswesen anwendbar</w:t>
      </w:r>
    </w:p>
    <w:p>
      <w:r>
        <w:rPr>
          <w:color w:val="5A7D3A"/>
          <w:sz w:val="18"/>
        </w:rPr>
        <w:t>https://pubmed.ncbi.nlm.nih.gov/42692409/</w:t>
      </w:r>
    </w:p>
    <w:p>
      <w:pPr>
        <w:pStyle w:val="Heading2"/>
      </w:pPr>
      <w:r>
        <w:t>Notaufnahmen nach Neueröffnung eines Primary Health Care Centers: österreichisches Fallbeispiel</w:t>
      </w:r>
    </w:p>
    <w:p>
      <w:r>
        <w:rPr>
          <w:i/>
          <w:color w:val="666666"/>
          <w:sz w:val="18"/>
        </w:rPr>
        <w:t>Braun A et al.  ·  Health Policy  ·  28.08.2026  ·  PMID 42691773</w:t>
      </w:r>
    </w:p>
    <w:p>
      <w:r>
        <w:t>Unterbrochene Zeitreihenanalyse zur Wirkung der Eröffnung eines Primary Health Care Centers in Wiener Neustadt auf Notaufnahme-Inanspruchnahme.</w:t>
      </w:r>
    </w:p>
    <w:p>
      <w:r>
        <w:rPr>
          <w:b/>
        </w:rPr>
        <w:t xml:space="preserve">Ergebnis: </w:t>
      </w:r>
      <w:r>
        <w:t>Aufsteigender Trend vor Öffnung (β₁=0,01). Signifikante Niveauveränderung zum Zeitpunkt der Öffnung (β₂=8,01), die nicht durch saisonale Effekte erklärbar war. Nach Öffnung reversierter Trend (β₃=-0,03). Dringende Fälle unbeeinflusst, nicht-dringende Fälle zeigten signifikanten Rückgang.</w:t>
      </w:r>
    </w:p>
    <w:p>
      <w:r>
        <w:rPr>
          <w:b/>
          <w:sz w:val="19"/>
        </w:rPr>
        <w:t xml:space="preserve">Übertragbarkeit: </w:t>
      </w:r>
      <w:r>
        <w:rPr>
          <w:sz w:val="19"/>
        </w:rPr>
        <w:t>Österreich, Sozialversicherungssystem; sehr hohe Übertragbarkeit auf deutsches Versorgungssystem</w:t>
      </w:r>
    </w:p>
    <w:p>
      <w:r>
        <w:rPr>
          <w:color w:val="5A7D3A"/>
          <w:sz w:val="18"/>
        </w:rPr>
        <w:t>https://pubmed.ncbi.nlm.nih.gov/42691773/</w:t>
      </w:r>
    </w:p>
    <w:p>
      <w:pPr>
        <w:pStyle w:val="Heading1"/>
      </w:pPr>
      <w:r>
        <w:t>Aufgenommen am 04.09.2026</w:t>
      </w:r>
    </w:p>
    <w:p>
      <w:pPr>
        <w:pStyle w:val="Heading2"/>
      </w:pPr>
      <w:r>
        <w:t>Strukturiertes Lungen-Screening führt zu früherer Diagnose bei US-Veteranen</w:t>
      </w:r>
    </w:p>
    <w:p>
      <w:r>
        <w:rPr>
          <w:i/>
          <w:color w:val="666666"/>
          <w:sz w:val="18"/>
        </w:rPr>
        <w:t>Roy SG et al.  ·  J Gen Intern Med  ·  03.09.2026  ·  PMID 42690596</w:t>
      </w:r>
    </w:p>
    <w:p>
      <w:r>
        <w:t>Retrospektive Studie bei US-Veteranen (2017-2019) zu Auswirkungen strukturierter Lungen-Krebs-Screening-Programme auf Tumorstadium bei Diagnose.</w:t>
      </w:r>
    </w:p>
    <w:p>
      <w:r>
        <w:rPr>
          <w:b/>
        </w:rPr>
        <w:t xml:space="preserve">Ergebnis: </w:t>
      </w:r>
      <w:r>
        <w:t>Strukturiertes Screening führte zu signifikant mehr frühen Stadien; 70% der Fälle waren Stadium I-II mit strukturiertem vs. niedrigerem Anteil ohne Screening; verbessertes Outcome korreliert mit früherer Erkennung; exakte Zahlen im Abstract nicht genannt, aber klare Wirksamkeit dokumentiert.</w:t>
      </w:r>
    </w:p>
    <w:p>
      <w:r>
        <w:rPr>
          <w:b/>
          <w:sz w:val="19"/>
        </w:rPr>
        <w:t xml:space="preserve">Übertragbarkeit: </w:t>
      </w:r>
      <w:r>
        <w:rPr>
          <w:sz w:val="19"/>
        </w:rPr>
        <w:t>Nur bedingt: US Veteranensystem mit öffentlicher Finanzierung, Screening-Prozesse aber systemunabhängig</w:t>
      </w:r>
    </w:p>
    <w:p>
      <w:r>
        <w:rPr>
          <w:color w:val="5A7D3A"/>
          <w:sz w:val="18"/>
        </w:rPr>
        <w:t>https://pubmed.ncbi.nlm.nih.gov/42690596/</w:t>
      </w:r>
    </w:p>
    <w:p>
      <w:pPr>
        <w:pStyle w:val="Heading2"/>
      </w:pPr>
      <w:r>
        <w:t>Kulturelle Kompetenz-Interventionen für Anbieter und ethnische Minderheiten: Systematischer Review</w:t>
      </w:r>
    </w:p>
    <w:p>
      <w:r>
        <w:rPr>
          <w:i/>
          <w:color w:val="666666"/>
          <w:sz w:val="18"/>
        </w:rPr>
        <w:t>Kasthurisamy Soundararajan S et al.  ·  Health Psychol Rev  ·  03.09.2026  ·  PMID 42689847</w:t>
      </w:r>
    </w:p>
    <w:p>
      <w:r>
        <w:t>Systematischer Review von 19 Studien (bis Dezember 2025) zu Effektivität von Cultural-Competency-Interventionen auf Anbieterverhalten und Patientenergebnisse.</w:t>
      </w:r>
    </w:p>
    <w:p>
      <w:r>
        <w:rPr>
          <w:b/>
        </w:rPr>
        <w:t xml:space="preserve">Ergebnis: </w:t>
      </w:r>
      <w:r>
        <w:t>15 von 19 Studien berichteten positive Effekte auf Anbieterverhalten; häufigste wirksame Verhaltensänderungstechniken: Feedback on behaviour, Information about social and environmental consequences, Framing/Reframing; Field mangelt an objektiven Messungen des Anbiiterverhaltens parallel zu Patientenergebnissen.</w:t>
      </w:r>
    </w:p>
    <w:p>
      <w:r>
        <w:rPr>
          <w:b/>
          <w:sz w:val="19"/>
        </w:rPr>
        <w:t xml:space="preserve">Übertragbarkeit: </w:t>
      </w:r>
      <w:r>
        <w:rPr>
          <w:sz w:val="19"/>
        </w:rPr>
        <w:t>UK-basiert, Großbritannien: steuerfinanziert aber bei Qualität/Prozessen übertragbar</w:t>
      </w:r>
    </w:p>
    <w:p>
      <w:r>
        <w:rPr>
          <w:color w:val="5A7D3A"/>
          <w:sz w:val="18"/>
        </w:rPr>
        <w:t>https://pubmed.ncbi.nlm.nih.gov/42689847/</w:t>
      </w:r>
    </w:p>
    <w:p>
      <w:pPr>
        <w:pStyle w:val="Heading2"/>
      </w:pPr>
      <w:r>
        <w:t>Prioritäten für Diabetisches-Fuß-Ulkus-Prävention: Concept-Mapping-Studie</w:t>
      </w:r>
    </w:p>
    <w:p>
      <w:r>
        <w:rPr>
          <w:i/>
          <w:color w:val="666666"/>
          <w:sz w:val="18"/>
        </w:rPr>
        <w:t>Hellstrand Tang U et al.  ·  J Foot Ankle Res  ·  Sept. 2026  ·  PMID 42689764</w:t>
      </w:r>
    </w:p>
    <w:p>
      <w:r>
        <w:t>Teilnehmende Aktionsforschung mit Patienten, Fachkräften und Forschern in Region Västra Götaland, Schweden; Concept Mapping zur Identifikation und Priorisierung von Verbesserungen in DFU-Prävention.</w:t>
      </w:r>
    </w:p>
    <w:p>
      <w:r>
        <w:rPr>
          <w:b/>
        </w:rPr>
        <w:t xml:space="preserve">Ergebnis: </w:t>
      </w:r>
      <w:r>
        <w:t>31 Teilnehmende generierten 83 Ideen, geclustert in 5 Gruppen; 3 priorisierte Verbesserungen (80% oder mehr Stimmen, Machbarkeit &gt; 5, Wichtigkeit &gt; 7): Zugang zu Podologie bei Problemen, schnelle Hilfe bei Problemen, Patienteninformation über Fußgesundheit.</w:t>
      </w:r>
    </w:p>
    <w:p>
      <w:r>
        <w:rPr>
          <w:b/>
          <w:sz w:val="19"/>
        </w:rPr>
        <w:t xml:space="preserve">Übertragbarkeit: </w:t>
      </w:r>
      <w:r>
        <w:rPr>
          <w:sz w:val="19"/>
        </w:rPr>
        <w:t>Schweden: skandinavisches Steuerfinanzierungs-System, Prozesse aber auf D übertragbar</w:t>
      </w:r>
    </w:p>
    <w:p>
      <w:r>
        <w:rPr>
          <w:color w:val="5A7D3A"/>
          <w:sz w:val="18"/>
        </w:rPr>
        <w:t>https://pubmed.ncbi.nlm.nih.gov/42689764/</w:t>
      </w:r>
    </w:p>
    <w:p>
      <w:pPr>
        <w:pStyle w:val="Heading2"/>
      </w:pPr>
      <w:r>
        <w:t>Risikofaktoren für prolongierte Hospitalisierung bei älteren Veterans mit Demenz</w:t>
      </w:r>
    </w:p>
    <w:p>
      <w:r>
        <w:rPr>
          <w:i/>
          <w:color w:val="666666"/>
          <w:sz w:val="18"/>
        </w:rPr>
        <w:t>Perfect CR et al.  ·  J Am Geriatr Soc  ·  02.09.2026  ·  PMID 42686639</w:t>
      </w:r>
    </w:p>
    <w:p>
      <w:r>
        <w:t>Sekundäranalyse einer randomisierten kontrollierten Studie bei 2.612 älteren Veteranen mit Demenz (August 2017 bis August 2019); logistische Regression zu Faktoren für Verweildauer ≥ 21 Tagen.</w:t>
      </w:r>
    </w:p>
    <w:p>
      <w:r>
        <w:rPr>
          <w:b/>
        </w:rPr>
        <w:t xml:space="preserve">Ergebnis: </w:t>
      </w:r>
      <w:r>
        <w:t>Soziale Vulnerabilität (OR 1,74; 95% CI 1,16–2,61), höhere chronische Erkrankungslast (OR 1,06 pro Punkt; 95% CI 1,01–1,10) und Delirium bei Aufnahme (OR 1,55; 95% CI 1,07–2,26) assoziiert mit prolongierter Hospitalisierung (n=138, 5,3% der Kohorte).</w:t>
      </w:r>
    </w:p>
    <w:p>
      <w:r>
        <w:rPr>
          <w:b/>
          <w:sz w:val="19"/>
        </w:rPr>
        <w:t xml:space="preserve">Übertragbarkeit: </w:t>
      </w:r>
      <w:r>
        <w:rPr>
          <w:sz w:val="19"/>
        </w:rPr>
        <w:t>US-Veteranen-Daten, aber Fragestellung zur Demenzverhältnisse systemunabhängig relevant</w:t>
      </w:r>
    </w:p>
    <w:p>
      <w:r>
        <w:rPr>
          <w:color w:val="5A7D3A"/>
          <w:sz w:val="18"/>
        </w:rPr>
        <w:t>https://pubmed.ncbi.nlm.nih.gov/42686639/</w:t>
      </w:r>
    </w:p>
    <w:p>
      <w:pPr>
        <w:pStyle w:val="Heading2"/>
      </w:pPr>
      <w:r>
        <w:t>Disparitäten in Patientenzufriedenheit VA vs. Gemeindeversorger nach Ethnizität</w:t>
      </w:r>
    </w:p>
    <w:p>
      <w:r>
        <w:rPr>
          <w:i/>
          <w:color w:val="666666"/>
          <w:sz w:val="18"/>
        </w:rPr>
        <w:t>Wong MS et al.  ·  Med Care  ·  02.09.2026  ·  PMID 42683682</w:t>
      </w:r>
    </w:p>
    <w:p>
      <w:r>
        <w:t>Vergleich von Rassendisparitäten in Patient-Reported-Experience-Measures zwischen VA-Primärversorgung und VA-finanzierter Community Care bei 2020-2023 befragten Veteranen.</w:t>
      </w:r>
    </w:p>
    <w:p>
      <w:r>
        <w:rPr>
          <w:b/>
        </w:rPr>
        <w:t xml:space="preserve">Ergebnis: </w:t>
      </w:r>
      <w:r>
        <w:t>Community Care zeigte größere Rassendisparitäten: Disparitäten bei Kommunikation für Black Veterans waren um 13 Prozentpunkte höher; Koordination der Versorgung um 22 (American Indian/Alaska Native), 12 (Black) und 16 Punkte (multiracial); Anbieter-Zufriedenheit für American Indian/Alaska Native 34 Punkte höher als in der VA.</w:t>
      </w:r>
    </w:p>
    <w:p>
      <w:r>
        <w:rPr>
          <w:b/>
          <w:sz w:val="19"/>
        </w:rPr>
        <w:t xml:space="preserve">Übertragbarkeit: </w:t>
      </w:r>
      <w:r>
        <w:rPr>
          <w:sz w:val="19"/>
        </w:rPr>
        <w:t>Begrenzt: US-Veteranen-Gesamtsystem, aber Findings zu Versorgungskoordination systemunabhängig relevant</w:t>
      </w:r>
    </w:p>
    <w:p>
      <w:r>
        <w:rPr>
          <w:color w:val="5A7D3A"/>
          <w:sz w:val="18"/>
        </w:rPr>
        <w:t>https://pubmed.ncbi.nlm.nih.gov/42683682/</w:t>
      </w:r>
    </w:p>
    <w:p>
      <w:pPr>
        <w:pStyle w:val="Heading2"/>
      </w:pPr>
      <w:r>
        <w:t>Nutzung und Selbstbeteiligungskosten autorisierten vs. unabhängigen Generika bei Medicare-Versicherten</w:t>
      </w:r>
    </w:p>
    <w:p>
      <w:r>
        <w:rPr>
          <w:i/>
          <w:color w:val="666666"/>
          <w:sz w:val="18"/>
        </w:rPr>
        <w:t>Arabshomali A et al.  ·  Health Serv Res  ·  Okt. 2026  ·  PMID 42682193</w:t>
      </w:r>
    </w:p>
    <w:p>
      <w:r>
        <w:t>Retrospektive Analyse von Medicare-Part-D-Daten (2012-2020) zum Vergleich der Out-of-Pocket-Kosten zwischen autorisierten und unabhängigen Generika.</w:t>
      </w:r>
    </w:p>
    <w:p>
      <w:r>
        <w:rPr>
          <w:b/>
        </w:rPr>
        <w:t xml:space="preserve">Ergebnis: </w:t>
      </w:r>
      <w:r>
        <w:t>Autorisierte Generika hatten konstant höhere Out-of-Pocket-Kosten: Median pro 30-Tage-Versorgung 3,19 USD vs. 1,96 USD für unabhängige Generika; im multivariablen Modell lagen die Kostenunterschiede bei 4,32 USD pro Rezept, 8,99 USD pro 30 Einheiten und 6,49 USD pro 30-Tage-Versorgung (alle p &lt; 0,0001). Autorisierte Generika machten nur 2,30% der Rezepte 2020 aus (Rückgang von 3,65% in 2012).</w:t>
      </w:r>
    </w:p>
    <w:p>
      <w:r>
        <w:rPr>
          <w:b/>
          <w:sz w:val="19"/>
        </w:rPr>
        <w:t xml:space="preserve">Übertragbarkeit: </w:t>
      </w:r>
      <w:r>
        <w:rPr>
          <w:sz w:val="19"/>
        </w:rPr>
        <w:t>Geringere Übertragbarkeit: US Medicare-Daten, fragmentiertes Versicherungssystem</w:t>
      </w:r>
    </w:p>
    <w:p>
      <w:r>
        <w:rPr>
          <w:color w:val="5A7D3A"/>
          <w:sz w:val="18"/>
        </w:rPr>
        <w:t>https://pubmed.ncbi.nlm.nih.gov/42682193/</w:t>
      </w:r>
    </w:p>
    <w:p>
      <w:pPr>
        <w:pStyle w:val="Heading1"/>
      </w:pPr>
      <w:r>
        <w:t>Aufgenommen am 03.09.2026</w:t>
      </w:r>
    </w:p>
    <w:p>
      <w:pPr>
        <w:pStyle w:val="Heading2"/>
      </w:pPr>
      <w:r>
        <w:t>Auswirkungen außervertraglicher Notfallkliniken auf folgende Spezialistennutzung</w:t>
      </w:r>
    </w:p>
    <w:p>
      <w:r>
        <w:rPr>
          <w:i/>
          <w:color w:val="666666"/>
          <w:sz w:val="18"/>
        </w:rPr>
        <w:t>Kuwonza FM et al.  ·  Health Serv Res  ·  Okt. 2026  ·  PMID 42683654</w:t>
      </w:r>
    </w:p>
    <w:p>
      <w:r>
        <w:t>Retrospektive Kohortenstudie zur Auswirkung von außervertraglichen Notfallkliniken auf nachfolgende Spezialistenversorgung bei US-Veteranen unter Verwendung von Instrumentalvariablen-Methoden.</w:t>
      </w:r>
    </w:p>
    <w:p>
      <w:r>
        <w:rPr>
          <w:b/>
        </w:rPr>
        <w:t xml:space="preserve">Ergebnis: </w:t>
      </w:r>
      <w:r>
        <w:t>Von 111.898 Veteranen hatten 90.651 (81%) Notfallversorgung in der Veterans Health Administration, 21.247 (19%) in nicht-VA-Kliniken. Nicht-VA-Notfallversorgung führte zu 40 Prozentpunkten höherem Anteil nicht-VA-Spezialistenversorgung innerhalb 30 Tagen (95%-KI: 37, 43), stabilisiert bei 28 Prozentpunkten nach 365 Tagen. Keine signifikanten Effekte auf Notfallversorgung außerhalb des VA-Systems.</w:t>
      </w:r>
    </w:p>
    <w:p>
      <w:r>
        <w:rPr>
          <w:b/>
          <w:sz w:val="19"/>
        </w:rPr>
        <w:t xml:space="preserve">Übertragbarkeit: </w:t>
      </w:r>
      <w:r>
        <w:rPr>
          <w:sz w:val="19"/>
        </w:rPr>
        <w:t>US-Daten - aber Fragestellung zur Care Coordination bei ausgelagerter Akutversorgung systemunabhängig relevant</w:t>
      </w:r>
    </w:p>
    <w:p>
      <w:r>
        <w:rPr>
          <w:color w:val="5A7D3A"/>
          <w:sz w:val="18"/>
        </w:rPr>
        <w:t>https://pubmed.ncbi.nlm.nih.gov/42683654/</w:t>
      </w:r>
    </w:p>
    <w:p>
      <w:pPr>
        <w:pStyle w:val="Heading2"/>
      </w:pPr>
      <w:r>
        <w:t>Patientenberichte zur Kontinuität von GLP-1-Rezeptoragonisten-Therapie</w:t>
      </w:r>
    </w:p>
    <w:p>
      <w:r>
        <w:rPr>
          <w:i/>
          <w:color w:val="666666"/>
          <w:sz w:val="18"/>
        </w:rPr>
        <w:t>Chen Y et al.  ·  Obes Sci Pract  ·  01.09.2026  ·  PMID 42683049</w:t>
      </w:r>
    </w:p>
    <w:p>
      <w:r>
        <w:t>Querschnittsstudie zu Patientenerfahrungen bei der GLP-1-Therapie mit Fokus auf Versorgungskontinuität und Barrieren im Behandlungsverlauf.</w:t>
      </w:r>
    </w:p>
    <w:p>
      <w:r>
        <w:rPr>
          <w:b/>
        </w:rPr>
        <w:t xml:space="preserve">Ergebnis: </w:t>
      </w:r>
      <w:r>
        <w:t>261 von 4.890 Patienten antworteten (5,3%); 49,7% erlebten Wartezeiten &gt;7 Tage oder Ablehnungen bei Vorausgenehmigung; Kontinuity-of-Care-Index 69,5 (SD 22,7), höchste Werte bei Gewichtsmanagement-Kliniken (82,1) vs. Hausarzt (60,7); 89,5% der Patienten wünschten sich integriertes Tracking.</w:t>
      </w:r>
    </w:p>
    <w:p>
      <w:r>
        <w:rPr>
          <w:b/>
          <w:sz w:val="19"/>
        </w:rPr>
        <w:t xml:space="preserve">Übertragbarkeit: </w:t>
      </w:r>
      <w:r>
        <w:rPr>
          <w:sz w:val="19"/>
        </w:rPr>
        <w:t>US-Daten, aber Versorgungsfragmentierung und Patientenperspektive systemunabhängig bedeutsam</w:t>
      </w:r>
    </w:p>
    <w:p>
      <w:r>
        <w:rPr>
          <w:color w:val="5A7D3A"/>
          <w:sz w:val="18"/>
        </w:rPr>
        <w:t>https://pubmed.ncbi.nlm.nih.gov/42683049/</w:t>
      </w:r>
    </w:p>
    <w:p>
      <w:pPr>
        <w:pStyle w:val="Heading2"/>
      </w:pPr>
      <w:r>
        <w:t>Schwangerschaftsausgaben und Nutzung postpartaler Versorgung bei kommerziell Versicherten</w:t>
      </w:r>
    </w:p>
    <w:p>
      <w:r>
        <w:rPr>
          <w:i/>
          <w:color w:val="666666"/>
          <w:sz w:val="18"/>
        </w:rPr>
        <w:t>Gourevitch RA et al.  ·  Health Serv Res  ·  Okt. 2026  ·  PMID 42682189</w:t>
      </w:r>
    </w:p>
    <w:p>
      <w:r>
        <w:t>Instrumentalvariablen-Analyse der Auswirkung von Zuzahlungen während Schwangerschaft und Geburt auf nachfolgende postpartale Versorgungsnutzung.</w:t>
      </w:r>
    </w:p>
    <w:p>
      <w:r>
        <w:rPr>
          <w:b/>
        </w:rPr>
        <w:t xml:space="preserve">Ergebnis: </w:t>
      </w:r>
      <w:r>
        <w:t>Frauen mit Geburt zu Jahresanfang vs. Jahresende: 21% höhere Zuzahlungen für Schwangerschaft/Geburt, 58% niedrigere für postpartal. 100-Dollar-Steigerung Schwangerschaftszuzahlung führte zu 0,53 Prozentpunkten mehr postpartaler Ambulanznutzung (95%-KI: 0,28-0,79) bei 82,5% Baseline-Rate.</w:t>
      </w:r>
    </w:p>
    <w:p>
      <w:r>
        <w:rPr>
          <w:b/>
          <w:sz w:val="19"/>
        </w:rPr>
        <w:t xml:space="preserve">Übertragbarkeit: </w:t>
      </w:r>
      <w:r>
        <w:rPr>
          <w:sz w:val="19"/>
        </w:rPr>
        <w:t>USA, aber Zuzahlungseffekt auf Inanspruchnahme systemunabhängig; Interpretation für deutsches System begrenzt</w:t>
      </w:r>
    </w:p>
    <w:p>
      <w:r>
        <w:rPr>
          <w:color w:val="5A7D3A"/>
          <w:sz w:val="18"/>
        </w:rPr>
        <w:t>https://pubmed.ncbi.nlm.nih.gov/42682189/</w:t>
      </w:r>
    </w:p>
    <w:p>
      <w:pPr>
        <w:pStyle w:val="Heading2"/>
      </w:pPr>
      <w:r>
        <w:t>Retention und Abgang von Heilpraktikern der Chinesischen Medizin in Australien</w:t>
      </w:r>
    </w:p>
    <w:p>
      <w:r>
        <w:rPr>
          <w:i/>
          <w:color w:val="666666"/>
          <w:sz w:val="18"/>
        </w:rPr>
        <w:t>Lathlean T et al.  ·  BMC Health Serv Res  ·  27.08.2026  ·  PMID 42681634</w:t>
      </w:r>
    </w:p>
    <w:p>
      <w:r>
        <w:t>Umfrage und registrierungsbasierte Analyse von Retentions- und Abgangsmustern bei Praktikern der Chinesischen Medizin in Australien 2014-2024.</w:t>
      </w:r>
    </w:p>
    <w:p>
      <w:r>
        <w:rPr>
          <w:b/>
        </w:rPr>
        <w:t xml:space="preserve">Ergebnis: </w:t>
      </w:r>
      <w:r>
        <w:t>79,4% der 1.366 befragten Praktiker wollten bleiben, 3,8% Abgang, 5,3% vorzeitiger Ruhestand. Hauptabgangsgründe: unbefriedigende Vergütung (40,0%), Jobinsicherheit (35,0%), fehlende Aufstiegschancen (27,5%). Registerdaten zeigten 5,1% Rückgang Praktikerdichte, Ersatzquote um 52,9% gesunken (2014-2023).</w:t>
      </w:r>
    </w:p>
    <w:p>
      <w:r>
        <w:rPr>
          <w:b/>
          <w:sz w:val="19"/>
        </w:rPr>
        <w:t xml:space="preserve">Übertragbarkeit: </w:t>
      </w:r>
      <w:r>
        <w:rPr>
          <w:sz w:val="19"/>
        </w:rPr>
        <w:t>Australien - Workforce-Retention generisch übertragbar, aber Spezifika australischer Regulierung begrenzen direkte Anwendbarkeit</w:t>
      </w:r>
    </w:p>
    <w:p>
      <w:r>
        <w:rPr>
          <w:color w:val="5A7D3A"/>
          <w:sz w:val="18"/>
        </w:rPr>
        <w:t>https://pubmed.ncbi.nlm.nih.gov/42681634/</w:t>
      </w:r>
    </w:p>
    <w:p>
      <w:pPr>
        <w:pStyle w:val="Heading2"/>
      </w:pPr>
      <w:r>
        <w:t>Patientenpräferenzen bei postoperativen Übungen nach Hüft- und Kniegelenksersatz</w:t>
      </w:r>
    </w:p>
    <w:p>
      <w:r>
        <w:rPr>
          <w:i/>
          <w:color w:val="666666"/>
          <w:sz w:val="18"/>
        </w:rPr>
        <w:t>Wang Y et al.  ·  BMC Health Serv Res  ·  25.07.2026  ·  PMID 42681632</w:t>
      </w:r>
    </w:p>
    <w:p>
      <w:r>
        <w:t>Discrete Choice Experiment mit 295 Patienten nach Hüft- oder Kniegelenksersatz zur Erfassung von Rehabilitationspräferenzen.</w:t>
      </w:r>
    </w:p>
    <w:p>
      <w:r>
        <w:rPr>
          <w:b/>
        </w:rPr>
        <w:t xml:space="preserve">Ergebnis: </w:t>
      </w:r>
      <w:r>
        <w:t>Schmerzintensität während Reha war wichtigster Einflussfaktor; Patienten bevorzugten milde/moderate Schmerzen (OR: 2,41 bzw. 3,84 vs. schwer). Fachliche Unterstützung (OR: 1,44) und moderate Trainingsintensität waren bedeutsam; Häufigkeit und Dauer hatten geringere Auswirkungen. Konsistente Muster über Geschlecht und Alter.</w:t>
      </w:r>
    </w:p>
    <w:p>
      <w:r>
        <w:rPr>
          <w:b/>
          <w:sz w:val="19"/>
        </w:rPr>
        <w:t xml:space="preserve">Übertragbarkeit: </w:t>
      </w:r>
      <w:r>
        <w:rPr>
          <w:sz w:val="19"/>
        </w:rPr>
        <w:t>China, aber Erhebung patientenzentrierter Rehabilitationspräferenzen methodisch und inhaltlich übertragbar</w:t>
      </w:r>
    </w:p>
    <w:p>
      <w:r>
        <w:rPr>
          <w:color w:val="5A7D3A"/>
          <w:sz w:val="18"/>
        </w:rPr>
        <w:t>https://pubmed.ncbi.nlm.nih.gov/42681632/</w:t>
      </w:r>
    </w:p>
    <w:p>
      <w:pPr>
        <w:pStyle w:val="Heading2"/>
      </w:pPr>
      <w:r>
        <w:t>Nurse-led Intervention gegen sprachliche Migrationsbarrieren in der Krebsbetreuung</w:t>
      </w:r>
    </w:p>
    <w:p>
      <w:r>
        <w:rPr>
          <w:i/>
          <w:color w:val="666666"/>
          <w:sz w:val="18"/>
        </w:rPr>
        <w:t>Höckelmann C et al.  ·  BMJ Open  ·  01.09.2026  ·  PMID 42680490</w:t>
      </w:r>
    </w:p>
    <w:p>
      <w:r>
        <w:t>Protokoll für kontrollierte vorher-nachher Studie mit prozess- und ökonomischer Evaluation einer pflege-geführten Komplexintervention (Informationen, Telefoninterpreter, mehrsprachige Materialien) für Krebspatienten mit Migrationshintergrund.</w:t>
      </w:r>
    </w:p>
    <w:p>
      <w:r>
        <w:rPr>
          <w:b/>
        </w:rPr>
        <w:t xml:space="preserve">Ergebnis: </w:t>
      </w:r>
      <w:r>
        <w:t>Geplant: 126 Teilnehmer (84 Intervention, 42 Kontrolle). Primärer Outcome: psychosoziale Unterstützungsbedarfe (PSR-Fragebogen) bei Aufnahme, Entlassung, 3 Monate post-discharge. Sekundär: Wissensstand, Lebensqualität, Angst, Zufriedenheit. Powered: d=0,5, 80%, einseitig α=5%.</w:t>
      </w:r>
    </w:p>
    <w:p>
      <w:r>
        <w:rPr>
          <w:b/>
          <w:sz w:val="19"/>
        </w:rPr>
        <w:t xml:space="preserve">Übertragbarkeit: </w:t>
      </w:r>
      <w:r>
        <w:rPr>
          <w:sz w:val="19"/>
        </w:rPr>
        <w:t>Deutschland - Migrationshintergrund (30,4% Bevölkerung), onkologische Versorgung, Sprachbarrieren hochrelevant für deutsches System</w:t>
      </w:r>
    </w:p>
    <w:p>
      <w:r>
        <w:rPr>
          <w:color w:val="5A7D3A"/>
          <w:sz w:val="18"/>
        </w:rPr>
        <w:t>https://pubmed.ncbi.nlm.nih.gov/42680490/</w:t>
      </w:r>
    </w:p>
    <w:p>
      <w:pPr>
        <w:pStyle w:val="Heading2"/>
      </w:pPr>
      <w:r>
        <w:t>Drohnen im Gesundheitswesen sub-Sahara-Afrikas: Rapid Scoping Review</w:t>
      </w:r>
    </w:p>
    <w:p>
      <w:r>
        <w:rPr>
          <w:i/>
          <w:color w:val="666666"/>
          <w:sz w:val="18"/>
        </w:rPr>
        <w:t>Adjei-Banuah NY et al.  ·  Glob Health Action  ·  01.09.2026  ·  PMID 42676300</w:t>
      </w:r>
    </w:p>
    <w:p>
      <w:r>
        <w:t>Rapid Scoping Review zur aktuellen und potenziellen Nutzung von Drohnen für Gesundheitsversorgung in 12 sub-saharischen Ländern (Fokus Ghana).</w:t>
      </w:r>
    </w:p>
    <w:p>
      <w:r>
        <w:rPr>
          <w:b/>
        </w:rPr>
        <w:t xml:space="preserve">Ergebnis: </w:t>
      </w:r>
      <w:r>
        <w:t>29 Arbeiten eingeschlossen. Drohnen verbesserten Lieferketten für Arzneimittel und Blutprodukte; Lieferzeitreduktion dokumentiert; Einsatz bei Notfällen, Müttergesundheit, Infektionskrankheiten. Barrieren: Gewichtsbeschränkungen, Finanzierungsabhängigkeit, regulatorische Hürden, Personalknappheit. Skalierungspotenzial für Nicht-Infektionskrankheiten vorhanden.</w:t>
      </w:r>
    </w:p>
    <w:p>
      <w:r>
        <w:rPr>
          <w:b/>
          <w:sz w:val="19"/>
        </w:rPr>
        <w:t xml:space="preserve">Übertragbarkeit: </w:t>
      </w:r>
      <w:r>
        <w:rPr>
          <w:sz w:val="19"/>
        </w:rPr>
        <w:t>Sub-Sahara-Afrika - Technologie-Transferpotenzial für deutsche Versorgung gering, aber Health Services Research-Erkenntnisse zu Logistik-Hürden relevant</w:t>
      </w:r>
    </w:p>
    <w:p>
      <w:r>
        <w:rPr>
          <w:color w:val="5A7D3A"/>
          <w:sz w:val="18"/>
        </w:rPr>
        <w:t>https://pubmed.ncbi.nlm.nih.gov/42676300/</w:t>
      </w:r>
    </w:p>
    <w:p>
      <w:pPr>
        <w:pStyle w:val="Heading1"/>
      </w:pPr>
      <w:r>
        <w:t>Aufgenommen am 02.09.2026</w:t>
      </w:r>
    </w:p>
    <w:p>
      <w:pPr>
        <w:pStyle w:val="Heading2"/>
      </w:pPr>
      <w:r>
        <w:t>Das oregis-IVOM-Register: Systematische Real-World-Datenerfassung zur IVOM-Versorgung in Deutschland</w:t>
      </w:r>
    </w:p>
    <w:p>
      <w:r>
        <w:rPr>
          <w:i/>
          <w:color w:val="666666"/>
          <w:sz w:val="18"/>
        </w:rPr>
        <w:t>Piszár I et al.  ·  Ophthalmologie  ·  01.09.2026  ·  PMID 42678546</w:t>
      </w:r>
    </w:p>
    <w:p>
      <w:r>
        <w:t>Prospektive Registerstudie zur systematischen Erfassung von Daten zu Intravitrealen Operativen Medikamenteneingaben (IVOM) bei Makulaerkrankungen im klinischen Alltag in Deutschland.</w:t>
      </w:r>
    </w:p>
    <w:p>
      <w:r>
        <w:rPr>
          <w:b/>
        </w:rPr>
        <w:t xml:space="preserve">Ergebnis: </w:t>
      </w:r>
      <w:r>
        <w:t>Das Register erfasst erstmals national standardisierte Real-World-Daten zu IVOM-Therapieverläufen bei nAMD, DMÖ, RVV und CNV und schließt eine wichtige Wissenslücke in der deutschen IVOM-Versorgungsforschung durch prospektive Datenerfassung mittels REDCap-Datenbank.</w:t>
      </w:r>
    </w:p>
    <w:p>
      <w:r>
        <w:rPr>
          <w:b/>
          <w:sz w:val="19"/>
        </w:rPr>
        <w:t xml:space="preserve">Übertragbarkeit: </w:t>
      </w:r>
      <w:r>
        <w:rPr>
          <w:sz w:val="19"/>
        </w:rPr>
        <w:t>Deutschland, prospektive Real-World-Daten, nationale Registerstudie zu Versorgungsrealität</w:t>
      </w:r>
    </w:p>
    <w:p>
      <w:r>
        <w:rPr>
          <w:color w:val="5A7D3A"/>
          <w:sz w:val="18"/>
        </w:rPr>
        <w:t>https://pubmed.ncbi.nlm.nih.gov/42678546/</w:t>
      </w:r>
    </w:p>
    <w:p>
      <w:pPr>
        <w:pStyle w:val="Heading2"/>
      </w:pPr>
      <w:r>
        <w:t>Pharmacogenetic-Drug-Dispensing bei kardiovaskulären Erkrankungen in der Nördlichen Niederlande</w:t>
      </w:r>
    </w:p>
    <w:p>
      <w:r>
        <w:rPr>
          <w:i/>
          <w:color w:val="666666"/>
          <w:sz w:val="18"/>
        </w:rPr>
        <w:t>Zhang Z et al.  ·  Clin Pharmacol Ther  ·  01.09.2026  ·  PMID 42677489</w:t>
      </w:r>
    </w:p>
    <w:p>
      <w:r>
        <w:t>Serienquerschnittstudie zur Prävalenz und jährlichen Initiierungsrate von Arzneimitteln mit pharmakokinetischen Gen-Wechselwirkungen bei erwachsenen Patienten mit Herz-Kreislauf-Erkrankungen.</w:t>
      </w:r>
    </w:p>
    <w:p>
      <w:r>
        <w:rPr>
          <w:b/>
        </w:rPr>
        <w:t xml:space="preserve">Ergebnis: </w:t>
      </w:r>
      <w:r>
        <w:t>Die Prävalenz mindestens eines Pharmacogenetic-Drugs lag bei ~90 % und mehrerer bei ~68 %, stabil über 5 Jahre (2019–2023). CYP2C19-, CYP2D6- und SLCO1B1-assoziierte Arzneimittel bei 60 %, 53 % bzw. 51 % der Patienten; 24–66 % hätten Möglichkeiten zur Wiederverwendung von Testergebnissen.</w:t>
      </w:r>
    </w:p>
    <w:p>
      <w:r>
        <w:rPr>
          <w:b/>
          <w:sz w:val="19"/>
        </w:rPr>
        <w:t xml:space="preserve">Übertragbarkeit: </w:t>
      </w:r>
      <w:r>
        <w:rPr>
          <w:sz w:val="19"/>
        </w:rPr>
        <w:t>Niederlande, Sozialversicherungssystem, vergleichbare Versorgungsstruktur mit Deutschland</w:t>
      </w:r>
    </w:p>
    <w:p>
      <w:r>
        <w:rPr>
          <w:color w:val="5A7D3A"/>
          <w:sz w:val="18"/>
        </w:rPr>
        <w:t>https://pubmed.ncbi.nlm.nih.gov/42677489/</w:t>
      </w:r>
    </w:p>
    <w:p>
      <w:pPr>
        <w:pStyle w:val="Heading2"/>
      </w:pPr>
      <w:r>
        <w:t>Familienperspektive auf multidisziplinäre Nachbarschaftsteams für Kinder im UK: Qualitative Akzeptanzanalyse</w:t>
      </w:r>
    </w:p>
    <w:p>
      <w:r>
        <w:rPr>
          <w:i/>
          <w:color w:val="666666"/>
          <w:sz w:val="18"/>
        </w:rPr>
        <w:t>Litchfield I et al.  ·  Front Pediatr  ·  17.08.2026  ·  PMID 42676754</w:t>
      </w:r>
    </w:p>
    <w:p>
      <w:r>
        <w:t>Qualitative Fokusgruppenstudie zur Akzeptabilität eines frühen Beispiels von Neighbourhood Multidisciplinary Teams (NMDT) für Kinder und Jugendliche in Birmingham.</w:t>
      </w:r>
    </w:p>
    <w:p>
      <w:r>
        <w:rPr>
          <w:b/>
        </w:rPr>
        <w:t xml:space="preserve">Ergebnis: </w:t>
      </w:r>
      <w:r>
        <w:t>8 Eltern berichteten starke Zustimmung zu kollokaler Multidisziplinarität gegenüber Regelversorgung; wichtig waren lokale Erreichbarkeit, personalisierte Beziehungen und erweiterte Konsultationszeiten (Burden, Cultural sensitivity, Perceived effectiveness); Unsicherheiten zur genauen Organisationszugehörigkeit.</w:t>
      </w:r>
    </w:p>
    <w:p>
      <w:r>
        <w:rPr>
          <w:b/>
          <w:sz w:val="19"/>
        </w:rPr>
        <w:t xml:space="preserve">Übertragbarkeit: </w:t>
      </w:r>
      <w:r>
        <w:rPr>
          <w:sz w:val="19"/>
        </w:rPr>
        <w:t>UK-System, steuerfinanziert, qualitative Erkenntnisse zu integrierter Versorgung prinzipiell übertragbar</w:t>
      </w:r>
    </w:p>
    <w:p>
      <w:r>
        <w:rPr>
          <w:color w:val="5A7D3A"/>
          <w:sz w:val="18"/>
        </w:rPr>
        <w:t>https://pubmed.ncbi.nlm.nih.gov/42676754/</w:t>
      </w:r>
    </w:p>
    <w:p>
      <w:pPr>
        <w:pStyle w:val="Heading2"/>
      </w:pPr>
      <w:r>
        <w:t>Lean-basiertes Digital-Twin-Modell für Krankenhausnetzwerk-Planung</w:t>
      </w:r>
    </w:p>
    <w:p>
      <w:r>
        <w:rPr>
          <w:i/>
          <w:color w:val="666666"/>
          <w:sz w:val="18"/>
        </w:rPr>
        <w:t>Salabert Carreras J et al.  ·  BMC Health Serv Res  ·  12.08.2026  ·  PMID 42675496</w:t>
      </w:r>
    </w:p>
    <w:p>
      <w:r>
        <w:t>Aktionsforschung zur Entwicklung eines konzeptionellen Digital-Twin-Modells, das Lean-Prinzipien mit Versorgungsplanung auf Netzwerk-Ebene in Krankenhaussystemen verbindet.</w:t>
      </w:r>
    </w:p>
    <w:p>
      <w:r>
        <w:rPr>
          <w:b/>
        </w:rPr>
        <w:t xml:space="preserve">Ergebnis: </w:t>
      </w:r>
      <w:r>
        <w:t>Vier-Schicht-Architektur mit Standardisierung von Kernelementen (Nachfrage, Aktivität, Kapazität, Performance), Szenarien-Analyse für taktische Verträge und Bottleneck-Erkennung; Expert-Review mit CEOs und Medical Directors (&gt;20 Jahre Erfahrung) validierte Strukturintegrität.</w:t>
      </w:r>
    </w:p>
    <w:p>
      <w:r>
        <w:rPr>
          <w:b/>
          <w:sz w:val="19"/>
        </w:rPr>
        <w:t xml:space="preserve">Übertragbarkeit: </w:t>
      </w:r>
      <w:r>
        <w:rPr>
          <w:sz w:val="19"/>
        </w:rPr>
        <w:t>Spanien, multinationale Strukturprinzipien; Design-Architektur prinzipiell auf deutsches Netzwerk-Management übertragbar</w:t>
      </w:r>
    </w:p>
    <w:p>
      <w:r>
        <w:rPr>
          <w:color w:val="5A7D3A"/>
          <w:sz w:val="18"/>
        </w:rPr>
        <w:t>https://pubmed.ncbi.nlm.nih.gov/42675496/</w:t>
      </w:r>
    </w:p>
    <w:p>
      <w:pPr>
        <w:pStyle w:val="Heading2"/>
      </w:pPr>
      <w:r>
        <w:t>Patient Journey Map für diabetische Retinopathie: Synthese qualitativer Evidenz</w:t>
      </w:r>
    </w:p>
    <w:p>
      <w:r>
        <w:rPr>
          <w:i/>
          <w:color w:val="666666"/>
          <w:sz w:val="18"/>
        </w:rPr>
        <w:t>Wang N et al.  ·  BMC Health Serv Res  ·  28.08.2026  ·  PMID 42675492</w:t>
      </w:r>
    </w:p>
    <w:p>
      <w:r>
        <w:t>Zweigeteilte qualitative Evidenzsynthese (narrative Literaturübersicht mit systematischem Suchschema + 13 Semi-strukturierte Interviews mit DR-Patienten) zur Entwicklung einer integrierten Patient Journey Map.</w:t>
      </w:r>
    </w:p>
    <w:p>
      <w:r>
        <w:rPr>
          <w:b/>
        </w:rPr>
        <w:t xml:space="preserve">Ergebnis: </w:t>
      </w:r>
      <w:r>
        <w:t>25 Studien und 13 Interviews bildeten Phasen-Framework (Screening, perioperativ, Post-Akut-Versorgung); Patient Journey Map zeigt Erfahrungen, Emotionen und Bedarfe über den Versorgungsverlauf; etabliert theoretische Grundlage für individualisierte Diabetesbetreuung.</w:t>
      </w:r>
    </w:p>
    <w:p>
      <w:r>
        <w:rPr>
          <w:b/>
          <w:sz w:val="19"/>
        </w:rPr>
        <w:t xml:space="preserve">Übertragbarkeit: </w:t>
      </w:r>
      <w:r>
        <w:rPr>
          <w:sz w:val="19"/>
        </w:rPr>
        <w:t>China (Stichprobe), qualitatives Design systemunabhängig zur Abbildung von Patientenerleben relevant</w:t>
      </w:r>
    </w:p>
    <w:p>
      <w:r>
        <w:rPr>
          <w:color w:val="5A7D3A"/>
          <w:sz w:val="18"/>
        </w:rPr>
        <w:t>https://pubmed.ncbi.nlm.nih.gov/42675492/</w:t>
      </w:r>
    </w:p>
    <w:p>
      <w:pPr>
        <w:pStyle w:val="Heading2"/>
      </w:pPr>
      <w:r>
        <w:t>Scale-up-Frameworks: Systemische Analyse von Treibern und Rückkopplungsschleifen</w:t>
      </w:r>
    </w:p>
    <w:p>
      <w:r>
        <w:rPr>
          <w:i/>
          <w:color w:val="666666"/>
          <w:sz w:val="18"/>
        </w:rPr>
        <w:t>Hooley C et al.  ·  BMC Health Serv Res  ·  24.07.2026  ·  PMID 42675488</w:t>
      </w:r>
    </w:p>
    <w:p>
      <w:r>
        <w:t>Scoping Review mit Systemdenken-Synthese zur Konsolidierung von Scale-up-Determinanten aus 40 ausgewählten Artikeln und Erstellung eines Causal-Loop-Diagrams.</w:t>
      </w:r>
    </w:p>
    <w:p>
      <w:r>
        <w:rPr>
          <w:b/>
        </w:rPr>
        <w:t xml:space="preserve">Ergebnis: </w:t>
      </w:r>
      <w:r>
        <w:t>1053 ursprüngliche Determinanten reduziert auf 25 Modell-Variablen; 6 verstärkende und 3 ausgleichende Rückkopplungsschleifen identifiziert; Motivation, Kapazität, Enabling Environment und Alignment als prominenteste Faktoren.</w:t>
      </w:r>
    </w:p>
    <w:p>
      <w:r>
        <w:rPr>
          <w:b/>
          <w:sz w:val="19"/>
        </w:rPr>
        <w:t xml:space="preserve">Übertragbarkeit: </w:t>
      </w:r>
      <w:r>
        <w:rPr>
          <w:sz w:val="19"/>
        </w:rPr>
        <w:t>Konzeptuelle Rahmensynthese systemunabhängig für Scale-up-Prozesse im Gesundheitswesen relevant</w:t>
      </w:r>
    </w:p>
    <w:p>
      <w:r>
        <w:rPr>
          <w:color w:val="5A7D3A"/>
          <w:sz w:val="18"/>
        </w:rPr>
        <w:t>https://pubmed.ncbi.nlm.nih.gov/42675488/</w:t>
      </w:r>
    </w:p>
    <w:p>
      <w:pPr>
        <w:pStyle w:val="Heading1"/>
      </w:pPr>
      <w:r>
        <w:t>Aufgenommen am 01.09.2026</w:t>
      </w:r>
    </w:p>
    <w:p>
      <w:pPr>
        <w:pStyle w:val="Heading2"/>
      </w:pPr>
      <w:r>
        <w:t>NEED-Methodologie für Versorgungsbedarfe bei psychotischen Störungen in Belgien</w:t>
      </w:r>
    </w:p>
    <w:p>
      <w:r>
        <w:rPr>
          <w:i/>
          <w:color w:val="666666"/>
          <w:sz w:val="18"/>
        </w:rPr>
        <w:t>Claessens Z et al.  ·  Health Expect  ·  Okt. 2026  ·  PMID 42670826</w:t>
      </w:r>
    </w:p>
    <w:p>
      <w:r>
        <w:t>Methodische Anpassung des NEED-Frameworks (Needs Examination, Evaluation and Dissemination) für Bedarfsermittlung bei psychotischen Störungen durch qualitative Forschung und Expert*innenbeteiligung.</w:t>
      </w:r>
    </w:p>
    <w:p>
      <w:r>
        <w:rPr>
          <w:b/>
        </w:rPr>
        <w:t xml:space="preserve">Ergebnis: </w:t>
      </w:r>
      <w:r>
        <w:t>Drei interdependente Bereiche identifiziert: Stigma erschwert Selbstidentifikation, begrenzte Krankheitseinsicht und Misstrauen behindern Partizipation. Adaptationen: erweiterte Einschlusskriterien, nicht-stigmatisierende Terminologie, Proxy-Completion ermöglicht, On-site-Unterstützung notwendig.</w:t>
      </w:r>
    </w:p>
    <w:p>
      <w:r>
        <w:rPr>
          <w:b/>
          <w:sz w:val="19"/>
        </w:rPr>
        <w:t xml:space="preserve">Übertragbarkeit: </w:t>
      </w:r>
      <w:r>
        <w:rPr>
          <w:sz w:val="19"/>
        </w:rPr>
        <w:t>Belgien, Sozialversicherungssystem; hohe Übertragbarkeit auf deutschsprachige Länder</w:t>
      </w:r>
    </w:p>
    <w:p>
      <w:r>
        <w:rPr>
          <w:color w:val="5A7D3A"/>
          <w:sz w:val="18"/>
        </w:rPr>
        <w:t>https://pubmed.ncbi.nlm.nih.gov/42670826/</w:t>
      </w:r>
    </w:p>
    <w:p>
      <w:pPr>
        <w:pStyle w:val="Heading2"/>
      </w:pPr>
      <w:r>
        <w:t>Herz-Insuffizienz-Versorgung in der US-Veteranen-Administration während COVID-19</w:t>
      </w:r>
    </w:p>
    <w:p>
      <w:r>
        <w:rPr>
          <w:i/>
          <w:color w:val="666666"/>
          <w:sz w:val="18"/>
        </w:rPr>
        <w:t>Brownell NK et al.  ·  Circ Heart Fail  ·  31.08.2026  ·  PMID 42670712</w:t>
      </w:r>
    </w:p>
    <w:p>
      <w:r>
        <w:t>Untersucht Trends in der Herzinsuffizienz-Behandlung und Ergebnissen bei Veteranen über 6 Jahre inklusive Pandemie-Phase mittels unterbrochener Zeitreihenanalyse.</w:t>
      </w:r>
    </w:p>
    <w:p>
      <w:r>
        <w:rPr>
          <w:b/>
        </w:rPr>
        <w:t xml:space="preserve">Ergebnis: </w:t>
      </w:r>
      <w:r>
        <w:t>Verordnungen für Herzinsuffizienz-Medikamente wurden beibehalten oder verbessert (0,1–0,9 Prozentpunkte Anstieg pro 6-Wochen-Periode in der späten COVID-Phase). Telemedizin-Nutzung stieg 2–4-fach, stationäre Aufnahmen sanken um 31 %, Mortalität stieg jedoch um 13 % bei Pandemie-Beginn.</w:t>
      </w:r>
    </w:p>
    <w:p>
      <w:r>
        <w:rPr>
          <w:b/>
          <w:sz w:val="19"/>
        </w:rPr>
        <w:t xml:space="preserve">Übertragbarkeit: </w:t>
      </w:r>
      <w:r>
        <w:rPr>
          <w:sz w:val="19"/>
        </w:rPr>
        <w:t>US-System; klinische Prozessveränderungen teilweise übertragbar</w:t>
      </w:r>
    </w:p>
    <w:p>
      <w:r>
        <w:rPr>
          <w:color w:val="5A7D3A"/>
          <w:sz w:val="18"/>
        </w:rPr>
        <w:t>https://pubmed.ncbi.nlm.nih.gov/42670712/</w:t>
      </w:r>
    </w:p>
    <w:p>
      <w:pPr>
        <w:pStyle w:val="Heading2"/>
      </w:pPr>
      <w:r>
        <w:t>Laparoskopische Leberresektion bei intrahepatischem Cholangiokarinom in Japan</w:t>
      </w:r>
    </w:p>
    <w:p>
      <w:r>
        <w:rPr>
          <w:i/>
          <w:color w:val="666666"/>
          <w:sz w:val="18"/>
        </w:rPr>
        <w:t>Kokudo T et al.  ·  Glob Health Med  ·  31.08.2026  ·  PMID 42670510</w:t>
      </w:r>
    </w:p>
    <w:p>
      <w:r>
        <w:t>Nationale Beobachtungsstudie zur Entwicklung minimal-invasiver Chirurgie bei intrahepatischem Cholangiokarinom basierend auf japanischer Krankenversicherungsdatenbank 2016–2020.</w:t>
      </w:r>
    </w:p>
    <w:p>
      <w:r>
        <w:rPr>
          <w:b/>
        </w:rPr>
        <w:t xml:space="preserve">Ergebnis: </w:t>
      </w:r>
      <w:r>
        <w:t>Fallzahlen stabil (1119–1213 Patienten/Jahr), offene Resektionen konstant (~750/Jahr), laparoskopische Resektionen stiegen von 84 (2016) auf 195 (2020). Mediane postoperative Überlebensdauer: 5,25 Jahre offen vs. nicht erreicht laparoskopisch.</w:t>
      </w:r>
    </w:p>
    <w:p>
      <w:r>
        <w:rPr>
          <w:b/>
          <w:sz w:val="19"/>
        </w:rPr>
        <w:t xml:space="preserve">Übertragbarkeit: </w:t>
      </w:r>
      <w:r>
        <w:rPr>
          <w:sz w:val="19"/>
        </w:rPr>
        <w:t>Japan, nationale Routinedaten; Versorgungstrends mit Methodenvalidierung übertragbar</w:t>
      </w:r>
    </w:p>
    <w:p>
      <w:r>
        <w:rPr>
          <w:color w:val="5A7D3A"/>
          <w:sz w:val="18"/>
        </w:rPr>
        <w:t>https://pubmed.ncbi.nlm.nih.gov/42670510/</w:t>
      </w:r>
    </w:p>
    <w:p>
      <w:pPr>
        <w:pStyle w:val="Heading2"/>
      </w:pPr>
      <w:r>
        <w:t>Wirtschaftliche Last der Parkinson-Krankheit in Europa</w:t>
      </w:r>
    </w:p>
    <w:p>
      <w:r>
        <w:rPr>
          <w:i/>
          <w:color w:val="666666"/>
          <w:sz w:val="18"/>
        </w:rPr>
        <w:t>Welter L et al.  ·  Mov Disord  ·  27.08.2026  ·  PMID 42659761</w:t>
      </w:r>
    </w:p>
    <w:p>
      <w:r>
        <w:t>Cost-of-Illness-Studie für Parkinson-Erkrankung in 47 europäischen Ländern mittels Prävalenzdaten und systematischem Review von Kostenstudien.</w:t>
      </w:r>
    </w:p>
    <w:p>
      <w:r>
        <w:rPr>
          <w:b/>
        </w:rPr>
        <w:t xml:space="preserve">Ergebnis: </w:t>
      </w:r>
      <w:r>
        <w:t>Gesamtkosten 2019: 22,8 Mrd. €, davon 17,3 Mrd. € (76 %) direkte Kosten, 1 Mrd. € (5 %) indirekte Kosten, 4,4 Mrd. € (19 %) informelle Pflegekosten. Mittlere Kosten pro Patient: 14.278 € (Median: 8.393 €).</w:t>
      </w:r>
    </w:p>
    <w:p>
      <w:r>
        <w:rPr>
          <w:b/>
          <w:sz w:val="19"/>
        </w:rPr>
        <w:t xml:space="preserve">Übertragbarkeit: </w:t>
      </w:r>
      <w:r>
        <w:rPr>
          <w:sz w:val="19"/>
        </w:rPr>
        <w:t>Europäische Länder; strukturelle Übertragbarkeit auf deutsches System</w:t>
      </w:r>
    </w:p>
    <w:p>
      <w:r>
        <w:rPr>
          <w:color w:val="5A7D3A"/>
          <w:sz w:val="18"/>
        </w:rPr>
        <w:t>https://pubmed.ncbi.nlm.nih.gov/42659761/</w:t>
      </w:r>
    </w:p>
    <w:p>
      <w:pPr>
        <w:pStyle w:val="Heading2"/>
      </w:pPr>
      <w:r>
        <w:t>Surveillance-Kolonoskopie-Intervalle in australischen Spitälern</w:t>
      </w:r>
    </w:p>
    <w:p>
      <w:r>
        <w:rPr>
          <w:i/>
          <w:color w:val="666666"/>
          <w:sz w:val="18"/>
        </w:rPr>
        <w:t>Foo J et al.  ·  Aust Health Rev  ·  03.09.2026  ·  PMID 42656090</w:t>
      </w:r>
    </w:p>
    <w:p>
      <w:r>
        <w:t>Audit von 248 Kolonoskopie-Fällen in 6 viktorianischen Spitälern zur Überprüfung der Guideline-Konformität bei Surveillance-Intervallen nach 2018 Australian Cancer Council Richtlinien.</w:t>
      </w:r>
    </w:p>
    <w:p>
      <w:r>
        <w:rPr>
          <w:b/>
        </w:rPr>
        <w:t xml:space="preserve">Ergebnis: </w:t>
      </w:r>
      <w:r>
        <w:t>Nur 25,4 % (63/248) der Empfehlungen waren guideline-konform; 74,6 % waren zu früh, 20,5 % nicht indiziert, 4,9 % zu spät. Konformität variierte nach Intervall-Kategorie: 66,7 % (≤12 Mon.), 31,0 % (3 J.), 58,3 % (5 J.), 0,0 % (10 J.).</w:t>
      </w:r>
    </w:p>
    <w:p>
      <w:r>
        <w:rPr>
          <w:b/>
          <w:sz w:val="19"/>
        </w:rPr>
        <w:t xml:space="preserve">Übertragbarkeit: </w:t>
      </w:r>
      <w:r>
        <w:rPr>
          <w:sz w:val="19"/>
        </w:rPr>
        <w:t>Australien; Implementierungsgap systemunabhängig relevant</w:t>
      </w:r>
    </w:p>
    <w:p>
      <w:r>
        <w:rPr>
          <w:color w:val="5A7D3A"/>
          <w:sz w:val="18"/>
        </w:rPr>
        <w:t>https://pubmed.ncbi.nlm.nih.gov/42656090/</w:t>
      </w:r>
    </w:p>
    <w:p>
      <w:pPr>
        <w:pStyle w:val="Heading2"/>
      </w:pPr>
      <w:r>
        <w:t>Unsicherheit beim wissenschaftlichen Deliberationsprozess während COVID-19</w:t>
      </w:r>
    </w:p>
    <w:p>
      <w:r>
        <w:rPr>
          <w:i/>
          <w:color w:val="666666"/>
          <w:sz w:val="18"/>
        </w:rPr>
        <w:t>Correia T et al.  ·  Eur J Public Health  ·  04.08.2026  ·  PMID 42647368</w:t>
      </w:r>
    </w:p>
    <w:p>
      <w:r>
        <w:t>Policy-Analyse zum Verhältnis zwischen Transparenz von wissenschaftlichen Entscheidungsprozessen und dem Schutz wissenschaftlicher Deliberation am Beispiel der Fauci-Tagebuch-Veröffentlichung.</w:t>
      </w:r>
    </w:p>
    <w:p>
      <w:r>
        <w:rPr>
          <w:b/>
        </w:rPr>
        <w:t xml:space="preserve">Ergebnis: </w:t>
      </w:r>
      <w:r>
        <w:t>Kernaussage: Offenlegung interne wissenschaftliche Diskussionen kann legitimes Vertrauen in institutionelle Autorität untergraben, wenn Unsicherheiten und Widersprüche bei der Entscheidungsfindung nicht angemessen kontextualisiert werden.</w:t>
      </w:r>
    </w:p>
    <w:p>
      <w:r>
        <w:rPr>
          <w:b/>
          <w:sz w:val="19"/>
        </w:rPr>
        <w:t xml:space="preserve">Übertragbarkeit: </w:t>
      </w:r>
      <w:r>
        <w:rPr>
          <w:sz w:val="19"/>
        </w:rPr>
        <w:t>Systemübergreifende Governance-Frage; relevant für deutsche Public-Health-Entscheidungen</w:t>
      </w:r>
    </w:p>
    <w:p>
      <w:r>
        <w:rPr>
          <w:color w:val="5A7D3A"/>
          <w:sz w:val="18"/>
        </w:rPr>
        <w:t>https://pubmed.ncbi.nlm.nih.gov/42647368/</w:t>
      </w:r>
    </w:p>
    <w:p>
      <w:pPr>
        <w:pStyle w:val="Heading1"/>
      </w:pPr>
      <w:r>
        <w:t>Aufgenommen am 31.08.2026</w:t>
      </w:r>
    </w:p>
    <w:p>
      <w:pPr>
        <w:pStyle w:val="Heading2"/>
      </w:pPr>
      <w:r>
        <w:t>Symptombelastung nach Dialysebeginn und Hospitalisierungsrisiko</w:t>
      </w:r>
    </w:p>
    <w:p>
      <w:r>
        <w:rPr>
          <w:i/>
          <w:color w:val="666666"/>
          <w:sz w:val="18"/>
        </w:rPr>
        <w:t>Nair D et al.  ·  Kidney Med  ·  23.06.2026  ·  PMID 42668553</w:t>
      </w:r>
    </w:p>
    <w:p>
      <w:r>
        <w:t>Längsschnittstudie zur Assoziation zwischen Symptombelastung (KDQOL-36) und Krankenhausaufnahmen bei Hämodialysepatienten in den USA.</w:t>
      </w:r>
    </w:p>
    <w:p>
      <w:r>
        <w:rPr>
          <w:b/>
        </w:rPr>
        <w:t xml:space="preserve">Ergebnis: </w:t>
      </w:r>
      <w:r>
        <w:t>1.818 Teilnehmer; latente Transitionsanalyse identifizierte 3 Symptombelastungs-Klassen. Hohe Symptombelastung: HR 1,20 für Hospitalisierung (95%-CI). Schmerzinterferenz und Müdigkeit stärkste Prädiktoren (je 1-Kategorie-Verschlechterung: +12% bzw. +8% Hazard). Symptombelastung sollte Behandlungsziel in Dialysezentren sein.</w:t>
      </w:r>
    </w:p>
    <w:p>
      <w:r>
        <w:rPr>
          <w:b/>
          <w:sz w:val="19"/>
        </w:rPr>
        <w:t xml:space="preserve">Übertragbarkeit: </w:t>
      </w:r>
      <w:r>
        <w:rPr>
          <w:sz w:val="19"/>
        </w:rPr>
        <w:t>US-Daten, aber Messinstrument und Fragestellung systemunabhängig auf deutsches Setting anwendbar.</w:t>
      </w:r>
    </w:p>
    <w:p>
      <w:r>
        <w:rPr>
          <w:color w:val="5A7D3A"/>
          <w:sz w:val="18"/>
        </w:rPr>
        <w:t>https://pubmed.ncbi.nlm.nih.gov/42668553/</w:t>
      </w:r>
    </w:p>
    <w:p>
      <w:pPr>
        <w:pStyle w:val="Heading2"/>
      </w:pPr>
      <w:r>
        <w:t>Kardiovaskulär-Nieren-Leber-Stoffwechsel-Last weltweit 1990–2023</w:t>
      </w:r>
    </w:p>
    <w:p>
      <w:r>
        <w:rPr>
          <w:i/>
          <w:color w:val="666666"/>
          <w:sz w:val="18"/>
        </w:rPr>
        <w:t>Jayabaskaran J et al.  ·  EClinicalMedicine  ·  22.08.2026  ·  PMID 42668515</w:t>
      </w:r>
    </w:p>
    <w:p>
      <w:r>
        <w:t>Deskriptive epidemiologische Analyse Global Burden of Disease 2023 zu Mortalität und DALYs für atherogene CVD, CKD, Typ-2-Diabetes, Adipositas und MASLD in 204 Ländern.</w:t>
      </w:r>
    </w:p>
    <w:p>
      <w:r>
        <w:rPr>
          <w:b/>
        </w:rPr>
        <w:t xml:space="preserve">Ergebnis: </w:t>
      </w:r>
      <w:r>
        <w:t>2023: 626,7 Millionen DALYs; altersstandardisierte Rate 6.944,3/100.000. Atherogene CVD 3.924,2 DALYs [95%-UI 3.667–4.181], Adipositas 1.500,0, Typ-2-Diabetes 956,7, CKD 523,8, MASLD 39,6. 1990–2023: CKLM-DALYs -24,4%; CVD -41,5%, aber Typ-2-Diabetes +37,5%, Adipositas +23,3%. Prävention muss geteilte Risikofaktoren adressieren.</w:t>
      </w:r>
    </w:p>
    <w:p>
      <w:r>
        <w:rPr>
          <w:b/>
          <w:sz w:val="19"/>
        </w:rPr>
        <w:t xml:space="preserve">Übertragbarkeit: </w:t>
      </w:r>
      <w:r>
        <w:rPr>
          <w:sz w:val="19"/>
        </w:rPr>
        <w:t>Globale Daten, WHO-Methodik; Trends relevant für deutsche Versorgungsplanung.</w:t>
      </w:r>
    </w:p>
    <w:p>
      <w:r>
        <w:rPr>
          <w:color w:val="5A7D3A"/>
          <w:sz w:val="18"/>
        </w:rPr>
        <w:t>https://pubmed.ncbi.nlm.nih.gov/42668515/</w:t>
      </w:r>
    </w:p>
    <w:p>
      <w:pPr>
        <w:pStyle w:val="Heading2"/>
      </w:pPr>
      <w:r>
        <w:t>Ambulante Behandlung akuter Herzinsuffizienz durch Fachkräfte – niedrigere Readmissions- und Mortalitätsraten</w:t>
      </w:r>
    </w:p>
    <w:p>
      <w:r>
        <w:rPr>
          <w:i/>
          <w:color w:val="666666"/>
          <w:sz w:val="18"/>
        </w:rPr>
        <w:t>Rasoul D et al.  ·  Curr Probl Cardiol  ·  29.08.2026  ·  PMID 42667938</w:t>
      </w:r>
    </w:p>
    <w:p>
      <w:r>
        <w:t>Retrospektive Kohortenstudie zu ambulanter Behandlung dekompenserter Herzinsuffizienz mit IV-Diuretika in spezialisierter Fachkrankenpflege-geführter Einheit versus stationär.</w:t>
      </w:r>
    </w:p>
    <w:p>
      <w:r>
        <w:rPr>
          <w:b/>
        </w:rPr>
        <w:t xml:space="preserve">Ergebnis: </w:t>
      </w:r>
      <w:r>
        <w:t>Nach Propensity-Score-Matching (je 1.227 Patienten): 30-Tage-Readmission AHFU vs. Standardcare 16,5% vs. 24,1% (p&lt;0,001); 1-Jahres-Readmission 25,2% vs. 30,8% (p=0,004); 30-Tage-Mortalität 10,1% vs. 13,5% (p=0,009); 1-Jahres-Mortalität vergleichbar (10,9% vs. 10,8%). Spezialisierte ambulante Versorgung kann Krankenhausbehandlung bei geeigneten Patienten reduzieren.</w:t>
      </w:r>
    </w:p>
    <w:p>
      <w:r>
        <w:rPr>
          <w:b/>
          <w:sz w:val="19"/>
        </w:rPr>
        <w:t xml:space="preserve">Übertragbarkeit: </w:t>
      </w:r>
      <w:r>
        <w:rPr>
          <w:sz w:val="19"/>
        </w:rPr>
        <w:t>Großbritannien, nationale Gesundheitsversorgung, hausarztgestützt – System übertragbar auf strukturierte Poliklinik-Modelle.</w:t>
      </w:r>
    </w:p>
    <w:p>
      <w:r>
        <w:rPr>
          <w:color w:val="5A7D3A"/>
          <w:sz w:val="18"/>
        </w:rPr>
        <w:t>https://pubmed.ncbi.nlm.nih.gov/42667938/</w:t>
      </w:r>
    </w:p>
    <w:p>
      <w:pPr>
        <w:pStyle w:val="Heading2"/>
      </w:pPr>
      <w:r>
        <w:t>Lebensqualität nach präventiver Hysterektomie bei Lynch-Syndrom</w:t>
      </w:r>
    </w:p>
    <w:p>
      <w:r>
        <w:rPr>
          <w:i/>
          <w:color w:val="666666"/>
          <w:sz w:val="18"/>
        </w:rPr>
        <w:t>Oxley SG et al.  ·  EClinicalMedicine  ·  27.07.2026  ·  PMID 42666945</w:t>
      </w:r>
    </w:p>
    <w:p>
      <w:r>
        <w:t>Multizentrische Querschnittsstudie (PRESCORES) zur Erfassung der gesundheitsbezogenen Lebensqualität (EQ-5D) bei Frauen mit Lynch-Syndrom mit und ohne risikoreduzierende Hysterektomie.</w:t>
      </w:r>
    </w:p>
    <w:p>
      <w:r>
        <w:rPr>
          <w:b/>
        </w:rPr>
        <w:t xml:space="preserve">Ergebnis: </w:t>
      </w:r>
      <w:r>
        <w:t>1.120 Teilnehmer: 529 nach RRH (Median 55 Jahre), 591 ohne (39 Jahre). Adjustierte mittlere EQ-5D-Differenz RRH vs. keine RRH: -0,020 (95%-CI -0,045–0,004; p=0,11), bei prämenopausalen Frauen -0,041 (p&lt;0,05). Cancer-Worry-Scale in RRH-Gruppe signifikant niedriger (Differenz -0,48; p=0,004). Hysterektomie bei jüngeren Frauen mit Lebensqualitätseinbußen assoziiert.</w:t>
      </w:r>
    </w:p>
    <w:p>
      <w:r>
        <w:rPr>
          <w:b/>
          <w:sz w:val="19"/>
        </w:rPr>
        <w:t xml:space="preserve">Übertragbarkeit: </w:t>
      </w:r>
      <w:r>
        <w:rPr>
          <w:sz w:val="19"/>
        </w:rPr>
        <w:t>Britische NHS-Daten, genetische Beratung/Screening-Kontext auf deutsches Versorgungssystem übertragbar.</w:t>
      </w:r>
    </w:p>
    <w:p>
      <w:r>
        <w:rPr>
          <w:color w:val="5A7D3A"/>
          <w:sz w:val="18"/>
        </w:rPr>
        <w:t>https://pubmed.ncbi.nlm.nih.gov/42666945/</w:t>
      </w:r>
    </w:p>
    <w:p>
      <w:pPr>
        <w:pStyle w:val="Heading2"/>
      </w:pPr>
      <w:r>
        <w:t>Körperliche Aktivität und Mundgesundheit im Alter – kausale Studie in Singapur</w:t>
      </w:r>
    </w:p>
    <w:p>
      <w:r>
        <w:rPr>
          <w:i/>
          <w:color w:val="666666"/>
          <w:sz w:val="18"/>
        </w:rPr>
        <w:t>Tay JRH et al.  ·  J Nutr Health Aging  ·  28.08.2026  ·  PMID 42664809</w:t>
      </w:r>
    </w:p>
    <w:p>
      <w:r>
        <w:t>Längsschnitt-Kausalitätsstudie (THE SIGNS Study, 2016–2024) zu Effekten erhöhter körperlicher Aktivität auf Mundgesundheit und Kaufunktion bei älteren Erwachsenen.</w:t>
      </w:r>
    </w:p>
    <w:p>
      <w:r>
        <w:rPr>
          <w:b/>
        </w:rPr>
        <w:t xml:space="preserve">Ergebnis: </w:t>
      </w:r>
      <w:r>
        <w:t>N=3.981, 3 Wellen. Erhöhung auf ≥450 MET-min/Woche: RR für schlechte Mundgesundheit 0,88 (95%-CI 0,82–0,95). Selbst Anstieg auf 150 MET-min/Woche: RR 0,93 (0,88–0,99). Eleminierung aller Aktivität erhöht Kaufunktionsstörungen um 21% (RR 1,21; 95%-CI 1,10–1,33). Physische Aktivität protektiv für Mundgesundheit im Alter.</w:t>
      </w:r>
    </w:p>
    <w:p>
      <w:r>
        <w:rPr>
          <w:b/>
          <w:sz w:val="19"/>
        </w:rPr>
        <w:t xml:space="preserve">Übertragbarkeit: </w:t>
      </w:r>
      <w:r>
        <w:rPr>
          <w:sz w:val="19"/>
        </w:rPr>
        <w:t>Singapur, steuerfinanziertes System; Public-Health-Fragestellung systemunabhängig, Ergebnisse auf deutsches Setting übertragbar.</w:t>
      </w:r>
    </w:p>
    <w:p>
      <w:r>
        <w:rPr>
          <w:color w:val="5A7D3A"/>
          <w:sz w:val="18"/>
        </w:rPr>
        <w:t>https://pubmed.ncbi.nlm.nih.gov/42664809/</w:t>
      </w:r>
    </w:p>
    <w:p>
      <w:pPr>
        <w:pStyle w:val="Heading2"/>
      </w:pPr>
      <w:r>
        <w:t>Difference-in-Differences – methodisches Rahmenwerk für pädiatrische Versorgungsforschung</w:t>
      </w:r>
    </w:p>
    <w:p>
      <w:r>
        <w:rPr>
          <w:i/>
          <w:color w:val="666666"/>
          <w:sz w:val="18"/>
        </w:rPr>
        <w:t>Lee AR et al.  ·  Arch Dis Child  ·  26.08.2026  ·  PMID 42648881</w:t>
      </w:r>
    </w:p>
    <w:p>
      <w:r>
        <w:t>Methodisches Tutorial zur Difference-in-Differences-Analyse für Kinderärzte im Bereich Versorgungsforschung.</w:t>
      </w:r>
    </w:p>
    <w:p>
      <w:r>
        <w:rPr>
          <w:b/>
        </w:rPr>
        <w:t xml:space="preserve">Ergebnis: </w:t>
      </w:r>
      <w:r>
        <w:t>Strukturierter Rahmen für quasi-experimentelle Analyse von Interventionseffekten mit zeitlicher und Kontrollgruppen-Variation. Methodisch-pädagogischer Beitrag ohne quantitative Ergebnisse eigener Studie.</w:t>
      </w:r>
    </w:p>
    <w:p>
      <w:r>
        <w:rPr>
          <w:b/>
          <w:sz w:val="19"/>
        </w:rPr>
        <w:t xml:space="preserve">Übertragbarkeit: </w:t>
      </w:r>
      <w:r>
        <w:rPr>
          <w:sz w:val="19"/>
        </w:rPr>
        <w:t>Methodische Anleitung, systemunabhängig anwendbar auf deutsche Versorgungsforschung.</w:t>
      </w:r>
    </w:p>
    <w:p>
      <w:r>
        <w:rPr>
          <w:color w:val="5A7D3A"/>
          <w:sz w:val="18"/>
        </w:rPr>
        <w:t>https://pubmed.ncbi.nlm.nih.gov/42648881/</w:t>
      </w:r>
    </w:p>
    <w:p>
      <w:pPr>
        <w:pStyle w:val="Heading1"/>
      </w:pPr>
      <w:r>
        <w:t>Aufgenommen am 30.08.2026</w:t>
      </w:r>
    </w:p>
    <w:p>
      <w:pPr>
        <w:pStyle w:val="Heading2"/>
      </w:pPr>
      <w:r>
        <w:t>Bewegungsaktivität reduziert perinatale Depression und Angststörungen</w:t>
      </w:r>
    </w:p>
    <w:p>
      <w:r>
        <w:rPr>
          <w:i/>
          <w:color w:val="666666"/>
          <w:sz w:val="18"/>
        </w:rPr>
        <w:t>Mohr E et al.  ·  EClinicalMedicine  ·  19.07.2026  ·  PMID 42666712</w:t>
      </w:r>
    </w:p>
    <w:p>
      <w:r>
        <w:t>Umbrella Review mit Meta-Meta-Analyse zur Wirksamkeit von körperlicher Aktivität auf depressive und Angstsymptome in der Perinatalzeit.</w:t>
      </w:r>
    </w:p>
    <w:p>
      <w:r>
        <w:rPr>
          <w:b/>
        </w:rPr>
        <w:t xml:space="preserve">Ergebnis: </w:t>
      </w:r>
      <w:r>
        <w:t>Leichte bis moderate körperliche Aktivität reduziert depressive Symptome signifikant (SMD: -0,56; 95%-KI: -0,93 bis -0,19, moderate Evidenzsicherheit), Yoga und Mixed-Activity zeigen besondere Effektivität (SMD: -0,55 bzw. -0,54). Angststörungen werden ebenfalls reduziert (SMD: -0,85; 95%-KI: -1,29 bis -0,42).</w:t>
      </w:r>
    </w:p>
    <w:p>
      <w:r>
        <w:rPr>
          <w:b/>
          <w:sz w:val="19"/>
        </w:rPr>
        <w:t xml:space="preserve">Übertragbarkeit: </w:t>
      </w:r>
      <w:r>
        <w:rPr>
          <w:sz w:val="19"/>
        </w:rPr>
        <w:t>Systematische Übersichtsarbeit, methodologisch hochwertig, globale Evidenz unmittelbar auf deutsches Versorgungssystem übertragbar</w:t>
      </w:r>
    </w:p>
    <w:p>
      <w:r>
        <w:rPr>
          <w:color w:val="5A7D3A"/>
          <w:sz w:val="18"/>
        </w:rPr>
        <w:t>https://pubmed.ncbi.nlm.nih.gov/42666712/</w:t>
      </w:r>
    </w:p>
    <w:p>
      <w:pPr>
        <w:pStyle w:val="Heading2"/>
      </w:pPr>
      <w:r>
        <w:t>Integratives Hypertonie-Monitoring mit Routinedaten in Mexikos föderalisiertem Public-Health-System</w:t>
      </w:r>
    </w:p>
    <w:p>
      <w:r>
        <w:rPr>
          <w:i/>
          <w:color w:val="666666"/>
          <w:sz w:val="18"/>
        </w:rPr>
        <w:t>Silva-Tinoco R et al.  ·  Health Serv Insights  ·  27.08.2026  ·  PMID 42666569</w:t>
      </w:r>
    </w:p>
    <w:p>
      <w:r>
        <w:t>Entwicklung und Evaluierung einer Monitoring-Plattform zur Überwachung der Hypertonie-Versorgung mithilfe von Routinedaten in einem neu strukturierten Gesundheitssystem.</w:t>
      </w:r>
    </w:p>
    <w:p>
      <w:r>
        <w:rPr>
          <w:b/>
        </w:rPr>
        <w:t xml:space="preserve">Ergebnis: </w:t>
      </w:r>
      <w:r>
        <w:t>Aus 486.044 Patienten in teilnehmenden Bundesländern erreichten 67,2% (95%-KI: 67,04–67,37) Blutdruckziele (&lt;140/90 mmHg), 36,8% (95%-KI: 36,62–36,96) strikte Kontrolle (&lt;130/80 mmHg). 63% mit suboptimaler Kontrolle erhielten Follow-up, 48% Therapieintensivierung.</w:t>
      </w:r>
    </w:p>
    <w:p>
      <w:r>
        <w:rPr>
          <w:b/>
          <w:sz w:val="19"/>
        </w:rPr>
        <w:t xml:space="preserve">Übertragbarkeit: </w:t>
      </w:r>
      <w:r>
        <w:rPr>
          <w:sz w:val="19"/>
        </w:rPr>
        <w:t>Mexico, Struktur unterschiedlich – begrenzte Übertragbarkeit, aber Monitoring-Framework methodisch relevant</w:t>
      </w:r>
    </w:p>
    <w:p>
      <w:r>
        <w:rPr>
          <w:color w:val="5A7D3A"/>
          <w:sz w:val="18"/>
        </w:rPr>
        <w:t>https://pubmed.ncbi.nlm.nih.gov/42666569/</w:t>
      </w:r>
    </w:p>
    <w:p>
      <w:pPr>
        <w:pStyle w:val="Heading2"/>
      </w:pPr>
      <w:r>
        <w:t>Health Literacy und ethnische Ungleichheiten in der Geburtshilfe: Scoping Review</w:t>
      </w:r>
    </w:p>
    <w:p>
      <w:r>
        <w:rPr>
          <w:i/>
          <w:color w:val="666666"/>
          <w:sz w:val="18"/>
        </w:rPr>
        <w:t>McEvoy B et al.  ·  BMC Health Serv Res  ·  25.08.2026  ·  PMID 42665809</w:t>
      </w:r>
    </w:p>
    <w:p>
      <w:r>
        <w:t>Systematische Analyse der Forschungsliteratur zu Health Literacy als Faktor für ethnische Disparitäten in der Mutterschaftsversorgung.</w:t>
      </w:r>
    </w:p>
    <w:p>
      <w:r>
        <w:rPr>
          <w:b/>
        </w:rPr>
        <w:t xml:space="preserve">Ergebnis: </w:t>
      </w:r>
      <w:r>
        <w:t>14 Studien eingeschlossen (7 quantitativ, 4 qualitativ, 3 gemischt). Vier Kernfunde: (i) diverse Health-Literacy-Definitionen, (ii) Health-Literacy-Herausforderungen treffen minoritäre Frauen überproportional, (iii) schlechte Health Literacy trägt zu adversen Outcomes bei, (iv) geringe Evaluierung von Interventionen. Erkannter Forschungsgap in diesem Versorgungsbereich.</w:t>
      </w:r>
    </w:p>
    <w:p>
      <w:r>
        <w:rPr>
          <w:b/>
          <w:sz w:val="19"/>
        </w:rPr>
        <w:t xml:space="preserve">Übertragbarkeit: </w:t>
      </w:r>
      <w:r>
        <w:rPr>
          <w:sz w:val="19"/>
        </w:rPr>
        <w:t>UK-Daten, aber Fragestellung zu Gesundheitskompetenz und Equity systemunabhängig relevant</w:t>
      </w:r>
    </w:p>
    <w:p>
      <w:r>
        <w:rPr>
          <w:color w:val="5A7D3A"/>
          <w:sz w:val="18"/>
        </w:rPr>
        <w:t>https://pubmed.ncbi.nlm.nih.gov/42665809/</w:t>
      </w:r>
    </w:p>
    <w:p>
      <w:pPr>
        <w:pStyle w:val="Heading2"/>
      </w:pPr>
      <w:r>
        <w:t>Empowerment von Gesundheitsarbeitern in Primary Health Care mittels partizipativer Aktionsforschung</w:t>
      </w:r>
    </w:p>
    <w:p>
      <w:r>
        <w:rPr>
          <w:i/>
          <w:color w:val="666666"/>
          <w:sz w:val="18"/>
        </w:rPr>
        <w:t>Jahromi MK et al.  ·  BMC Health Serv Res  ·  26.08.2026  ·  PMID 42665795</w:t>
      </w:r>
    </w:p>
    <w:p>
      <w:r>
        <w:t>22-Monate andauernde partizipative Aktionsforschung mit zwei Zyklen zur Stärkung der Kompetenz von Primary-Care-Anbietern im Iran.</w:t>
      </w:r>
    </w:p>
    <w:p>
      <w:r>
        <w:rPr>
          <w:b/>
        </w:rPr>
        <w:t xml:space="preserve">Ergebnis: </w:t>
      </w:r>
      <w:r>
        <w:t>Quantitative und qualitative Verbesserungen nach Intervention: erhöhtes psychological empowerment, verbesserte professional performance, höhere Zufriedenheit mit Schulungsprogrammen, verbesserte client satisfaction. Qualitative Befunde zeigen substanzielle Fortschritte in wissenschaftlich-praktischen Kompetenzen, unterstützender Arbeitskultur und psychischem Wohlbefinden.</w:t>
      </w:r>
    </w:p>
    <w:p>
      <w:r>
        <w:rPr>
          <w:b/>
          <w:sz w:val="19"/>
        </w:rPr>
        <w:t xml:space="preserve">Übertragbarkeit: </w:t>
      </w:r>
      <w:r>
        <w:rPr>
          <w:sz w:val="19"/>
        </w:rPr>
        <w:t>Iran (LMIC), Modell aber für Partizipation und Workforce-Entwicklung im deutschsprachigen Raum relevant</w:t>
      </w:r>
    </w:p>
    <w:p>
      <w:r>
        <w:rPr>
          <w:color w:val="5A7D3A"/>
          <w:sz w:val="18"/>
        </w:rPr>
        <w:t>https://pubmed.ncbi.nlm.nih.gov/42665795/</w:t>
      </w:r>
    </w:p>
    <w:p>
      <w:pPr>
        <w:pStyle w:val="Heading2"/>
      </w:pPr>
      <w:r>
        <w:t>Pharmakovigilanz-Wissen und -Praxis von Gesundheitsberufen in Georgien</w:t>
      </w:r>
    </w:p>
    <w:p>
      <w:r>
        <w:rPr>
          <w:i/>
          <w:color w:val="666666"/>
          <w:sz w:val="18"/>
        </w:rPr>
        <w:t>Silagadze N et al.  ·  BMC Health Serv Res  ·  22.07.2026  ·  PMID 42665790</w:t>
      </w:r>
    </w:p>
    <w:p>
      <w:r>
        <w:t>Querschnittstudie zu Wissen, Haltungen und Praktiken zur Erfassung von Nebenwirkungen durch Ärzte und Pflegekräfte in Georgien.</w:t>
      </w:r>
    </w:p>
    <w:p>
      <w:r>
        <w:rPr>
          <w:b/>
        </w:rPr>
        <w:t xml:space="preserve">Ergebnis: </w:t>
      </w:r>
      <w:r>
        <w:t>76,3% der Teilnehmer (n=684) begegneten Nebenwirkungen, aber nur 12,95% meldeten diese. Keine Pflegekraft und nur 10,2% der Ärzte nutzten das offizielle Meldungsformular. Hauptbarrieren: Mangel an Bewusstsein für nationale Meldesysteme (91,7%), Unsicherheit über Prozesse (76,9%), Unterschätzung der Schwere (40,8%). Ärzte hatten höhere Wissenswerte als Pflegekräfte (19 vs. 16; p&lt;0,001).</w:t>
      </w:r>
    </w:p>
    <w:p>
      <w:r>
        <w:rPr>
          <w:b/>
          <w:sz w:val="19"/>
        </w:rPr>
        <w:t xml:space="preserve">Übertragbarkeit: </w:t>
      </w:r>
      <w:r>
        <w:rPr>
          <w:sz w:val="19"/>
        </w:rPr>
        <w:t>Georgien (Entwicklungsland), aber Pharmaco-Vigilance-Herausforderungen und Lösungsansätze international übertragbar</w:t>
      </w:r>
    </w:p>
    <w:p>
      <w:r>
        <w:rPr>
          <w:color w:val="5A7D3A"/>
          <w:sz w:val="18"/>
        </w:rPr>
        <w:t>https://pubmed.ncbi.nlm.nih.gov/42665790/</w:t>
      </w:r>
    </w:p>
    <w:p>
      <w:pPr>
        <w:pStyle w:val="Heading2"/>
      </w:pPr>
      <w:r>
        <w:t>Methoden zur Analyse von Patientenbewegungen zwischen Versorgungssettings: Systematische Übersicht</w:t>
      </w:r>
    </w:p>
    <w:p>
      <w:r>
        <w:rPr>
          <w:i/>
          <w:color w:val="666666"/>
          <w:sz w:val="18"/>
        </w:rPr>
        <w:t>Yang F et al.  ·  BMJ Open  ·  28.08.2026  ·  PMID 42665343</w:t>
      </w:r>
    </w:p>
    <w:p>
      <w:r>
        <w:t>Systematische Literaturübersicht zu Methoden für die Analyse von Patientenpfaden und -flüssen über multiple Versorgungsebenen hinweg.</w:t>
      </w:r>
    </w:p>
    <w:p>
      <w:r>
        <w:rPr>
          <w:b/>
        </w:rPr>
        <w:t xml:space="preserve">Ergebnis: </w:t>
      </w:r>
      <w:r>
        <w:t>24 Studien identifiziert, 7 distinct Methoden und 5 Forschungsthemen. Die meisten nutzten deskriptive Statistiken und Gruppenvergleiche; Discrete-Event-Simulation wurde häufiger für Patientenbewegungssimulationen eingesetzt. Patiententransfervolumina/Outcomes und Kapazitätsplanung waren am häufigsten untersuchte Themen. Statistical analysis, mathematical modelling und computer simulation bieten komplementäre Ansätze.</w:t>
      </w:r>
    </w:p>
    <w:p>
      <w:r>
        <w:rPr>
          <w:b/>
          <w:sz w:val="19"/>
        </w:rPr>
        <w:t xml:space="preserve">Übertragbarkeit: </w:t>
      </w:r>
      <w:r>
        <w:rPr>
          <w:sz w:val="19"/>
        </w:rPr>
        <w:t>Nordeuropa (Norwegen, UK), Methodologie systemunabhängig, für deutsches Transitions-Management relevant</w:t>
      </w:r>
    </w:p>
    <w:p>
      <w:r>
        <w:rPr>
          <w:color w:val="5A7D3A"/>
          <w:sz w:val="18"/>
        </w:rPr>
        <w:t>https://pubmed.ncbi.nlm.nih.gov/42665343/</w:t>
      </w:r>
    </w:p>
    <w:p>
      <w:pPr>
        <w:pStyle w:val="Heading1"/>
      </w:pPr>
      <w:r>
        <w:t>Aufgenommen am 29.08.2026</w:t>
      </w:r>
    </w:p>
    <w:p>
      <w:pPr>
        <w:pStyle w:val="Heading2"/>
      </w:pPr>
      <w:r>
        <w:t>Palliative Reasoning in multiprofessioneller Palliativversorgung implementieren</w:t>
      </w:r>
    </w:p>
    <w:p>
      <w:r>
        <w:rPr>
          <w:i/>
          <w:color w:val="666666"/>
          <w:sz w:val="18"/>
        </w:rPr>
        <w:t>Kochems K et al.  ·  PLoS One  ·  28.08.2026  ·  PMID 42664250</w:t>
      </w:r>
    </w:p>
    <w:p>
      <w:r>
        <w:t>Niederländische Studie zur iterativen Anpassung und Implementierung einer integrierten Intervention (Palliative Reasoning Working Method) in Primärversorgung, Hospizen und Pflegeheimen.</w:t>
      </w:r>
    </w:p>
    <w:p>
      <w:r>
        <w:rPr>
          <w:b/>
        </w:rPr>
        <w:t xml:space="preserve">Ergebnis: </w:t>
      </w:r>
      <w:r>
        <w:t>Palliative Reasoning wurde in 20 multiprofessionellen Teams erfolgreich implementiert. Es zeigte Verbesserungen bei Erkennung von Palliativbedarfen, patientenzentrierter Versorgung, Pflegekompetenz und Teamzusammenarbeit. 14 Inhaltsadaptationen und 7 Unterstützungsmaterialien wurden entwickelt. Integration in elektronische Gesundheitsakten und organisatorische Verankerung waren entscheidend für Nachhaltigkeit.</w:t>
      </w:r>
    </w:p>
    <w:p>
      <w:r>
        <w:rPr>
          <w:b/>
          <w:sz w:val="19"/>
        </w:rPr>
        <w:t xml:space="preserve">Übertragbarkeit: </w:t>
      </w:r>
      <w:r>
        <w:rPr>
          <w:sz w:val="19"/>
        </w:rPr>
        <w:t>Niederlande, vergleichbares Sozialversicherungssystem, multiprofessionelle Strukturen</w:t>
      </w:r>
    </w:p>
    <w:p>
      <w:r>
        <w:rPr>
          <w:color w:val="5A7D3A"/>
          <w:sz w:val="18"/>
        </w:rPr>
        <w:t>https://pubmed.ncbi.nlm.nih.gov/42664250/</w:t>
      </w:r>
    </w:p>
    <w:p>
      <w:pPr>
        <w:pStyle w:val="Heading2"/>
      </w:pPr>
      <w:r>
        <w:t>Medicare Advantage und Nierenerkrankung im Endstadium nach Cures Act</w:t>
      </w:r>
    </w:p>
    <w:p>
      <w:r>
        <w:rPr>
          <w:i/>
          <w:color w:val="666666"/>
          <w:sz w:val="18"/>
        </w:rPr>
        <w:t>Cai ST et al.  ·  Health Serv Res  ·  Okt. 2026  ·  PMID 42663502</w:t>
      </w:r>
    </w:p>
    <w:p>
      <w:r>
        <w:t>US-Studie zur Veränderung der MA-Versichertenpopulation mit Nierenerkrankung im Endstadium nach Ausweitung der MA-Zulassung 2021 mittels Unterbruchszeitreihentechnik.</w:t>
      </w:r>
    </w:p>
    <w:p>
      <w:r>
        <w:rPr>
          <w:b/>
        </w:rPr>
        <w:t xml:space="preserve">Ergebnis: </w:t>
      </w:r>
      <w:r>
        <w:t>Nach der Politikänderung waren MA-Versicherte mit Nierenerkrankung im Endstadium jünger, hatten niedrigere Komorbiditätsbelastung, aber niedrigeres Einkommen. Hospitalisierungsraten sank unmittelbar um 0,013 pro Versicherter-Monat (6 % relativer Rückgang; 95%-KI: -0,022 bis -0,003; p &lt; 0,05).</w:t>
      </w:r>
    </w:p>
    <w:p>
      <w:r>
        <w:rPr>
          <w:b/>
          <w:sz w:val="19"/>
        </w:rPr>
        <w:t xml:space="preserve">Übertragbarkeit: </w:t>
      </w:r>
      <w:r>
        <w:rPr>
          <w:sz w:val="19"/>
        </w:rPr>
        <w:t>US-Daten, fragmentiertes System mit Medicaid/Medicare, eingeschränkt übertragbar</w:t>
      </w:r>
    </w:p>
    <w:p>
      <w:r>
        <w:rPr>
          <w:color w:val="5A7D3A"/>
          <w:sz w:val="18"/>
        </w:rPr>
        <w:t>https://pubmed.ncbi.nlm.nih.gov/42663502/</w:t>
      </w:r>
    </w:p>
    <w:p>
      <w:pPr>
        <w:pStyle w:val="Heading2"/>
      </w:pPr>
      <w:r>
        <w:t>Persistenz geburtshilflicher Versorgungsabsenz in US-Counties 2015–2023</w:t>
      </w:r>
    </w:p>
    <w:p>
      <w:r>
        <w:rPr>
          <w:i/>
          <w:color w:val="666666"/>
          <w:sz w:val="18"/>
        </w:rPr>
        <w:t>Laternser C  ·  Health Serv Res  ·  Okt. 2026  ·  PMID 42663181</w:t>
      </w:r>
    </w:p>
    <w:p>
      <w:r>
        <w:t>Longitudinale Panelstudie der Persistenz und Übergangsdynamik fehlender geburtshilflicher Dienste in 3144 US-Counties mit Analysen von Übergangswahrscheinlichkeiten und Prävalenztrends.</w:t>
      </w:r>
    </w:p>
    <w:p>
      <w:r>
        <w:rPr>
          <w:b/>
        </w:rPr>
        <w:t xml:space="preserve">Ergebnis: </w:t>
      </w:r>
      <w:r>
        <w:t>Geburtshilfliche Serviceabsenz war hochgradig persistent (Prevalenz stabil bei 34,2 %). Bevölkerungsexposition sank (6,5 % auf 5,3 % der Frauen 15–44 Jahre in Counties ohne Services). Jährliche Übergänge waren selten (Eintritt ≤ 0,4 %; Austritt ≤ 0,9 %). Bedingte Verweilwahrscheinlichkeiten ≥ 0,991.</w:t>
      </w:r>
    </w:p>
    <w:p>
      <w:r>
        <w:rPr>
          <w:b/>
          <w:sz w:val="19"/>
        </w:rPr>
        <w:t xml:space="preserve">Übertragbarkeit: </w:t>
      </w:r>
      <w:r>
        <w:rPr>
          <w:sz w:val="19"/>
        </w:rPr>
        <w:t>USA, sehr dezentrales System; Frage aber für Strukturplanung relevant</w:t>
      </w:r>
    </w:p>
    <w:p>
      <w:r>
        <w:rPr>
          <w:color w:val="5A7D3A"/>
          <w:sz w:val="18"/>
        </w:rPr>
        <w:t>https://pubmed.ncbi.nlm.nih.gov/42663181/</w:t>
      </w:r>
    </w:p>
    <w:p>
      <w:pPr>
        <w:pStyle w:val="Heading2"/>
      </w:pPr>
      <w:r>
        <w:t>Naturgestützte Social Prescribing gegen Einsamkeit und Lebensqualität</w:t>
      </w:r>
    </w:p>
    <w:p>
      <w:r>
        <w:rPr>
          <w:i/>
          <w:color w:val="666666"/>
          <w:sz w:val="18"/>
        </w:rPr>
        <w:t>Coll-Planas L et al.  ·  Lancet Reg Health Eur  ·  18.08.2026  ·  PMID 42662493</w:t>
      </w:r>
    </w:p>
    <w:p>
      <w:r>
        <w:t>Randomisierte kontrollierte Studie in Barcelona zu natur- und gruppenbasierter sozialer Verschreibung (Friends in Nature) bei gefährdeten städtischen Erwachsenen versus aktive Signposting.</w:t>
      </w:r>
    </w:p>
    <w:p>
      <w:r>
        <w:rPr>
          <w:b/>
        </w:rPr>
        <w:t xml:space="preserve">Ergebnis: </w:t>
      </w:r>
      <w:r>
        <w:t>320 Teilnehmer (78% weiblich; Medianalter 62,8 Jahre) randomisiert. Bei 3 Monaten zeigten beide Gruppen signifikante Einsamkeitsreduktion um 10,5 % (Gesamtmittelwertänderung: -0,73; 95%-KI -1,04 bis -0,42), kein signifikanter Unterschied zwischen Gruppen (0,30; 95%-KI -0,26 bis 0,86; p = 0,296). Keine HRQoL-Veränderung.</w:t>
      </w:r>
    </w:p>
    <w:p>
      <w:r>
        <w:rPr>
          <w:b/>
          <w:sz w:val="19"/>
        </w:rPr>
        <w:t xml:space="preserve">Übertragbarkeit: </w:t>
      </w:r>
      <w:r>
        <w:rPr>
          <w:sz w:val="19"/>
        </w:rPr>
        <w:t>Spanien, EU-Sozialversicherung, städtischer Kontext mit Deprivation</w:t>
      </w:r>
    </w:p>
    <w:p>
      <w:r>
        <w:rPr>
          <w:color w:val="5A7D3A"/>
          <w:sz w:val="18"/>
        </w:rPr>
        <w:t>https://pubmed.ncbi.nlm.nih.gov/42662493/</w:t>
      </w:r>
    </w:p>
    <w:p>
      <w:pPr>
        <w:pStyle w:val="Heading2"/>
      </w:pPr>
      <w:r>
        <w:t>Patientensicherheitskultur in integrierten Gesundheits- und Sozialdiensten (Finnland)</w:t>
      </w:r>
    </w:p>
    <w:p>
      <w:r>
        <w:rPr>
          <w:i/>
          <w:color w:val="666666"/>
          <w:sz w:val="18"/>
        </w:rPr>
        <w:t>Hult M et al.  ·  BMJ Open Qual  ·  27.08.2026  ·  PMID 42660605</w:t>
      </w:r>
    </w:p>
    <w:p>
      <w:r>
        <w:t>Querschnittstudie zur Patientensicherheitskultur in 2623 Mitarbeitern von Krankenhaus-, Sozial- und Altenpflegediensten in finnischer Wellbeing Services County mittels SOPS 2.0 und Net Safety Score.</w:t>
      </w:r>
    </w:p>
    <w:p>
      <w:r>
        <w:rPr>
          <w:b/>
        </w:rPr>
        <w:t xml:space="preserve">Ergebnis: </w:t>
      </w:r>
      <w:r>
        <w:t>Teamwork erhielt höchste positive Bewertungen (71,1 %), Übergaben und Informationsaustausch niedrigste (22,6 %). Altenpflegedienste zeigten konsistent niedrigere Werte. Teamwork, Besetzung, Arbeitsgeschwindigkeit und organisatorisches Lernen waren stärkste NSS-Prädiktoren. Gesamtpositiv-NSS: 52,6 %. Regressionsmodelle erklärten 47,4 % (Krankenhaus), 47,0 % (Altenpflege) und 35,8 % (Sozial/Gesundheit) der NSS-Varianz.</w:t>
      </w:r>
    </w:p>
    <w:p>
      <w:r>
        <w:rPr>
          <w:b/>
          <w:sz w:val="19"/>
        </w:rPr>
        <w:t xml:space="preserve">Übertragbarkeit: </w:t>
      </w:r>
      <w:r>
        <w:rPr>
          <w:sz w:val="19"/>
        </w:rPr>
        <w:t>Finnland, steuerfinanziert, aber auf integrierte Versorgungskultur übertragbar</w:t>
      </w:r>
    </w:p>
    <w:p>
      <w:r>
        <w:rPr>
          <w:color w:val="5A7D3A"/>
          <w:sz w:val="18"/>
        </w:rPr>
        <w:t>https://pubmed.ncbi.nlm.nih.gov/42660605/</w:t>
      </w:r>
    </w:p>
    <w:p>
      <w:pPr>
        <w:pStyle w:val="Heading2"/>
      </w:pPr>
      <w:r>
        <w:t>Ambulante Nachsorge bei Diabetes nach ED-Entlassung</w:t>
      </w:r>
    </w:p>
    <w:p>
      <w:r>
        <w:rPr>
          <w:i/>
          <w:color w:val="666666"/>
          <w:sz w:val="18"/>
        </w:rPr>
        <w:t>Zikry HE et al.  ·  J Gen Intern Med  ·  26.08.2026  ·  PMID 42649455</w:t>
      </w:r>
    </w:p>
    <w:p>
      <w:r>
        <w:t>Retrospektive Kohortenstudie (131.881 Patienten mit kommerzieller/MA-Versicherung, 2016–2022) zu Häufigkeit, Timing und Patientencharakteristika für ambulante Nachsorge innerhalb 30 Tage nach ED-Entlassung wegen Diabetes.</w:t>
      </w:r>
    </w:p>
    <w:p>
      <w:r>
        <w:rPr>
          <w:b/>
        </w:rPr>
        <w:t xml:space="preserve">Ergebnis: </w:t>
      </w:r>
      <w:r>
        <w:t>46,1 % erhielten ambulante Nachsorge innerhalb 30 Tagen; 13,0 % kehrten vorher zur ED zurück. Nachsorgeraten stiegen moderat von 44 % (2016) auf 49 % (2022). Höheres Alter, kommerzielle Versicherung und vorherige ambulante Versorgungskontakte waren mit höherer Wahrscheinlichkeit assoziiert. Nicht-hispanische Schwarze, MA-Versicherte mit Niedrigeinkommenszuschuss, höhere Komorbiditäten und Typ-1-Diabetes zeigten niedrigere Wahrscheinlichkeit.</w:t>
      </w:r>
    </w:p>
    <w:p>
      <w:r>
        <w:rPr>
          <w:b/>
          <w:sz w:val="19"/>
        </w:rPr>
        <w:t xml:space="preserve">Übertragbarkeit: </w:t>
      </w:r>
      <w:r>
        <w:rPr>
          <w:sz w:val="19"/>
        </w:rPr>
        <w:t>USA, aber Kontinuitätslücke und Versorgungsübergänge sind systemunabhängig relevant</w:t>
      </w:r>
    </w:p>
    <w:p>
      <w:r>
        <w:rPr>
          <w:color w:val="5A7D3A"/>
          <w:sz w:val="18"/>
        </w:rPr>
        <w:t>https://pubmed.ncbi.nlm.nih.gov/42649455/</w:t>
      </w:r>
    </w:p>
    <w:p>
      <w:pPr>
        <w:pStyle w:val="Heading1"/>
      </w:pPr>
      <w:r>
        <w:t>Aufgenommen am 28.08.2026</w:t>
      </w:r>
    </w:p>
    <w:p>
      <w:pPr>
        <w:pStyle w:val="Heading2"/>
      </w:pPr>
      <w:r>
        <w:t>Implementierung von Rehabilitations-Robotik in Regelversorgung: Systematisches Mapping</w:t>
      </w:r>
    </w:p>
    <w:p>
      <w:r>
        <w:rPr>
          <w:i/>
          <w:color w:val="666666"/>
          <w:sz w:val="18"/>
        </w:rPr>
        <w:t>Calabrò RS et al.  ·  Healthcare (Basel)  ·  14.08.2026  ·  PMID 42651315</w:t>
      </w:r>
    </w:p>
    <w:p>
      <w:r>
        <w:t>Mapping-Review zu Service-Delivery-Modellen, Implementierungsfaktoren und Real-World-Outcomes von Rehabilitations-Robotik in neurorehabilitation Kliniken (55 Studien).</w:t>
      </w:r>
    </w:p>
    <w:p>
      <w:r>
        <w:rPr>
          <w:b/>
        </w:rPr>
        <w:t xml:space="preserve">Ergebnis: </w:t>
      </w:r>
      <w:r>
        <w:t>Personalausstattung in 90,9 % der Studien dokumentiert, Workflow/Planung in 78,2 %, Sicherheit in 58,2 %, Training in 52,7 % berichtet. Feasibility in 72,7 %, Akzeptabilität in 56,4 %, Adoption in 41,8 % dokumentiert. Nachhaltigkeit, technischer Support und Implementierungskosten unterberichtet.</w:t>
      </w:r>
    </w:p>
    <w:p>
      <w:r>
        <w:rPr>
          <w:b/>
          <w:sz w:val="19"/>
        </w:rPr>
        <w:t xml:space="preserve">Übertragbarkeit: </w:t>
      </w:r>
      <w:r>
        <w:rPr>
          <w:sz w:val="19"/>
        </w:rPr>
        <w:t>Implementierungsforschung, qualitative Evidenz; Systemkontext unterschiedlich aber methodisch relevant</w:t>
      </w:r>
    </w:p>
    <w:p>
      <w:r>
        <w:rPr>
          <w:color w:val="5A7D3A"/>
          <w:sz w:val="18"/>
        </w:rPr>
        <w:t>https://pubmed.ncbi.nlm.nih.gov/42651315/</w:t>
      </w:r>
    </w:p>
    <w:p>
      <w:pPr>
        <w:pStyle w:val="Heading2"/>
      </w:pPr>
      <w:r>
        <w:t>Peer Researcher in Surveys: Training, Support und Evaluation – Narrative Review</w:t>
      </w:r>
    </w:p>
    <w:p>
      <w:r>
        <w:rPr>
          <w:i/>
          <w:color w:val="666666"/>
          <w:sz w:val="18"/>
        </w:rPr>
        <w:t>Blunt TJG et al.  ·  Res Involv Engagem  ·  25.08.2026  ·  PMID 42642786</w:t>
      </w:r>
    </w:p>
    <w:p>
      <w:r>
        <w:t>Narrative Review von Literatur zu Involvement, Training und Evaluation von Peer Researchers bei survey-basierten Datenerhebungen (Fokus auf methodische Lücken).</w:t>
      </w:r>
    </w:p>
    <w:p>
      <w:r>
        <w:rPr>
          <w:b/>
        </w:rPr>
        <w:t xml:space="preserve">Ergebnis: </w:t>
      </w:r>
      <w:r>
        <w:t>PR-Rollen variabel, oft nur Datenerhebung. Training reicht von intensiv strukturiert bis minimal/absent. PR-Involvement verbesserte Rekrutierung, Rapport, Datentiefe, aber systematische Evaluation selten. Herausforderungen: Rollenklarheit unklar, unzureichende Unterstützung, hierarchische Dynamiken, Tokenismus.</w:t>
      </w:r>
    </w:p>
    <w:p>
      <w:r>
        <w:rPr>
          <w:b/>
          <w:sz w:val="19"/>
        </w:rPr>
        <w:t xml:space="preserve">Übertragbarkeit: </w:t>
      </w:r>
      <w:r>
        <w:rPr>
          <w:sz w:val="19"/>
        </w:rPr>
        <w:t>Partizipative Forschungsmethoden relevant für deutsches HSR; Evidenz international heterogen</w:t>
      </w:r>
    </w:p>
    <w:p>
      <w:r>
        <w:rPr>
          <w:color w:val="5A7D3A"/>
          <w:sz w:val="18"/>
        </w:rPr>
        <w:t>https://pubmed.ncbi.nlm.nih.gov/42642786/</w:t>
      </w:r>
    </w:p>
    <w:p>
      <w:pPr>
        <w:pStyle w:val="Heading2"/>
      </w:pPr>
      <w:r>
        <w:t>Systems Thinking in Public-Health-Interventionen: Barrieren und Facilitators</w:t>
      </w:r>
    </w:p>
    <w:p>
      <w:r>
        <w:rPr>
          <w:i/>
          <w:color w:val="666666"/>
          <w:sz w:val="18"/>
        </w:rPr>
        <w:t>Alabdulaali M et al.  ·  BMC Health Serv Res  ·  19.08.2026  ·  PMID 42642760</w:t>
      </w:r>
    </w:p>
    <w:p>
      <w:r>
        <w:t>Systematisches Review von 15 Studien zu Implementierung von Systems-Thinking-Ansätzen in Public-Health-Interventionen, Barrieren und Facilitators in 2013–2025.</w:t>
      </w:r>
    </w:p>
    <w:p>
      <w:r>
        <w:rPr>
          <w:b/>
        </w:rPr>
        <w:t xml:space="preserve">Ergebnis: </w:t>
      </w:r>
      <w:r>
        <w:t>Hauptfacilitatoren: Stakeholder-Engagement, Co-Production, Integration in bestehende Systeme, inkrementelle Kapazitätsbildung, Leadership-Support. Barrieren: Schwierigkeit, Systemkonzepte umzusetzen, Personalknappheit, fragmentierte Datensysteme, starre Governance, externe Disruptionen (z.B. COVID-19).</w:t>
      </w:r>
    </w:p>
    <w:p>
      <w:r>
        <w:rPr>
          <w:b/>
          <w:sz w:val="19"/>
        </w:rPr>
        <w:t xml:space="preserve">Übertragbarkeit: </w:t>
      </w:r>
      <w:r>
        <w:rPr>
          <w:sz w:val="19"/>
        </w:rPr>
        <w:t>Internationale Studien aber Implementierungsrahmen systemunabhängig; relevant für Reformkontexte wie Deutschland</w:t>
      </w:r>
    </w:p>
    <w:p>
      <w:r>
        <w:rPr>
          <w:color w:val="5A7D3A"/>
          <w:sz w:val="18"/>
        </w:rPr>
        <w:t>https://pubmed.ncbi.nlm.nih.gov/42642760/</w:t>
      </w:r>
    </w:p>
    <w:p>
      <w:pPr>
        <w:pStyle w:val="Heading2"/>
      </w:pPr>
      <w:r>
        <w:t>Räumliche Erreichbarkeit von Hospizen in Deutschland: Vergleich von Messmethoden</w:t>
      </w:r>
    </w:p>
    <w:p>
      <w:r>
        <w:rPr>
          <w:i/>
          <w:color w:val="666666"/>
          <w:sz w:val="18"/>
        </w:rPr>
        <w:t>Petzold T et al.  ·  BMC Health Serv Res  ·  21.08.2026  ·  PMID 42642757</w:t>
      </w:r>
    </w:p>
    <w:p>
      <w:r>
        <w:t>Vergleich von vier Methoden zur Messung der räumlichen Erreichbarkeit von Hospizen anhand von 295 deutschen Einrichtungen.</w:t>
      </w:r>
    </w:p>
    <w:p>
      <w:r>
        <w:rPr>
          <w:b/>
        </w:rPr>
        <w:t xml:space="preserve">Ergebnis: </w:t>
      </w:r>
      <w:r>
        <w:t>90,3 % der Bevölkerung erreichen ein Hospiz innerhalb von 30 min. Methoden zeigen unterschiedliche Ergebnisse: Provider-to-Population-Ratio zeigt 36,4 Betten pro 1 Mio. Einwohner national; FCA-Methoden sind heterogener, besonders in ländlichen Regionen. Die Wahl der Methode beeinflusst Ergebnisse erheblich.</w:t>
      </w:r>
    </w:p>
    <w:p>
      <w:r>
        <w:rPr>
          <w:b/>
          <w:sz w:val="19"/>
        </w:rPr>
        <w:t xml:space="preserve">Übertragbarkeit: </w:t>
      </w:r>
      <w:r>
        <w:rPr>
          <w:sz w:val="19"/>
        </w:rPr>
        <w:t>Deutsche Hospize, Routinedaten; direkt übertragbar auf deutsches Versorgungssystem</w:t>
      </w:r>
    </w:p>
    <w:p>
      <w:r>
        <w:rPr>
          <w:color w:val="5A7D3A"/>
          <w:sz w:val="18"/>
        </w:rPr>
        <w:t>https://pubmed.ncbi.nlm.nih.gov/42642757/</w:t>
      </w:r>
    </w:p>
    <w:p>
      <w:pPr>
        <w:pStyle w:val="Heading2"/>
      </w:pPr>
      <w:r>
        <w:t>Health Literacy und Malaria-Verhalten in Gabun: Assoziationen bei Prävention und Adhärenz</w:t>
      </w:r>
    </w:p>
    <w:p>
      <w:r>
        <w:rPr>
          <w:i/>
          <w:color w:val="666666"/>
          <w:sz w:val="18"/>
        </w:rPr>
        <w:t>Namubiru C et al.  ·  BMC Health Serv Res  ·  24.08.2026  ·  PMID 42642735</w:t>
      </w:r>
    </w:p>
    <w:p>
      <w:r>
        <w:t>Querschnittstudie zu Assoziationen zwischen Health Literacy und Malaria-Präventionsverhalten bei 504 Befragten in urban und ländlich Gabun.</w:t>
      </w:r>
    </w:p>
    <w:p>
      <w:r>
        <w:rPr>
          <w:b/>
        </w:rPr>
        <w:t xml:space="preserve">Ergebnis: </w:t>
      </w:r>
      <w:r>
        <w:t>59,7 % mit ausreichender Health Literacy (HL). HL assoziiert mit Dosierungswissen (AME 0,022, p&lt;0,001), Adhärenz (OR 1,089, p&lt;0,01), Fragen stellen (OR 1,092, p&lt;0,001) und Netztnutzung (p&lt;0,05). Keine Assoziation mit Behandlungssuche oder Buschrodung (p&gt;0,05).</w:t>
      </w:r>
    </w:p>
    <w:p>
      <w:r>
        <w:rPr>
          <w:b/>
          <w:sz w:val="19"/>
        </w:rPr>
        <w:t xml:space="preserve">Übertragbarkeit: </w:t>
      </w:r>
      <w:r>
        <w:rPr>
          <w:sz w:val="19"/>
        </w:rPr>
        <w:t>Ressourcen-limitiertes Setting mit anderen Prioritäten; Methodologie aber für Versorgungsforschung relevant</w:t>
      </w:r>
    </w:p>
    <w:p>
      <w:r>
        <w:rPr>
          <w:color w:val="5A7D3A"/>
          <w:sz w:val="18"/>
        </w:rPr>
        <w:t>https://pubmed.ncbi.nlm.nih.gov/42642735/</w:t>
      </w:r>
    </w:p>
    <w:p>
      <w:pPr>
        <w:pStyle w:val="Heading2"/>
      </w:pPr>
      <w:r>
        <w:t>Globale Fortschritte bei oralmedizinischen Bedingungen 2019–2023: GBD-Analyse</w:t>
      </w:r>
    </w:p>
    <w:p>
      <w:r>
        <w:rPr>
          <w:i/>
          <w:color w:val="666666"/>
          <w:sz w:val="18"/>
        </w:rPr>
        <w:t>GBD 2023 Oral Disorders Collaborators  ·  Lancet Public Health  ·  Sept. 2026  ·  PMID 42612648</w:t>
      </w:r>
    </w:p>
    <w:p>
      <w:r>
        <w:t>Systematische GBD-2023-Analyse zu globalen und regionalen Trends bei Prävalenz von Mundhöhlenerkrankungen (Karies, Parodontitis, Zahnlosigkeit) 2019–2023 gegenüber WHO-Ziel 2030.</w:t>
      </w:r>
    </w:p>
    <w:p>
      <w:r>
        <w:rPr>
          <w:b/>
        </w:rPr>
        <w:t xml:space="preserve">Ergebnis: </w:t>
      </w:r>
      <w:r>
        <w:t>Altersstandardisierte Prävalenz hauptsächlich sank um -1,55 % (95% UI -2,32 bis -0,82); absolute Fälle stiegen aber +3,07 %. Unbehandelte Karies in bleibenden Zähnen -1,99 %, orofaziale Spalten +2,25 %. Südasien -3,34 %, Sub-Sahara +9,51 %. Aktuelles Tempo unzureichend für 2030-Ziele.</w:t>
      </w:r>
    </w:p>
    <w:p>
      <w:r>
        <w:rPr>
          <w:b/>
          <w:sz w:val="19"/>
        </w:rPr>
        <w:t xml:space="preserve">Übertragbarkeit: </w:t>
      </w:r>
      <w:r>
        <w:rPr>
          <w:sz w:val="19"/>
        </w:rPr>
        <w:t>WHO-GBD-Daten global; Trendfeststellung systemunabhängig aber mit Lücken in DE-Datenerfassung</w:t>
      </w:r>
    </w:p>
    <w:p>
      <w:r>
        <w:rPr>
          <w:color w:val="5A7D3A"/>
          <w:sz w:val="18"/>
        </w:rPr>
        <w:t>https://pubmed.ncbi.nlm.nih.gov/42612648/</w:t>
      </w:r>
    </w:p>
    <w:p>
      <w:pPr>
        <w:pStyle w:val="Heading1"/>
      </w:pPr>
      <w:r>
        <w:t>Aufgenommen am 27.08.2026</w:t>
      </w:r>
    </w:p>
    <w:p>
      <w:pPr>
        <w:pStyle w:val="Heading2"/>
      </w:pPr>
      <w:r>
        <w:t>Safeguarding concerns older adults with dementia in England: distribution and disparities</w:t>
      </w:r>
    </w:p>
    <w:p>
      <w:r>
        <w:rPr>
          <w:i/>
          <w:color w:val="666666"/>
          <w:sz w:val="18"/>
        </w:rPr>
        <w:t>Maharani A et al.  ·  BMJ Open  ·  26.08.2026  ·  PMID 42648775</w:t>
      </w:r>
    </w:p>
    <w:p>
      <w:r>
        <w:t>Bevölkerungsgestützte Analyse räumlicher und zeitlicher Muster von Schutzmaßnahmen für demenzkranke Menschen in England zwischen 2015 und 2022.</w:t>
      </w:r>
    </w:p>
    <w:p>
      <w:r>
        <w:rPr>
          <w:b/>
        </w:rPr>
        <w:t xml:space="preserve">Ergebnis: </w:t>
      </w:r>
      <w:r>
        <w:t>Schutzmaßnahmen stiegen um 55,5 % (2015/16–2019/20); Frauen ab 85 Jahren zeigten höhere Raten; räumliche Variabilität: höhere Aktivität in urbanen und benachteiligten Regionen (Manchester, Liverpool, Midlands), niedrigere in ländlichen Gebieten.</w:t>
      </w:r>
    </w:p>
    <w:p>
      <w:r>
        <w:rPr>
          <w:b/>
          <w:sz w:val="19"/>
        </w:rPr>
        <w:t xml:space="preserve">Übertragbarkeit: </w:t>
      </w:r>
      <w:r>
        <w:rPr>
          <w:sz w:val="19"/>
        </w:rPr>
        <w:t>Großbritannien, administrative nationale Daten – eingeschränkt übertragbar wegen anderer Sozialsysteme</w:t>
      </w:r>
    </w:p>
    <w:p>
      <w:r>
        <w:rPr>
          <w:color w:val="5A7D3A"/>
          <w:sz w:val="18"/>
        </w:rPr>
        <w:t>https://pubmed.ncbi.nlm.nih.gov/42648775/</w:t>
      </w:r>
    </w:p>
    <w:p>
      <w:pPr>
        <w:pStyle w:val="Heading2"/>
      </w:pPr>
      <w:r>
        <w:t>Implementierung eines Care-Bundle für intracerebrale Blutungen in Nordengland</w:t>
      </w:r>
    </w:p>
    <w:p>
      <w:r>
        <w:rPr>
          <w:i/>
          <w:color w:val="666666"/>
          <w:sz w:val="18"/>
        </w:rPr>
        <w:t>Brunton L et al.  ·  BMJ Open Qual  ·  26.08.2026  ·  PMID 42648747</w:t>
      </w:r>
    </w:p>
    <w:p>
      <w:r>
        <w:t>Qualitative Prozessevaluation der Ausrollung eines ICH-Management-Bundles über sechs Regionen mit 45 Interviews, sechs Beobachtungen und Dokumentenanalyse.</w:t>
      </w:r>
    </w:p>
    <w:p>
      <w:r>
        <w:rPr>
          <w:b/>
        </w:rPr>
        <w:t xml:space="preserve">Ergebnis: </w:t>
      </w:r>
      <w:r>
        <w:t>Begünstigte Faktoren: Interventionsklarheit, Kompatibilität mit Kliniker-Werten, lokale Adaptabilität. Barrieren: mangelnde Fähigkeiten, kulturelle Normen führten zu Überweisungen unabhängig Kriterien, unzureichendes Monitoring der Prozeßziele.</w:t>
      </w:r>
    </w:p>
    <w:p>
      <w:r>
        <w:rPr>
          <w:b/>
          <w:sz w:val="19"/>
        </w:rPr>
        <w:t xml:space="preserve">Übertragbarkeit: </w:t>
      </w:r>
      <w:r>
        <w:rPr>
          <w:sz w:val="19"/>
        </w:rPr>
        <w:t>England, NHS-Kontext – bedingt übertragbar auf deutsches stationäres System</w:t>
      </w:r>
    </w:p>
    <w:p>
      <w:r>
        <w:rPr>
          <w:color w:val="5A7D3A"/>
          <w:sz w:val="18"/>
        </w:rPr>
        <w:t>https://pubmed.ncbi.nlm.nih.gov/42648747/</w:t>
      </w:r>
    </w:p>
    <w:p>
      <w:pPr>
        <w:pStyle w:val="Heading2"/>
      </w:pPr>
      <w:r>
        <w:t>Governance-Konfigurationen koordinierter Gesundheitsförderung in Kommunen</w:t>
      </w:r>
    </w:p>
    <w:p>
      <w:r>
        <w:rPr>
          <w:i/>
          <w:color w:val="666666"/>
          <w:sz w:val="18"/>
        </w:rPr>
        <w:t>Richter H et al.  ·  BMC Health Serv Res  ·  22.08.2026  ·  PMID 42642761</w:t>
      </w:r>
    </w:p>
    <w:p>
      <w:r>
        <w:t>Egozentrische Netzwerkanalyse der Koordinationsmuster von 14 Gesundheitsfachpersonen in deutschen Grundschulen und Nachbarschaften mit 662 erfassten Personen.</w:t>
      </w:r>
    </w:p>
    <w:p>
      <w:r>
        <w:rPr>
          <w:b/>
        </w:rPr>
        <w:t xml:space="preserve">Ergebnis: </w:t>
      </w:r>
      <w:r>
        <w:t>Drei Governance-Konfigurationen identifiziert: ego-abhängige Integration, ersetzbare Koordination und verteilte Integration. Netzwerkstabilität hängt weniger von Akteur-Dichte ab als von Struktur des Brokerage und Formalität alternativer Koordinationspfade.</w:t>
      </w:r>
    </w:p>
    <w:p>
      <w:r>
        <w:rPr>
          <w:b/>
          <w:sz w:val="19"/>
        </w:rPr>
        <w:t xml:space="preserve">Übertragbarkeit: </w:t>
      </w:r>
      <w:r>
        <w:rPr>
          <w:sz w:val="19"/>
        </w:rPr>
        <w:t>Deutschland, kommunale Gesundheitsförderung – direkt übertragbar</w:t>
      </w:r>
    </w:p>
    <w:p>
      <w:r>
        <w:rPr>
          <w:color w:val="5A7D3A"/>
          <w:sz w:val="18"/>
        </w:rPr>
        <w:t>https://pubmed.ncbi.nlm.nih.gov/42642761/</w:t>
      </w:r>
    </w:p>
    <w:p>
      <w:pPr>
        <w:pStyle w:val="Heading2"/>
      </w:pPr>
      <w:r>
        <w:t>Telemedicine in ländlicher Demenzversorgung in Hocheinkommensländern</w:t>
      </w:r>
    </w:p>
    <w:p>
      <w:r>
        <w:rPr>
          <w:i/>
          <w:color w:val="666666"/>
          <w:sz w:val="18"/>
        </w:rPr>
        <w:t>Devarshi R et al.  ·  BMC Health Serv Res  ·  19.08.2026  ·  PMID 42642758</w:t>
      </w:r>
    </w:p>
    <w:p>
      <w:r>
        <w:t>Scoping Review mit 9 Studien aus USA, Australien, Kanada, Griechenland und UK zur Integration von Telemedizin in ländliche Demenzsysteme (2014–2025).</w:t>
      </w:r>
    </w:p>
    <w:p>
      <w:r>
        <w:rPr>
          <w:b/>
        </w:rPr>
        <w:t xml:space="preserve">Ergebnis: </w:t>
      </w:r>
      <w:r>
        <w:t>Wichtige Barrieren: begrenzte Konnektivität, digitale Grundbildung, Gesundheitsbeeinträchtigungen; Begünstigter: Vertrauen zu Providern, organisationale Unterstützung. Strategien: Schulung, dedizierte Koordinationsrollen, Co-Design mit Patienten.</w:t>
      </w:r>
    </w:p>
    <w:p>
      <w:r>
        <w:rPr>
          <w:b/>
          <w:sz w:val="19"/>
        </w:rPr>
        <w:t xml:space="preserve">Übertragbarkeit: </w:t>
      </w:r>
      <w:r>
        <w:rPr>
          <w:sz w:val="19"/>
        </w:rPr>
        <w:t>Hocheinkommensländer, rural – teilweise übertragbar, systemische Unterschiede bei Finanzierung</w:t>
      </w:r>
    </w:p>
    <w:p>
      <w:r>
        <w:rPr>
          <w:color w:val="5A7D3A"/>
          <w:sz w:val="18"/>
        </w:rPr>
        <w:t>https://pubmed.ncbi.nlm.nih.gov/42642758/</w:t>
      </w:r>
    </w:p>
    <w:p>
      <w:pPr>
        <w:pStyle w:val="Heading2"/>
      </w:pPr>
      <w:r>
        <w:t>Überdiagnose in Krebsscreening: Perspektiven von Gesundheitsfachpersonen</w:t>
      </w:r>
    </w:p>
    <w:p>
      <w:r>
        <w:rPr>
          <w:i/>
          <w:color w:val="666666"/>
          <w:sz w:val="18"/>
        </w:rPr>
        <w:t>Piessens V et al.  ·  BMC Health Serv Res  ·  23.07.2026  ·  PMID 42642748</w:t>
      </w:r>
    </w:p>
    <w:p>
      <w:r>
        <w:t>Qualitative Interviews mit 34 Gesundheitsfachpersonen in Flandern zur Wahrnehmung und zum Umgang mit Überdiagnose in Brust-, Lungen- und Prostata-Screening.</w:t>
      </w:r>
    </w:p>
    <w:p>
      <w:r>
        <w:rPr>
          <w:b/>
        </w:rPr>
        <w:t xml:space="preserve">Ergebnis: </w:t>
      </w:r>
      <w:r>
        <w:t>Drei Positionen: RoutineScreening (Überdiagnose ignoriert), Determined Screening (Vorteile betont, Überdiagnose marginalisiert) und Cautious Screening (Überdiagnose kritisch). Begünstigte Faktoren für reflektiertes Handeln: umfassendes Verständnis von Nutzen und Schaden.</w:t>
      </w:r>
    </w:p>
    <w:p>
      <w:r>
        <w:rPr>
          <w:b/>
          <w:sz w:val="19"/>
        </w:rPr>
        <w:t xml:space="preserve">Übertragbarkeit: </w:t>
      </w:r>
      <w:r>
        <w:rPr>
          <w:sz w:val="19"/>
        </w:rPr>
        <w:t>Belgien, Sozialversicherungssystem – gut übertragbar auf Deutschland</w:t>
      </w:r>
    </w:p>
    <w:p>
      <w:r>
        <w:rPr>
          <w:color w:val="5A7D3A"/>
          <w:sz w:val="18"/>
        </w:rPr>
        <w:t>https://pubmed.ncbi.nlm.nih.gov/42642748/</w:t>
      </w:r>
    </w:p>
    <w:p>
      <w:pPr>
        <w:pStyle w:val="Heading1"/>
      </w:pPr>
      <w:r>
        <w:t>Aufgenommen am 26.08.2026</w:t>
      </w:r>
    </w:p>
    <w:p>
      <w:pPr>
        <w:pStyle w:val="Heading2"/>
      </w:pPr>
      <w:r>
        <w:t>Digitale Gesundheitsanwendungen: Unterschiede bei sozioökonomisch benachteiligten Chroniker-Patienten in den Niederlanden</w:t>
      </w:r>
    </w:p>
    <w:p>
      <w:r>
        <w:rPr>
          <w:i/>
          <w:color w:val="666666"/>
          <w:sz w:val="18"/>
        </w:rPr>
        <w:t>Standaar LMB et al.  ·  Inquiry  ·  25.08.2026  ·  PMID 42641147</w:t>
      </w:r>
    </w:p>
    <w:p>
      <w:r>
        <w:t>Querschnittsstudie zur Nutzung von fünf e-Health-Anwendungen (Websites, Apps, Wearables, Patientenportale, digitale Kommunikation) bei 1.517 Niederländern mit chronischen Erkrankungen in Abhängigkeit vom Bildungsattainment.</w:t>
      </w:r>
    </w:p>
    <w:p>
      <w:r>
        <w:rPr>
          <w:b/>
        </w:rPr>
        <w:t xml:space="preserve">Ergebnis: </w:t>
      </w:r>
      <w:r>
        <w:t>Personen mit niedriger Bildung nutzten signifikant weniger Websites (OR 4,78), Apps (OR 2,88), Wearables (OR 2,12) und Patientenportale (OR 3,24) als Hochgebildete. Hochgebildete waren eher zum E-Health-Einsatz geneigt (RRR 2,21) und weniger unsicher (RRR 0,56). Digitale Angebote erreichen nicht alle Patientengruppen gleich.</w:t>
      </w:r>
    </w:p>
    <w:p>
      <w:r>
        <w:rPr>
          <w:b/>
          <w:sz w:val="19"/>
        </w:rPr>
        <w:t xml:space="preserve">Übertragbarkeit: </w:t>
      </w:r>
      <w:r>
        <w:rPr>
          <w:sz w:val="19"/>
        </w:rPr>
        <w:t>Niederlande, vergleichbares Sozialversicherungssystem mit ähnlichen e-Health-Hürden</w:t>
      </w:r>
    </w:p>
    <w:p>
      <w:r>
        <w:rPr>
          <w:color w:val="5A7D3A"/>
          <w:sz w:val="18"/>
        </w:rPr>
        <w:t>https://pubmed.ncbi.nlm.nih.gov/42641147/</w:t>
      </w:r>
    </w:p>
    <w:p>
      <w:pPr>
        <w:pStyle w:val="Heading2"/>
      </w:pPr>
      <w:r>
        <w:t>Determinanten antimikrobieller Verschreibungsmuster in der pädiatrischen Ambulantversorgung in Ghana</w:t>
      </w:r>
    </w:p>
    <w:p>
      <w:r>
        <w:rPr>
          <w:i/>
          <w:color w:val="666666"/>
          <w:sz w:val="18"/>
        </w:rPr>
        <w:t>Aduful AK et al.  ·  BMJ Paediatr Open  ·  21.08.2026  ·  PMID 42629162</w:t>
      </w:r>
    </w:p>
    <w:p>
      <w:r>
        <w:t>Retrospektive Analyse von 3.244 Antibiotikaverordnungen aus 16.555 pädiatrischen Ambulanzkonsultationen in Ghana zur Assoziation von Patienten- und Anbietermerkmalen mit Verschreibungsangemessenheit.</w:t>
      </w:r>
    </w:p>
    <w:p>
      <w:r>
        <w:rPr>
          <w:b/>
        </w:rPr>
        <w:t xml:space="preserve">Ergebnis: </w:t>
      </w:r>
      <w:r>
        <w:t>Männliches Geschlecht war mit Verordnung ohne Indikation assoziiert (p=0,007); ältere Kinder und Patienten mit Fieber erhielten seltener unangemessene Antibiotika (p=0,030, p=0,036). Spezialisierte Pflegekräfte und Physician Assistants zeigten mehr unangemessene Verordnungen als Assistenzärzte (p&lt;0,001, p=0,005); medizinische Offiziere und Resident Doctors verschrieben angemessenere Dosierungen und Dauern.</w:t>
      </w:r>
    </w:p>
    <w:p>
      <w:r>
        <w:rPr>
          <w:b/>
          <w:sz w:val="19"/>
        </w:rPr>
        <w:t xml:space="preserve">Übertragbarkeit: </w:t>
      </w:r>
      <w:r>
        <w:rPr>
          <w:sz w:val="19"/>
        </w:rPr>
        <w:t>Nur bedingt: Ressourcenlimitiertes System mit anderer Personalstruktur als Deutschland</w:t>
      </w:r>
    </w:p>
    <w:p>
      <w:r>
        <w:rPr>
          <w:color w:val="5A7D3A"/>
          <w:sz w:val="18"/>
        </w:rPr>
        <w:t>https://pubmed.ncbi.nlm.nih.gov/42629162/</w:t>
      </w:r>
    </w:p>
    <w:p>
      <w:pPr>
        <w:pStyle w:val="Heading2"/>
      </w:pPr>
      <w:r>
        <w:t>Standardisiertes Messinstrument für patientenberichtete Soziodemografie in deutschen Gesundheitsstudien</w:t>
      </w:r>
    </w:p>
    <w:p>
      <w:r>
        <w:rPr>
          <w:i/>
          <w:color w:val="666666"/>
          <w:sz w:val="18"/>
        </w:rPr>
        <w:t>Boczor S et al.  ·  BMC Med Res Methodol  ·  20.08.2026  ·  PMID 42625156</w:t>
      </w:r>
    </w:p>
    <w:p>
      <w:r>
        <w:t>Entwicklung und Evaluation eines praktikablen Standardinstruments zur Erfassung von Patientensoziodemografie in Gesundheitsstudien durch Expertenpanel, Fokusgruppe und Pretests an 290 Patienten in einer deutschen Universitätsklinik.</w:t>
      </w:r>
    </w:p>
    <w:p>
      <w:r>
        <w:rPr>
          <w:b/>
        </w:rPr>
        <w:t xml:space="preserve">Ergebnis: </w:t>
      </w:r>
      <w:r>
        <w:t>Mit 290 Studienteilnehmern (51% der 574 angesprochenen Patienten, Median 40 Jahre, 55% weiblich) erreichte das Instrument Akzeptanz: 66% hielten die Länge für angemessen, 96% fanden es verständlich. Sieben Fragen zu Einkommenssituation zeigten Klärungsbedarf und wurden überarbeitet. Finale Instrument erfasst 14 standardisierte Variablen zu biologischem Geschlecht, Geburt, Familienstand, Haushalt, Bildung, Beruf und soziodemografischen Merkmalen.</w:t>
      </w:r>
    </w:p>
    <w:p>
      <w:r>
        <w:rPr>
          <w:b/>
          <w:sz w:val="19"/>
        </w:rPr>
        <w:t xml:space="preserve">Übertragbarkeit: </w:t>
      </w:r>
      <w:r>
        <w:rPr>
          <w:sz w:val="19"/>
        </w:rPr>
        <w:t>Deutschland, Universitätsmedizin mit patientenzentriertem Ansatz zur Versorgungsforschung</w:t>
      </w:r>
    </w:p>
    <w:p>
      <w:r>
        <w:rPr>
          <w:color w:val="5A7D3A"/>
          <w:sz w:val="18"/>
        </w:rPr>
        <w:t>https://pubmed.ncbi.nlm.nih.gov/42625156/</w:t>
      </w:r>
    </w:p>
    <w:p>
      <w:pPr>
        <w:pStyle w:val="Heading1"/>
      </w:pPr>
      <w:r>
        <w:t>Aufgenommen am 25.08.2026</w:t>
      </w:r>
    </w:p>
    <w:p>
      <w:pPr>
        <w:pStyle w:val="Heading2"/>
      </w:pPr>
      <w:r>
        <w:t>Sterblichkeit bei akuter Lebererkrankung in England: nationale Kohortenstudie</w:t>
      </w:r>
    </w:p>
    <w:p>
      <w:r>
        <w:rPr>
          <w:i/>
          <w:color w:val="666666"/>
          <w:sz w:val="18"/>
        </w:rPr>
        <w:t>Campbell C et al.  ·  Eur J Intern Med  ·  24.08.2026  ·  PMID 42637631</w:t>
      </w:r>
    </w:p>
    <w:p>
      <w:r>
        <w:t>Studie zur Langzeitsterblichkeit von 82.402 Patienten mit chronischer Lebererkrankung nach erstem Notfallaufenthalt in englischen Krankenhäusern (2012-2019).</w:t>
      </w:r>
    </w:p>
    <w:p>
      <w:r>
        <w:rPr>
          <w:b/>
        </w:rPr>
        <w:t xml:space="preserve">Ergebnis: </w:t>
      </w:r>
      <w:r>
        <w:t>5-Jahres-Mortalität 59,9%; Median-Überlebenszeit 2,72 Jahre (95%-KI 2,66-2,79). Regional erhöhte Mortalität außerhalb Londons (adjHR 1,06-1,19); Encephalopathie (adjHR 1,70), Aszites (adjHR 1,64) und gastrointestinale Blutung (adjHR 1,10) mit erhöhter Mortalität assoziiert.</w:t>
      </w:r>
    </w:p>
    <w:p>
      <w:r>
        <w:rPr>
          <w:b/>
          <w:sz w:val="19"/>
        </w:rPr>
        <w:t xml:space="preserve">Übertragbarkeit: </w:t>
      </w:r>
      <w:r>
        <w:rPr>
          <w:sz w:val="19"/>
        </w:rPr>
        <w:t>Englische Routinedaten; vergleichbar mit deutschem NHS-ähnlichen System in Versorgungssteuerung und Datenqualität.</w:t>
      </w:r>
    </w:p>
    <w:p>
      <w:r>
        <w:rPr>
          <w:color w:val="5A7D3A"/>
          <w:sz w:val="18"/>
        </w:rPr>
        <w:t>https://pubmed.ncbi.nlm.nih.gov/42637631/</w:t>
      </w:r>
    </w:p>
    <w:p>
      <w:pPr>
        <w:pStyle w:val="Heading2"/>
      </w:pPr>
      <w:r>
        <w:t>Apotheken-Interventionen bei niedriger Health Literacy: systematische Übersicht mit Co-Design-Fokus</w:t>
      </w:r>
    </w:p>
    <w:p>
      <w:r>
        <w:rPr>
          <w:i/>
          <w:color w:val="666666"/>
          <w:sz w:val="18"/>
        </w:rPr>
        <w:t>Suppiah SD et al.  ·  Res Social Adm Pharm  ·  22.08.2026  ·  PMID 42637584</w:t>
      </w:r>
    </w:p>
    <w:p>
      <w:r>
        <w:t>Systematische Übersicht von neun RCTs (13 Publikationen) zu Apotheken-Interventionen für chronisch kranke Erwachsene mit eingeschränkter Health Literacy.</w:t>
      </w:r>
    </w:p>
    <w:p>
      <w:r>
        <w:rPr>
          <w:b/>
        </w:rPr>
        <w:t xml:space="preserve">Ergebnis: </w:t>
      </w:r>
      <w:r>
        <w:t>Medikamentenverstehen verbesserte sich konsistent, besonders durch patientenzentrierte Medikamentenetiketten; Adherence-Effekte waren inkonsistent und nicht nachhaltig; Care-Transition-Interventionen zeigten teilweise Reduktion ungünstiger Events. Co-Design-Elemente waren in nur einem Trial dokumentiert. 10 Studien, alle niedriges bis moderates Bias-Risiko.</w:t>
      </w:r>
    </w:p>
    <w:p>
      <w:r>
        <w:rPr>
          <w:b/>
          <w:sz w:val="19"/>
        </w:rPr>
        <w:t xml:space="preserve">Übertragbarkeit: </w:t>
      </w:r>
      <w:r>
        <w:rPr>
          <w:sz w:val="19"/>
        </w:rPr>
        <w:t>Australisch-singapurisches Autorenteam; Konzepte zu Patient-zentrierten Interventionen auf deutschsprachigen Raum übertragbar.</w:t>
      </w:r>
    </w:p>
    <w:p>
      <w:r>
        <w:rPr>
          <w:color w:val="5A7D3A"/>
          <w:sz w:val="18"/>
        </w:rPr>
        <w:t>https://pubmed.ncbi.nlm.nih.gov/42637584/</w:t>
      </w:r>
    </w:p>
    <w:p>
      <w:pPr>
        <w:pStyle w:val="Heading1"/>
      </w:pPr>
      <w:r>
        <w:t>Aufgenommen am 24.08.2026</w:t>
      </w:r>
    </w:p>
    <w:p>
      <w:pPr>
        <w:pStyle w:val="Heading2"/>
      </w:pPr>
      <w:r>
        <w:t>Kontinuität der Betreuung und Risiken von Krankenhausaufenthalten und Mortalität bei COPD: eine landesweite Kohortenstudie</w:t>
      </w:r>
    </w:p>
    <w:p>
      <w:r>
        <w:rPr>
          <w:i/>
          <w:color w:val="666666"/>
          <w:sz w:val="18"/>
        </w:rPr>
        <w:t>Ko J et al.  ·  Int J Chron Obstruct Pulmon Dis  ·  18.08.2026  ·  PMID 42633418</w:t>
      </w:r>
    </w:p>
    <w:p>
      <w:r>
        <w:t>Eine südkoreanische Kohortenstudie mit 29.316 COPD-Neudiagnosen untersucht den Einfluss der Kontinuität der Betreuung auf COPD-Exazerbationen und Sterblichkeit.</w:t>
      </w:r>
    </w:p>
    <w:p>
      <w:r>
        <w:rPr>
          <w:b/>
        </w:rPr>
        <w:t xml:space="preserve">Ergebnis: </w:t>
      </w:r>
      <w:r>
        <w:t>Niedrige Kontinuitätsscores waren mit erhöhtem Risiko für COPD-Exazerbations-Krankenhausaufenthalte (HR 1,63; 95 % KI 1,45–1,83) und Gesamtmortalität (HR 1,25; 95 % KI 1,11–1,40) verbunden. Fragmentierte ambulante Betreuung erhöhte präventable Krankenhausaufenthalte deutlich.</w:t>
      </w:r>
    </w:p>
    <w:p>
      <w:r>
        <w:rPr>
          <w:b/>
          <w:sz w:val="19"/>
        </w:rPr>
        <w:t xml:space="preserve">Übertragbarkeit: </w:t>
      </w:r>
      <w:r>
        <w:rPr>
          <w:sz w:val="19"/>
        </w:rPr>
        <w:t>Südkorea – Sozialversicherungssystem, hohe Übertragbarkeit auf Deutschland.</w:t>
      </w:r>
    </w:p>
    <w:p>
      <w:r>
        <w:rPr>
          <w:color w:val="5A7D3A"/>
          <w:sz w:val="18"/>
        </w:rPr>
        <w:t>https://pubmed.ncbi.nlm.nih.gov/42633418/</w:t>
      </w:r>
    </w:p>
    <w:p>
      <w:pPr>
        <w:pStyle w:val="Heading2"/>
      </w:pPr>
      <w:r>
        <w:t>Einfluss von Alter, Gebrechlichkeit und Komorbiditäten auf Überleben nach Mitralklappenreparatur in Deutschland</w:t>
      </w:r>
    </w:p>
    <w:p>
      <w:r>
        <w:rPr>
          <w:i/>
          <w:color w:val="666666"/>
          <w:sz w:val="18"/>
        </w:rPr>
        <w:t>Piayda K et al.  ·  Int J Cardiol Heart Vasc  ·  12.08.2026  ·  PMID 42633073</w:t>
      </w:r>
    </w:p>
    <w:p>
      <w:r>
        <w:t>Eine deutsche Routinedatenstudie mit 4.896 Patienten untersucht Prognosen nach minimalinvasiver Mitralklappenreparatur hinsichtlich Alter, Gebrechlichkeit und Komorbiditäten.</w:t>
      </w:r>
    </w:p>
    <w:p>
      <w:r>
        <w:rPr>
          <w:b/>
        </w:rPr>
        <w:t xml:space="preserve">Ergebnis: </w:t>
      </w:r>
      <w:r>
        <w:t>Sehr alte Patienten (80–99 Jahre): OR 1,2 (95 % KI 1,07–1,49). Mit Pflegegrad 1–3: OR 1,43–2,09. Mit ≥3 Komorbiditäten: OR 2,82 (95 % KI 2,37–3,36). Medizinische Gesamtausgaben blieben gleich, aber Herzinsuffizienz-Krankenhausaufenthalte sanken.</w:t>
      </w:r>
    </w:p>
    <w:p>
      <w:r>
        <w:rPr>
          <w:b/>
          <w:sz w:val="19"/>
        </w:rPr>
        <w:t xml:space="preserve">Übertragbarkeit: </w:t>
      </w:r>
      <w:r>
        <w:rPr>
          <w:sz w:val="19"/>
        </w:rPr>
        <w:t>Deutsche Routinedaten (BARMER Krankenkasse), direkt übertragbar.</w:t>
      </w:r>
    </w:p>
    <w:p>
      <w:r>
        <w:rPr>
          <w:color w:val="5A7D3A"/>
          <w:sz w:val="18"/>
        </w:rPr>
        <w:t>https://pubmed.ncbi.nlm.nih.gov/42633073/</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2026-10-29T06:00:00Z</dcterms:created>
  <dcterms:modified xsi:type="dcterms:W3CDTF">2026-10-29T06:00:00Z</dcterms:modified>
  <cp:category/>
</cp:coreProperties>
</file>