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D4ED" w14:textId="77777777" w:rsidR="00F54630" w:rsidRDefault="004F225A" w:rsidP="003B4F50">
      <w:pPr>
        <w:ind w:left="708" w:hanging="708"/>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6891186E" w:rsid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El precio de bolsa de energía eléctrica del Mercado </w:t>
      </w:r>
      <w:r w:rsidR="00DD779B" w:rsidRPr="00DD779B">
        <w:rPr>
          <w:rFonts w:ascii="Times New Roman" w:hAnsi="Times New Roman" w:cs="Times New Roman"/>
          <w:sz w:val="24"/>
          <w:szCs w:val="24"/>
          <w:highlight w:val="cyan"/>
        </w:rPr>
        <w:t>Energía</w:t>
      </w:r>
      <w:r w:rsidRPr="003020B8">
        <w:rPr>
          <w:rFonts w:ascii="Times New Roman" w:hAnsi="Times New Roman" w:cs="Times New Roman"/>
          <w:sz w:val="24"/>
          <w:szCs w:val="24"/>
          <w:highlight w:val="yellow"/>
        </w:rPr>
        <w:t xml:space="preserve"> Mayorista (MEM) Colombiano está dado por diversos factores para que los generadores, consumidores  y comercializadores puedan operar de manera adecuada para que la demanda energética del país pueda</w:t>
      </w:r>
      <w:r w:rsidR="003B4F50">
        <w:rPr>
          <w:rFonts w:ascii="Times New Roman" w:hAnsi="Times New Roman" w:cs="Times New Roman"/>
          <w:sz w:val="24"/>
          <w:szCs w:val="24"/>
          <w:highlight w:val="yellow"/>
        </w:rPr>
        <w:t xml:space="preserve"> ser garantizada </w:t>
      </w:r>
      <w:r w:rsidRPr="003020B8">
        <w:rPr>
          <w:rFonts w:ascii="Times New Roman" w:hAnsi="Times New Roman" w:cs="Times New Roman"/>
          <w:sz w:val="24"/>
          <w:szCs w:val="24"/>
          <w:highlight w:val="yellow"/>
        </w:rPr>
        <w:t xml:space="preserve">y se </w:t>
      </w:r>
      <w:r w:rsidR="003B4F50">
        <w:rPr>
          <w:rFonts w:ascii="Times New Roman" w:hAnsi="Times New Roman" w:cs="Times New Roman"/>
          <w:sz w:val="24"/>
          <w:szCs w:val="24"/>
          <w:highlight w:val="yellow"/>
        </w:rPr>
        <w:t>pueda suplir dicha demanda a todos los usuarios del Sistema Interconectado Nacional-SIN</w:t>
      </w:r>
      <w:r w:rsidRPr="003020B8">
        <w:rPr>
          <w:rFonts w:ascii="Times New Roman" w:hAnsi="Times New Roman" w:cs="Times New Roman"/>
          <w:sz w:val="24"/>
          <w:szCs w:val="24"/>
          <w:highlight w:val="yellow"/>
        </w:rPr>
        <w:t>.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34438C0E" w14:textId="1710B4C9" w:rsidR="001E2203" w:rsidRPr="003020B8" w:rsidRDefault="001E2203" w:rsidP="004F225A">
      <w:pPr>
        <w:jc w:val="both"/>
        <w:rPr>
          <w:rFonts w:ascii="Times New Roman" w:hAnsi="Times New Roman" w:cs="Times New Roman"/>
          <w:sz w:val="24"/>
          <w:szCs w:val="24"/>
        </w:rPr>
      </w:pPr>
      <w:r w:rsidRPr="001E2203">
        <w:rPr>
          <w:rFonts w:ascii="Times New Roman" w:hAnsi="Times New Roman" w:cs="Times New Roman"/>
          <w:sz w:val="24"/>
          <w:szCs w:val="24"/>
          <w:highlight w:val="cyan"/>
        </w:rPr>
        <w:t>El precio de bolsa de energía eléctrica del Mercado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bookmarkStart w:id="0" w:name="_GoBack"/>
      <w:bookmarkEnd w:id="0"/>
    </w:p>
    <w:p w14:paraId="76F44720" w14:textId="1A74D58C" w:rsidR="001E2203" w:rsidRPr="001E2203" w:rsidRDefault="004F225A" w:rsidP="001E2203">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8E931EE" w14:textId="18907A03" w:rsidR="001E2203" w:rsidRPr="006E7890" w:rsidRDefault="001E2203" w:rsidP="001E2203">
      <w:pPr>
        <w:jc w:val="both"/>
        <w:rPr>
          <w:rFonts w:ascii="Times New Roman" w:hAnsi="Times New Roman" w:cs="Times New Roman"/>
          <w:b/>
          <w:sz w:val="24"/>
          <w:szCs w:val="24"/>
        </w:rPr>
      </w:pPr>
      <w:r w:rsidRPr="001E2203">
        <w:rPr>
          <w:rFonts w:ascii="Times New Roman" w:hAnsi="Times New Roman" w:cs="Times New Roman"/>
          <w:sz w:val="26"/>
          <w:szCs w:val="26"/>
          <w:highlight w:val="cyan"/>
        </w:rPr>
        <w:t xml:space="preserve">De acuerdo con </w:t>
      </w:r>
      <w:proofErr w:type="spellStart"/>
      <w:r w:rsidRPr="001E2203">
        <w:rPr>
          <w:rFonts w:ascii="Times New Roman" w:hAnsi="Times New Roman" w:cs="Times New Roman"/>
          <w:sz w:val="26"/>
          <w:szCs w:val="26"/>
          <w:highlight w:val="cyan"/>
        </w:rPr>
        <w:t>Trespala</w:t>
      </w:r>
      <w:r>
        <w:rPr>
          <w:rFonts w:ascii="Times New Roman" w:hAnsi="Times New Roman" w:cs="Times New Roman"/>
          <w:sz w:val="26"/>
          <w:szCs w:val="26"/>
          <w:highlight w:val="cyan"/>
        </w:rPr>
        <w:t>cios</w:t>
      </w:r>
      <w:proofErr w:type="spellEnd"/>
      <w:r>
        <w:rPr>
          <w:rFonts w:ascii="Times New Roman" w:hAnsi="Times New Roman" w:cs="Times New Roman"/>
          <w:sz w:val="26"/>
          <w:szCs w:val="26"/>
          <w:highlight w:val="cyan"/>
        </w:rPr>
        <w:t xml:space="preserve">, Pantoja &amp; </w:t>
      </w:r>
      <w:proofErr w:type="spellStart"/>
      <w:r>
        <w:rPr>
          <w:rFonts w:ascii="Times New Roman" w:hAnsi="Times New Roman" w:cs="Times New Roman"/>
          <w:sz w:val="26"/>
          <w:szCs w:val="26"/>
          <w:highlight w:val="cyan"/>
        </w:rPr>
        <w:t>Frernández</w:t>
      </w:r>
      <w:proofErr w:type="spellEnd"/>
      <w:r>
        <w:rPr>
          <w:rFonts w:ascii="Times New Roman" w:hAnsi="Times New Roman" w:cs="Times New Roman"/>
          <w:sz w:val="26"/>
          <w:szCs w:val="26"/>
          <w:highlight w:val="cyan"/>
        </w:rPr>
        <w:t xml:space="preserve"> (2017</w:t>
      </w:r>
      <w:r w:rsidRPr="001E2203">
        <w:rPr>
          <w:rFonts w:ascii="Times New Roman" w:hAnsi="Times New Roman" w:cs="Times New Roman"/>
          <w:sz w:val="26"/>
          <w:szCs w:val="26"/>
          <w:highlight w:val="cyan"/>
        </w:rPr>
        <w:t>), el mercado spot o la bolsa de energía 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r>
        <w:rPr>
          <w:rFonts w:ascii="Times New Roman" w:hAnsi="Times New Roman" w:cs="Times New Roman"/>
          <w:sz w:val="26"/>
          <w:szCs w:val="26"/>
        </w:rPr>
        <w:t xml:space="preserve"> </w:t>
      </w:r>
    </w:p>
    <w:p w14:paraId="115781F0" w14:textId="2D82851A" w:rsidR="001E2203" w:rsidRPr="001E2203" w:rsidRDefault="001E2203" w:rsidP="003020B8">
      <w:pPr>
        <w:jc w:val="both"/>
        <w:rPr>
          <w:rFonts w:ascii="Times New Roman" w:hAnsi="Times New Roman" w:cs="Times New Roman"/>
          <w:sz w:val="26"/>
          <w:szCs w:val="26"/>
          <w:highlight w:val="cyan"/>
        </w:rPr>
      </w:pPr>
    </w:p>
    <w:p w14:paraId="746B219A" w14:textId="546B796B"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De acuerdo con Poveda (2012), </w:t>
      </w:r>
      <w:r w:rsidR="003B4F50">
        <w:rPr>
          <w:rFonts w:ascii="Times New Roman" w:hAnsi="Times New Roman" w:cs="Times New Roman"/>
          <w:sz w:val="24"/>
          <w:szCs w:val="24"/>
          <w:highlight w:val="yellow"/>
        </w:rPr>
        <w:t xml:space="preserve"> </w:t>
      </w:r>
      <w:r w:rsidR="001E2203" w:rsidRPr="001E2203">
        <w:rPr>
          <w:rFonts w:ascii="Times New Roman" w:hAnsi="Times New Roman" w:cs="Times New Roman"/>
          <w:sz w:val="24"/>
          <w:szCs w:val="24"/>
          <w:highlight w:val="cyan"/>
        </w:rPr>
        <w:t xml:space="preserve">en el mercado energético colombiano, </w:t>
      </w:r>
      <w:r w:rsidRPr="003020B8">
        <w:rPr>
          <w:rFonts w:ascii="Times New Roman" w:hAnsi="Times New Roman" w:cs="Times New Roman"/>
          <w:sz w:val="24"/>
          <w:szCs w:val="24"/>
          <w:highlight w:val="yellow"/>
        </w:rPr>
        <w:t xml:space="preserve">el precio de bolsa está dado por la recolección de información de la generación de energía real que consta de los datos medidos, </w:t>
      </w:r>
      <w:r w:rsidRPr="003020B8">
        <w:rPr>
          <w:rFonts w:ascii="Times New Roman" w:hAnsi="Times New Roman" w:cs="Times New Roman"/>
          <w:sz w:val="24"/>
          <w:szCs w:val="24"/>
          <w:highlight w:val="yellow"/>
        </w:rPr>
        <w:lastRenderedPageBreak/>
        <w:t>adquiridos hora a hora, de cada uno de los generadores que se encuentren activos en el mercado.  A su vez, los comercializadores deben reportar los consumos de sus clientes no regulados</w:t>
      </w:r>
      <w:r w:rsidR="00553D62">
        <w:rPr>
          <w:rFonts w:ascii="Times New Roman" w:hAnsi="Times New Roman" w:cs="Times New Roman"/>
          <w:sz w:val="24"/>
          <w:szCs w:val="24"/>
          <w:highlight w:val="yellow"/>
        </w:rPr>
        <w:t xml:space="preserve"> y regulados</w:t>
      </w:r>
      <w:r w:rsidRPr="003020B8">
        <w:rPr>
          <w:rFonts w:ascii="Times New Roman" w:hAnsi="Times New Roman" w:cs="Times New Roman"/>
          <w:sz w:val="24"/>
          <w:szCs w:val="24"/>
          <w:highlight w:val="yellow"/>
        </w:rPr>
        <w:t xml:space="preserve"> para que, al día siguiente se cuente con las lecturas de los contadores de energía para que dicha información sea enviada de forma electrónica al ASIC (Administrador del Sistema de Intercambios Comerciales).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Los datos a utilizar para el desarrollo de la predicción,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lastRenderedPageBreak/>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como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E7890" w:rsidRDefault="004F225A" w:rsidP="006E7890">
      <w:pPr>
        <w:pStyle w:val="Prrafodelista"/>
        <w:numPr>
          <w:ilvl w:val="0"/>
          <w:numId w:val="1"/>
        </w:numPr>
        <w:jc w:val="both"/>
        <w:rPr>
          <w:rFonts w:ascii="Times New Roman" w:hAnsi="Times New Roman" w:cs="Times New Roman"/>
          <w:bCs/>
          <w:sz w:val="24"/>
          <w:szCs w:val="24"/>
        </w:rPr>
      </w:pPr>
      <w:r w:rsidRPr="006E7890">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4BB6445C"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no se modelará de manera lineal sino que se dispondrá de la herramienta de bosques y árboles para realizar la predicción. Con base en los predictores mencionados en la sección 3, se construirá el modelo con </w:t>
      </w:r>
      <w:proofErr w:type="spellStart"/>
      <w:r w:rsidRPr="006E7890">
        <w:rPr>
          <w:rFonts w:ascii="Times New Roman" w:hAnsi="Times New Roman" w:cs="Times New Roman"/>
          <w:bCs/>
          <w:sz w:val="24"/>
          <w:szCs w:val="24"/>
        </w:rPr>
        <w:t>Random</w:t>
      </w:r>
      <w:proofErr w:type="spellEnd"/>
      <w:r w:rsidRPr="006E7890">
        <w:rPr>
          <w:rFonts w:ascii="Times New Roman" w:hAnsi="Times New Roman" w:cs="Times New Roman"/>
          <w:bCs/>
          <w:sz w:val="24"/>
          <w:szCs w:val="24"/>
        </w:rPr>
        <w:t xml:space="preserve"> </w:t>
      </w:r>
      <w:proofErr w:type="spellStart"/>
      <w:r w:rsidRPr="006E7890">
        <w:rPr>
          <w:rFonts w:ascii="Times New Roman" w:hAnsi="Times New Roman" w:cs="Times New Roman"/>
          <w:bCs/>
          <w:sz w:val="24"/>
          <w:szCs w:val="24"/>
        </w:rPr>
        <w:t>Forest</w:t>
      </w:r>
      <w:proofErr w:type="spellEnd"/>
      <w:r w:rsidRPr="006E7890">
        <w:rPr>
          <w:rFonts w:ascii="Times New Roman" w:hAnsi="Times New Roman" w:cs="Times New Roman"/>
          <w:bCs/>
          <w:sz w:val="24"/>
          <w:szCs w:val="24"/>
        </w:rPr>
        <w:t xml:space="preserve"> o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 verificando antes si existe correlación entre las variables mencionadas anteriormente. </w:t>
      </w:r>
      <w:r w:rsidR="00B8744C">
        <w:rPr>
          <w:rFonts w:ascii="Times New Roman" w:hAnsi="Times New Roman" w:cs="Times New Roman"/>
          <w:bCs/>
          <w:sz w:val="24"/>
          <w:szCs w:val="24"/>
        </w:rPr>
        <w:t>Para ambos métodos, es necesario trabajar con herramientas específicas para series de tiempo, por lo cual, se hará una búsqueda de cómo se implementan los algoritmos para este caso.</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 Se propone la siguiente visualización de la página:</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lang w:eastAsia="es-CO"/>
        </w:rPr>
        <w:lastRenderedPageBreak/>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77777777"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5754CD1B" w14:textId="77777777" w:rsidR="001E2203" w:rsidRDefault="001E2203" w:rsidP="001E2203">
          <w:pPr>
            <w:pStyle w:val="Bibliografa"/>
            <w:ind w:left="720" w:hanging="720"/>
            <w:rPr>
              <w:noProof/>
              <w:lang w:val="es-ES"/>
            </w:rPr>
          </w:pPr>
          <w:r w:rsidRPr="001E2203">
            <w:rPr>
              <w:noProof/>
              <w:highlight w:val="cyan"/>
              <w:lang w:val="es-ES"/>
            </w:rPr>
            <w:t xml:space="preserve">Trespalacios Carrasquilla, A., Pantoja Robayo, J. O., &amp; Fernández Taborda, Ó. A. (2017). </w:t>
          </w:r>
          <w:r w:rsidRPr="001E2203">
            <w:rPr>
              <w:i/>
              <w:iCs/>
              <w:noProof/>
              <w:highlight w:val="cyan"/>
              <w:lang w:val="es-ES"/>
            </w:rPr>
            <w:t>Análisis de mercados de electricidad.</w:t>
          </w:r>
          <w:r w:rsidRPr="001E2203">
            <w:rPr>
              <w:noProof/>
              <w:highlight w:val="cyan"/>
              <w:lang w:val="es-ES"/>
            </w:rPr>
            <w:t xml:space="preserve"> EAFIT.</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5054781" w:rsidR="003020B8" w:rsidRPr="006E7890" w:rsidRDefault="001E2203" w:rsidP="003020B8">
      <w:pPr>
        <w:jc w:val="both"/>
        <w:rPr>
          <w:rFonts w:ascii="Times New Roman" w:hAnsi="Times New Roman" w:cs="Times New Roman"/>
          <w:b/>
          <w:sz w:val="24"/>
          <w:szCs w:val="24"/>
        </w:rPr>
      </w:pPr>
      <w:sdt>
        <w:sdtPr>
          <w:rPr>
            <w:rFonts w:ascii="Times New Roman" w:hAnsi="Times New Roman" w:cs="Times New Roman"/>
            <w:b/>
            <w:sz w:val="24"/>
            <w:szCs w:val="24"/>
          </w:rPr>
          <w:id w:val="-1431044390"/>
          <w:citation/>
        </w:sdt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Tre17 \l 9226 </w:instrText>
          </w:r>
          <w:r>
            <w:rPr>
              <w:rFonts w:ascii="Times New Roman" w:hAnsi="Times New Roman" w:cs="Times New Roman"/>
              <w:b/>
              <w:sz w:val="24"/>
              <w:szCs w:val="24"/>
            </w:rPr>
            <w:fldChar w:fldCharType="separate"/>
          </w:r>
          <w:r w:rsidRPr="001E2203">
            <w:rPr>
              <w:rFonts w:ascii="Times New Roman" w:hAnsi="Times New Roman" w:cs="Times New Roman"/>
              <w:noProof/>
              <w:sz w:val="24"/>
              <w:szCs w:val="24"/>
            </w:rPr>
            <w:t>(Trespalacios Carrasquilla, Pantoja Robayo, &amp; Fernández Taborda, 2017)</w:t>
          </w:r>
          <w:r>
            <w:rPr>
              <w:rFonts w:ascii="Times New Roman" w:hAnsi="Times New Roman" w:cs="Times New Roman"/>
              <w:b/>
              <w:sz w:val="24"/>
              <w:szCs w:val="24"/>
            </w:rPr>
            <w:fldChar w:fldCharType="end"/>
          </w:r>
        </w:sdtContent>
      </w:sdt>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5A"/>
    <w:rsid w:val="001E2203"/>
    <w:rsid w:val="003020B8"/>
    <w:rsid w:val="00384185"/>
    <w:rsid w:val="003B4F50"/>
    <w:rsid w:val="00436B22"/>
    <w:rsid w:val="004F225A"/>
    <w:rsid w:val="00553D62"/>
    <w:rsid w:val="006E7890"/>
    <w:rsid w:val="00746BE6"/>
    <w:rsid w:val="007B0B25"/>
    <w:rsid w:val="008A0EFC"/>
    <w:rsid w:val="009623DE"/>
    <w:rsid w:val="009C3CF3"/>
    <w:rsid w:val="00A903A2"/>
    <w:rsid w:val="00B8015F"/>
    <w:rsid w:val="00B8744C"/>
    <w:rsid w:val="00C83079"/>
    <w:rsid w:val="00C859E7"/>
    <w:rsid w:val="00CF7DD4"/>
    <w:rsid w:val="00DB0A0A"/>
    <w:rsid w:val="00DD779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2203"/>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 w:type="character" w:customStyle="1" w:styleId="Ttulo1Car">
    <w:name w:val="Título 1 Car"/>
    <w:basedOn w:val="Fuentedeprrafopredeter"/>
    <w:link w:val="Ttulo1"/>
    <w:uiPriority w:val="9"/>
    <w:rsid w:val="001E2203"/>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0975414">
      <w:bodyDiv w:val="1"/>
      <w:marLeft w:val="0"/>
      <w:marRight w:val="0"/>
      <w:marTop w:val="0"/>
      <w:marBottom w:val="0"/>
      <w:divBdr>
        <w:top w:val="none" w:sz="0" w:space="0" w:color="auto"/>
        <w:left w:val="none" w:sz="0" w:space="0" w:color="auto"/>
        <w:bottom w:val="none" w:sz="0" w:space="0" w:color="auto"/>
        <w:right w:val="none" w:sz="0" w:space="0" w:color="auto"/>
      </w:divBdr>
    </w:div>
    <w:div w:id="1989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2</b:RefOrder>
  </b:Source>
  <b:Source>
    <b:Tag>Tre17</b:Tag>
    <b:SourceType>Book</b:SourceType>
    <b:Guid>{54453C40-8AF9-451F-A1D3-16809F3F206B}</b:Guid>
    <b:Title>Análisis de mercados de electricidad</b:Title>
    <b:Year>2017</b:Year>
    <b:Author>
      <b:Author>
        <b:NameList>
          <b:Person>
            <b:Last>Trespalacios Carrasquilla</b:Last>
            <b:First>Alfredo</b:First>
          </b:Person>
          <b:Person>
            <b:Last>Pantoja Robayo</b:Last>
            <b:Middle>Orlando </b:Middle>
            <b:First>Javier</b:First>
          </b:Person>
          <b:Person>
            <b:Last>Fernández Taborda</b:Last>
            <b:Middle>Alonso</b:Middle>
            <b:First>Óscar</b:First>
          </b:Person>
        </b:NameList>
      </b:Author>
    </b:Author>
    <b:Publisher>EAFIT</b:Publisher>
    <b:RefOrder>1</b:RefOrder>
  </b:Source>
</b:Sources>
</file>

<file path=customXml/itemProps1.xml><?xml version="1.0" encoding="utf-8"?>
<ds:datastoreItem xmlns:ds="http://schemas.openxmlformats.org/officeDocument/2006/customXml" ds:itemID="{78356E65-DD47-4BBC-AE77-416245E4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4</Pages>
  <Words>1239</Words>
  <Characters>6819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19</cp:revision>
  <dcterms:created xsi:type="dcterms:W3CDTF">2022-07-15T22:11:00Z</dcterms:created>
  <dcterms:modified xsi:type="dcterms:W3CDTF">2022-07-18T20:52:00Z</dcterms:modified>
</cp:coreProperties>
</file>