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FD4ED" w14:textId="77777777" w:rsidR="00F54630" w:rsidRDefault="004F225A" w:rsidP="003B4F50">
      <w:pPr>
        <w:ind w:left="708" w:hanging="708"/>
        <w:jc w:val="center"/>
        <w:rPr>
          <w:rFonts w:ascii="Times New Roman" w:hAnsi="Times New Roman" w:cs="Times New Roman"/>
          <w:b/>
          <w:sz w:val="38"/>
          <w:szCs w:val="38"/>
        </w:rPr>
      </w:pPr>
      <w:r w:rsidRPr="004F225A">
        <w:rPr>
          <w:rFonts w:ascii="Times New Roman" w:hAnsi="Times New Roman" w:cs="Times New Roman"/>
          <w:b/>
          <w:sz w:val="38"/>
          <w:szCs w:val="38"/>
        </w:rPr>
        <w:t>Proyecto final: Entrega inicial</w:t>
      </w:r>
    </w:p>
    <w:p w14:paraId="44D88946" w14:textId="18A828FD" w:rsidR="004F225A" w:rsidRPr="004F225A" w:rsidRDefault="004F225A" w:rsidP="004F225A">
      <w:pPr>
        <w:jc w:val="center"/>
        <w:rPr>
          <w:rFonts w:ascii="Times New Roman" w:hAnsi="Times New Roman" w:cs="Times New Roman"/>
          <w:sz w:val="32"/>
          <w:szCs w:val="32"/>
        </w:rPr>
      </w:pPr>
      <w:r w:rsidRPr="004F225A">
        <w:rPr>
          <w:rFonts w:ascii="Times New Roman" w:hAnsi="Times New Roman" w:cs="Times New Roman"/>
          <w:sz w:val="32"/>
          <w:szCs w:val="32"/>
        </w:rPr>
        <w:t xml:space="preserve">Predicción del precio de bolsa de energía eléctrica del </w:t>
      </w:r>
      <w:r w:rsidR="003020B8">
        <w:rPr>
          <w:rFonts w:ascii="Times New Roman" w:hAnsi="Times New Roman" w:cs="Times New Roman"/>
          <w:sz w:val="32"/>
          <w:szCs w:val="32"/>
        </w:rPr>
        <w:t>M</w:t>
      </w:r>
      <w:r w:rsidRPr="004F225A">
        <w:rPr>
          <w:rFonts w:ascii="Times New Roman" w:hAnsi="Times New Roman" w:cs="Times New Roman"/>
          <w:sz w:val="32"/>
          <w:szCs w:val="32"/>
        </w:rPr>
        <w:t xml:space="preserve">ercado </w:t>
      </w:r>
      <w:r w:rsidR="00DD779B">
        <w:rPr>
          <w:rFonts w:ascii="Times New Roman" w:hAnsi="Times New Roman" w:cs="Times New Roman"/>
          <w:sz w:val="32"/>
          <w:szCs w:val="32"/>
        </w:rPr>
        <w:t>Energía</w:t>
      </w:r>
      <w:r w:rsidRPr="004F225A">
        <w:rPr>
          <w:rFonts w:ascii="Times New Roman" w:hAnsi="Times New Roman" w:cs="Times New Roman"/>
          <w:sz w:val="32"/>
          <w:szCs w:val="32"/>
        </w:rPr>
        <w:t xml:space="preserve"> </w:t>
      </w:r>
      <w:r w:rsidR="003020B8">
        <w:rPr>
          <w:rFonts w:ascii="Times New Roman" w:hAnsi="Times New Roman" w:cs="Times New Roman"/>
          <w:sz w:val="32"/>
          <w:szCs w:val="32"/>
        </w:rPr>
        <w:t>M</w:t>
      </w:r>
      <w:r w:rsidRPr="004F225A">
        <w:rPr>
          <w:rFonts w:ascii="Times New Roman" w:hAnsi="Times New Roman" w:cs="Times New Roman"/>
          <w:sz w:val="32"/>
          <w:szCs w:val="32"/>
        </w:rPr>
        <w:t>ayorista Colombiano</w:t>
      </w:r>
    </w:p>
    <w:p w14:paraId="421721F7" w14:textId="77777777" w:rsidR="004F225A" w:rsidRPr="004F225A" w:rsidRDefault="004F225A" w:rsidP="004F225A">
      <w:pPr>
        <w:jc w:val="center"/>
        <w:rPr>
          <w:rFonts w:ascii="Times New Roman" w:hAnsi="Times New Roman" w:cs="Times New Roman"/>
          <w:sz w:val="26"/>
          <w:szCs w:val="26"/>
          <w:lang w:val="en-US"/>
        </w:rPr>
      </w:pPr>
      <w:r w:rsidRPr="004F225A">
        <w:rPr>
          <w:rFonts w:ascii="Times New Roman" w:hAnsi="Times New Roman" w:cs="Times New Roman"/>
          <w:sz w:val="26"/>
          <w:szCs w:val="26"/>
          <w:lang w:val="en-US"/>
        </w:rPr>
        <w:t>MECA 4107: Big Data and Machine Learning for Applied Economics</w:t>
      </w:r>
    </w:p>
    <w:p w14:paraId="0C7ECAEA" w14:textId="77777777" w:rsidR="004F225A" w:rsidRPr="004F225A" w:rsidRDefault="004F225A" w:rsidP="004F225A">
      <w:pPr>
        <w:jc w:val="center"/>
        <w:rPr>
          <w:rFonts w:ascii="Times New Roman" w:hAnsi="Times New Roman" w:cs="Times New Roman"/>
          <w:sz w:val="30"/>
          <w:szCs w:val="30"/>
        </w:rPr>
      </w:pPr>
      <w:r w:rsidRPr="004F225A">
        <w:rPr>
          <w:rFonts w:ascii="Times New Roman" w:hAnsi="Times New Roman" w:cs="Times New Roman"/>
          <w:sz w:val="30"/>
          <w:szCs w:val="30"/>
        </w:rPr>
        <w:t>Andrea Margarita Beleño, María Valeria Gaona Guevara</w:t>
      </w:r>
    </w:p>
    <w:p w14:paraId="323D805C" w14:textId="69AC589C" w:rsidR="004F225A" w:rsidRDefault="004F225A" w:rsidP="004F225A">
      <w:pPr>
        <w:jc w:val="both"/>
        <w:rPr>
          <w:rFonts w:ascii="Times New Roman" w:hAnsi="Times New Roman" w:cs="Times New Roman"/>
          <w:b/>
          <w:sz w:val="26"/>
          <w:szCs w:val="26"/>
        </w:rPr>
      </w:pPr>
      <w:r>
        <w:rPr>
          <w:rFonts w:ascii="Times New Roman" w:hAnsi="Times New Roman" w:cs="Times New Roman"/>
          <w:sz w:val="36"/>
          <w:szCs w:val="36"/>
        </w:rPr>
        <w:tab/>
      </w:r>
      <w:r>
        <w:rPr>
          <w:rFonts w:ascii="Times New Roman" w:hAnsi="Times New Roman" w:cs="Times New Roman"/>
          <w:b/>
          <w:sz w:val="26"/>
          <w:szCs w:val="26"/>
        </w:rPr>
        <w:t>Resumen</w:t>
      </w:r>
    </w:p>
    <w:p w14:paraId="2692821E" w14:textId="6891186E" w:rsidR="003020B8" w:rsidRDefault="003020B8" w:rsidP="004F225A">
      <w:pPr>
        <w:jc w:val="both"/>
        <w:rPr>
          <w:rFonts w:ascii="Times New Roman" w:hAnsi="Times New Roman" w:cs="Times New Roman"/>
          <w:sz w:val="24"/>
          <w:szCs w:val="24"/>
        </w:rPr>
      </w:pPr>
      <w:r w:rsidRPr="003020B8">
        <w:rPr>
          <w:rFonts w:ascii="Times New Roman" w:hAnsi="Times New Roman" w:cs="Times New Roman"/>
          <w:sz w:val="24"/>
          <w:szCs w:val="24"/>
          <w:highlight w:val="yellow"/>
        </w:rPr>
        <w:t xml:space="preserve">El precio de bolsa de energía eléctrica del Mercado </w:t>
      </w:r>
      <w:r w:rsidR="00DD779B" w:rsidRPr="00DD779B">
        <w:rPr>
          <w:rFonts w:ascii="Times New Roman" w:hAnsi="Times New Roman" w:cs="Times New Roman"/>
          <w:sz w:val="24"/>
          <w:szCs w:val="24"/>
          <w:highlight w:val="cyan"/>
        </w:rPr>
        <w:t>Energía</w:t>
      </w:r>
      <w:r w:rsidRPr="003020B8">
        <w:rPr>
          <w:rFonts w:ascii="Times New Roman" w:hAnsi="Times New Roman" w:cs="Times New Roman"/>
          <w:sz w:val="24"/>
          <w:szCs w:val="24"/>
          <w:highlight w:val="yellow"/>
        </w:rPr>
        <w:t xml:space="preserve"> Mayorista (MEM) Colombiano está dado por diversos factores para que los generadores, consumidores  y comercializadores puedan operar de manera adecuada para que la demanda energética del país pueda</w:t>
      </w:r>
      <w:r w:rsidR="003B4F50">
        <w:rPr>
          <w:rFonts w:ascii="Times New Roman" w:hAnsi="Times New Roman" w:cs="Times New Roman"/>
          <w:sz w:val="24"/>
          <w:szCs w:val="24"/>
          <w:highlight w:val="yellow"/>
        </w:rPr>
        <w:t xml:space="preserve"> ser garantizada </w:t>
      </w:r>
      <w:r w:rsidRPr="003020B8">
        <w:rPr>
          <w:rFonts w:ascii="Times New Roman" w:hAnsi="Times New Roman" w:cs="Times New Roman"/>
          <w:sz w:val="24"/>
          <w:szCs w:val="24"/>
          <w:highlight w:val="yellow"/>
        </w:rPr>
        <w:t xml:space="preserve">y se </w:t>
      </w:r>
      <w:r w:rsidR="003B4F50">
        <w:rPr>
          <w:rFonts w:ascii="Times New Roman" w:hAnsi="Times New Roman" w:cs="Times New Roman"/>
          <w:sz w:val="24"/>
          <w:szCs w:val="24"/>
          <w:highlight w:val="yellow"/>
        </w:rPr>
        <w:t>pueda suplir dicha demanda a todos los usuarios del Sistema Interconectado Nacional-SIN</w:t>
      </w:r>
      <w:r w:rsidRPr="003020B8">
        <w:rPr>
          <w:rFonts w:ascii="Times New Roman" w:hAnsi="Times New Roman" w:cs="Times New Roman"/>
          <w:sz w:val="24"/>
          <w:szCs w:val="24"/>
          <w:highlight w:val="yellow"/>
        </w:rPr>
        <w:t>. Es por ello que es fundamental el análisis de este mercado para que a medida que pase el tiempo, los agentes que participan en este mercado puedan identificar factores de riesgo más rápido y así, tomar las mejores decisiones para la economía y  distribución de energía del país.</w:t>
      </w:r>
    </w:p>
    <w:p w14:paraId="34438C0E" w14:textId="1710B4C9" w:rsidR="001E2203" w:rsidRPr="003020B8" w:rsidRDefault="001E2203" w:rsidP="004F225A">
      <w:pPr>
        <w:jc w:val="both"/>
        <w:rPr>
          <w:rFonts w:ascii="Times New Roman" w:hAnsi="Times New Roman" w:cs="Times New Roman"/>
          <w:sz w:val="24"/>
          <w:szCs w:val="24"/>
        </w:rPr>
      </w:pPr>
      <w:r w:rsidRPr="001E2203">
        <w:rPr>
          <w:rFonts w:ascii="Times New Roman" w:hAnsi="Times New Roman" w:cs="Times New Roman"/>
          <w:sz w:val="24"/>
          <w:szCs w:val="24"/>
          <w:highlight w:val="cyan"/>
        </w:rPr>
        <w:t>El precio de bolsa de energía eléctrica del Mercado Energía Mayorista (MEM) Colombiano está dado por diversos factores para generar un ambiente propicio de competencia y formación eficiente de precios, que le permitan a la demanda tener precios óptimos. Es por ello que es fundamental el análisis de este mercado para que a medida que pase el tiempo, los agentes que participan en este mercado puedan identificar factores de riesgo más rápido y así, tomar las mejores decisiones para la economía y  distribución de energía del país.</w:t>
      </w:r>
    </w:p>
    <w:p w14:paraId="76F44720" w14:textId="1A74D58C" w:rsidR="001E2203" w:rsidRPr="001E2203" w:rsidRDefault="004F225A" w:rsidP="001E2203">
      <w:pPr>
        <w:pStyle w:val="Prrafodelista"/>
        <w:numPr>
          <w:ilvl w:val="0"/>
          <w:numId w:val="1"/>
        </w:numPr>
        <w:jc w:val="both"/>
        <w:rPr>
          <w:rFonts w:ascii="Times New Roman" w:hAnsi="Times New Roman" w:cs="Times New Roman"/>
          <w:b/>
          <w:sz w:val="26"/>
          <w:szCs w:val="26"/>
        </w:rPr>
      </w:pPr>
      <w:r>
        <w:rPr>
          <w:rFonts w:ascii="Times New Roman" w:hAnsi="Times New Roman" w:cs="Times New Roman"/>
          <w:b/>
          <w:sz w:val="26"/>
          <w:szCs w:val="26"/>
        </w:rPr>
        <w:t>Introducción</w:t>
      </w:r>
      <w:r w:rsidR="00CF7DD4">
        <w:rPr>
          <w:rFonts w:ascii="Times New Roman" w:hAnsi="Times New Roman" w:cs="Times New Roman"/>
          <w:b/>
          <w:sz w:val="26"/>
          <w:szCs w:val="26"/>
        </w:rPr>
        <w:t xml:space="preserve"> (</w:t>
      </w:r>
      <w:proofErr w:type="spellStart"/>
      <w:r w:rsidR="00CF7DD4">
        <w:rPr>
          <w:rFonts w:ascii="Times New Roman" w:hAnsi="Times New Roman" w:cs="Times New Roman"/>
          <w:b/>
          <w:sz w:val="26"/>
          <w:szCs w:val="26"/>
        </w:rPr>
        <w:t>Sufficient</w:t>
      </w:r>
      <w:proofErr w:type="spellEnd"/>
      <w:r w:rsidR="00CF7DD4">
        <w:rPr>
          <w:rFonts w:ascii="Times New Roman" w:hAnsi="Times New Roman" w:cs="Times New Roman"/>
          <w:b/>
          <w:sz w:val="26"/>
          <w:szCs w:val="26"/>
        </w:rPr>
        <w:t xml:space="preserve"> </w:t>
      </w:r>
      <w:proofErr w:type="spellStart"/>
      <w:r w:rsidR="00CF7DD4">
        <w:rPr>
          <w:rFonts w:ascii="Times New Roman" w:hAnsi="Times New Roman" w:cs="Times New Roman"/>
          <w:b/>
          <w:sz w:val="26"/>
          <w:szCs w:val="26"/>
        </w:rPr>
        <w:t>Background</w:t>
      </w:r>
      <w:proofErr w:type="spellEnd"/>
      <w:r w:rsidR="00CF7DD4">
        <w:rPr>
          <w:rFonts w:ascii="Times New Roman" w:hAnsi="Times New Roman" w:cs="Times New Roman"/>
          <w:b/>
          <w:sz w:val="26"/>
          <w:szCs w:val="26"/>
        </w:rPr>
        <w:t>)</w:t>
      </w:r>
    </w:p>
    <w:p w14:paraId="0C5F7E71" w14:textId="41456DDD" w:rsidR="003020B8" w:rsidRDefault="003020B8" w:rsidP="003020B8">
      <w:pPr>
        <w:jc w:val="both"/>
        <w:rPr>
          <w:rFonts w:ascii="Times New Roman" w:hAnsi="Times New Roman" w:cs="Times New Roman"/>
          <w:sz w:val="24"/>
          <w:szCs w:val="24"/>
          <w:highlight w:val="yellow"/>
        </w:rPr>
      </w:pPr>
      <w:r w:rsidRPr="003020B8">
        <w:rPr>
          <w:rFonts w:ascii="Times New Roman" w:hAnsi="Times New Roman" w:cs="Times New Roman"/>
          <w:sz w:val="24"/>
          <w:szCs w:val="24"/>
          <w:highlight w:val="yellow"/>
        </w:rPr>
        <w:t xml:space="preserve">El mercado eléctrico Colombiano es un mercado competitivo en donde participan generadores, transmisores, distribuidores, consumidores y comercializadores de energía. Este mercado se divide en dos segmentos: Corto y  largo plazo, sin embargo, en el siguiente documento se presentará el análisis del mercado en corto plazo por medio de la bolsa de energía de Colombia, la cual es  administrada por XM,  en donde </w:t>
      </w:r>
      <w:r w:rsidR="006E7890">
        <w:rPr>
          <w:rFonts w:ascii="Times New Roman" w:hAnsi="Times New Roman" w:cs="Times New Roman"/>
          <w:sz w:val="24"/>
          <w:szCs w:val="24"/>
          <w:highlight w:val="yellow"/>
        </w:rPr>
        <w:t>se presenta</w:t>
      </w:r>
      <w:r w:rsidRPr="003020B8">
        <w:rPr>
          <w:rFonts w:ascii="Times New Roman" w:hAnsi="Times New Roman" w:cs="Times New Roman"/>
          <w:sz w:val="24"/>
          <w:szCs w:val="24"/>
          <w:highlight w:val="yellow"/>
        </w:rPr>
        <w:t xml:space="preserve"> la participación de generadores y comercializadores de energía para </w:t>
      </w:r>
      <w:r w:rsidR="006E7890">
        <w:rPr>
          <w:rFonts w:ascii="Times New Roman" w:hAnsi="Times New Roman" w:cs="Times New Roman"/>
          <w:sz w:val="24"/>
          <w:szCs w:val="24"/>
          <w:highlight w:val="yellow"/>
        </w:rPr>
        <w:t>la</w:t>
      </w:r>
      <w:r w:rsidRPr="003020B8">
        <w:rPr>
          <w:rFonts w:ascii="Times New Roman" w:hAnsi="Times New Roman" w:cs="Times New Roman"/>
          <w:sz w:val="24"/>
          <w:szCs w:val="24"/>
          <w:highlight w:val="yellow"/>
        </w:rPr>
        <w:t xml:space="preserve"> compra y venta a precio de bolsa</w:t>
      </w:r>
      <w:r w:rsidR="006E7890">
        <w:rPr>
          <w:rFonts w:ascii="Times New Roman" w:hAnsi="Times New Roman" w:cs="Times New Roman"/>
          <w:sz w:val="24"/>
          <w:szCs w:val="24"/>
          <w:highlight w:val="yellow"/>
        </w:rPr>
        <w:t xml:space="preserve"> de energía eléctrica</w:t>
      </w:r>
      <w:r w:rsidRPr="003020B8">
        <w:rPr>
          <w:rFonts w:ascii="Times New Roman" w:hAnsi="Times New Roman" w:cs="Times New Roman"/>
          <w:sz w:val="24"/>
          <w:szCs w:val="24"/>
          <w:highlight w:val="yellow"/>
        </w:rPr>
        <w:t xml:space="preserve">, con el objetivo de </w:t>
      </w:r>
      <w:r w:rsidR="006E7890">
        <w:rPr>
          <w:rFonts w:ascii="Times New Roman" w:hAnsi="Times New Roman" w:cs="Times New Roman"/>
          <w:sz w:val="24"/>
          <w:szCs w:val="24"/>
          <w:highlight w:val="yellow"/>
        </w:rPr>
        <w:t>suplir</w:t>
      </w:r>
      <w:r w:rsidRPr="003020B8">
        <w:rPr>
          <w:rFonts w:ascii="Times New Roman" w:hAnsi="Times New Roman" w:cs="Times New Roman"/>
          <w:sz w:val="24"/>
          <w:szCs w:val="24"/>
          <w:highlight w:val="yellow"/>
        </w:rPr>
        <w:t xml:space="preserve"> la demanda adecuada de energía en el país. </w:t>
      </w:r>
    </w:p>
    <w:p w14:paraId="78E931EE" w14:textId="0F504805" w:rsidR="001E2203" w:rsidRPr="006E7890" w:rsidRDefault="001E2203" w:rsidP="001E2203">
      <w:pPr>
        <w:jc w:val="both"/>
        <w:rPr>
          <w:rFonts w:ascii="Times New Roman" w:hAnsi="Times New Roman" w:cs="Times New Roman"/>
          <w:b/>
          <w:sz w:val="24"/>
          <w:szCs w:val="24"/>
        </w:rPr>
      </w:pPr>
      <w:r w:rsidRPr="001E2203">
        <w:rPr>
          <w:rFonts w:ascii="Times New Roman" w:hAnsi="Times New Roman" w:cs="Times New Roman"/>
          <w:sz w:val="26"/>
          <w:szCs w:val="26"/>
          <w:highlight w:val="cyan"/>
        </w:rPr>
        <w:t>De acuerdo con Trespala</w:t>
      </w:r>
      <w:r>
        <w:rPr>
          <w:rFonts w:ascii="Times New Roman" w:hAnsi="Times New Roman" w:cs="Times New Roman"/>
          <w:sz w:val="26"/>
          <w:szCs w:val="26"/>
          <w:highlight w:val="cyan"/>
        </w:rPr>
        <w:t>cios, Pantoja &amp; Fernández (2017</w:t>
      </w:r>
      <w:r w:rsidRPr="001E2203">
        <w:rPr>
          <w:rFonts w:ascii="Times New Roman" w:hAnsi="Times New Roman" w:cs="Times New Roman"/>
          <w:sz w:val="26"/>
          <w:szCs w:val="26"/>
          <w:highlight w:val="cyan"/>
        </w:rPr>
        <w:t xml:space="preserve">), el mercado spot o la bolsa de energía hace referencia al mercado en donde se obtiene la energía eléctrica de forma instantánea, con el objetivo de </w:t>
      </w:r>
      <w:proofErr w:type="gramStart"/>
      <w:r w:rsidRPr="001E2203">
        <w:rPr>
          <w:rFonts w:ascii="Times New Roman" w:hAnsi="Times New Roman" w:cs="Times New Roman"/>
          <w:sz w:val="26"/>
          <w:szCs w:val="26"/>
          <w:highlight w:val="cyan"/>
        </w:rPr>
        <w:t>lograr  un</w:t>
      </w:r>
      <w:proofErr w:type="gramEnd"/>
      <w:r w:rsidRPr="001E2203">
        <w:rPr>
          <w:rFonts w:ascii="Times New Roman" w:hAnsi="Times New Roman" w:cs="Times New Roman"/>
          <w:sz w:val="26"/>
          <w:szCs w:val="26"/>
          <w:highlight w:val="cyan"/>
        </w:rPr>
        <w:t xml:space="preserve"> balance entre oferta y demanda. A su vez, los autores afirman que dicho precio de bolsa se define mediante un conjunto de normas que buscan precisar el nivel de referencia en caso de escasez.</w:t>
      </w:r>
      <w:r>
        <w:rPr>
          <w:rFonts w:ascii="Times New Roman" w:hAnsi="Times New Roman" w:cs="Times New Roman"/>
          <w:sz w:val="26"/>
          <w:szCs w:val="26"/>
        </w:rPr>
        <w:t xml:space="preserve"> </w:t>
      </w:r>
    </w:p>
    <w:p w14:paraId="115781F0" w14:textId="2D82851A" w:rsidR="001E2203" w:rsidRPr="001E2203" w:rsidRDefault="001E2203" w:rsidP="003020B8">
      <w:pPr>
        <w:jc w:val="both"/>
        <w:rPr>
          <w:rFonts w:ascii="Times New Roman" w:hAnsi="Times New Roman" w:cs="Times New Roman"/>
          <w:sz w:val="26"/>
          <w:szCs w:val="26"/>
          <w:highlight w:val="cyan"/>
        </w:rPr>
      </w:pPr>
    </w:p>
    <w:p w14:paraId="746B219A" w14:textId="546B796B" w:rsidR="003020B8" w:rsidRPr="003020B8" w:rsidRDefault="003020B8" w:rsidP="003020B8">
      <w:pPr>
        <w:jc w:val="both"/>
        <w:rPr>
          <w:rFonts w:ascii="Times New Roman" w:hAnsi="Times New Roman" w:cs="Times New Roman"/>
          <w:b/>
          <w:sz w:val="26"/>
          <w:szCs w:val="26"/>
          <w:highlight w:val="yellow"/>
        </w:rPr>
      </w:pPr>
      <w:r w:rsidRPr="003020B8">
        <w:rPr>
          <w:rFonts w:ascii="Times New Roman" w:hAnsi="Times New Roman" w:cs="Times New Roman"/>
          <w:sz w:val="24"/>
          <w:szCs w:val="24"/>
          <w:highlight w:val="yellow"/>
        </w:rPr>
        <w:t xml:space="preserve">De acuerdo con Poveda (2012), </w:t>
      </w:r>
      <w:r w:rsidR="003B4F50">
        <w:rPr>
          <w:rFonts w:ascii="Times New Roman" w:hAnsi="Times New Roman" w:cs="Times New Roman"/>
          <w:sz w:val="24"/>
          <w:szCs w:val="24"/>
          <w:highlight w:val="yellow"/>
        </w:rPr>
        <w:t xml:space="preserve"> </w:t>
      </w:r>
      <w:r w:rsidR="001E2203" w:rsidRPr="001E2203">
        <w:rPr>
          <w:rFonts w:ascii="Times New Roman" w:hAnsi="Times New Roman" w:cs="Times New Roman"/>
          <w:sz w:val="24"/>
          <w:szCs w:val="24"/>
          <w:highlight w:val="cyan"/>
        </w:rPr>
        <w:t xml:space="preserve">en el mercado energético colombiano, </w:t>
      </w:r>
      <w:r w:rsidRPr="003020B8">
        <w:rPr>
          <w:rFonts w:ascii="Times New Roman" w:hAnsi="Times New Roman" w:cs="Times New Roman"/>
          <w:sz w:val="24"/>
          <w:szCs w:val="24"/>
          <w:highlight w:val="yellow"/>
        </w:rPr>
        <w:t xml:space="preserve">el precio de bolsa está dado por la recolección de información de la generación de energía real que consta de los datos medidos, </w:t>
      </w:r>
      <w:r w:rsidRPr="003020B8">
        <w:rPr>
          <w:rFonts w:ascii="Times New Roman" w:hAnsi="Times New Roman" w:cs="Times New Roman"/>
          <w:sz w:val="24"/>
          <w:szCs w:val="24"/>
          <w:highlight w:val="yellow"/>
        </w:rPr>
        <w:lastRenderedPageBreak/>
        <w:t>adquiridos hora a hora, de cada uno de los generadores que se encuentren activos en el mercado.  A su vez, los comercializadores deben reportar los consumos de sus clientes no regulados</w:t>
      </w:r>
      <w:r w:rsidR="00553D62">
        <w:rPr>
          <w:rFonts w:ascii="Times New Roman" w:hAnsi="Times New Roman" w:cs="Times New Roman"/>
          <w:sz w:val="24"/>
          <w:szCs w:val="24"/>
          <w:highlight w:val="yellow"/>
        </w:rPr>
        <w:t xml:space="preserve"> y regulados</w:t>
      </w:r>
      <w:r w:rsidRPr="003020B8">
        <w:rPr>
          <w:rFonts w:ascii="Times New Roman" w:hAnsi="Times New Roman" w:cs="Times New Roman"/>
          <w:sz w:val="24"/>
          <w:szCs w:val="24"/>
          <w:highlight w:val="yellow"/>
        </w:rPr>
        <w:t xml:space="preserve"> para que, al día siguiente se cuente con las lecturas de los contadores de energía para que dicha información sea enviada de forma electrónica al ASIC (Administrador del Sistema de Intercambios Comerciales). </w:t>
      </w:r>
    </w:p>
    <w:p w14:paraId="4CF50755" w14:textId="5890B933" w:rsidR="003020B8" w:rsidRPr="003020B8" w:rsidRDefault="003020B8" w:rsidP="003020B8">
      <w:pPr>
        <w:jc w:val="both"/>
        <w:rPr>
          <w:rFonts w:ascii="Times New Roman" w:hAnsi="Times New Roman" w:cs="Times New Roman"/>
          <w:sz w:val="24"/>
          <w:szCs w:val="24"/>
          <w:highlight w:val="yellow"/>
        </w:rPr>
      </w:pPr>
      <w:r w:rsidRPr="003020B8">
        <w:rPr>
          <w:rFonts w:ascii="Times New Roman" w:hAnsi="Times New Roman" w:cs="Times New Roman"/>
          <w:sz w:val="24"/>
          <w:szCs w:val="24"/>
          <w:highlight w:val="yellow"/>
        </w:rPr>
        <w:t xml:space="preserve">Poveda (2012) afirma que el despacho ideal es </w:t>
      </w:r>
      <w:r w:rsidR="00553D62">
        <w:rPr>
          <w:rFonts w:ascii="Times New Roman" w:hAnsi="Times New Roman" w:cs="Times New Roman"/>
          <w:sz w:val="24"/>
          <w:szCs w:val="24"/>
          <w:highlight w:val="yellow"/>
        </w:rPr>
        <w:t xml:space="preserve">el </w:t>
      </w:r>
      <w:r w:rsidRPr="003020B8">
        <w:rPr>
          <w:rFonts w:ascii="Times New Roman" w:hAnsi="Times New Roman" w:cs="Times New Roman"/>
          <w:sz w:val="24"/>
          <w:szCs w:val="24"/>
          <w:highlight w:val="yellow"/>
        </w:rPr>
        <w:t xml:space="preserve">programa de generación que está dado por el uso de los recursos más económicos hasta cubrir la demanda doméstica real, más las Transacciones Internacionales de Electricidad de Corto Plazo - TIE (exportaciones como demanda e importaciones como generación), más las pérdidas del STN (Sistema de Transmisión Nacional). Teniendo en cuenta lo anterior, </w:t>
      </w:r>
      <w:r w:rsidR="00553D62">
        <w:rPr>
          <w:rFonts w:ascii="Times New Roman" w:hAnsi="Times New Roman" w:cs="Times New Roman"/>
          <w:sz w:val="24"/>
          <w:szCs w:val="24"/>
          <w:highlight w:val="yellow"/>
        </w:rPr>
        <w:t>e</w:t>
      </w:r>
      <w:r w:rsidRPr="003020B8">
        <w:rPr>
          <w:rFonts w:ascii="Times New Roman" w:hAnsi="Times New Roman" w:cs="Times New Roman"/>
          <w:sz w:val="24"/>
          <w:szCs w:val="24"/>
          <w:highlight w:val="yellow"/>
        </w:rPr>
        <w:t xml:space="preserve">l precio de bolsa está dado por el precio de oferta obtenido por medio del despacho ideal, el cual es utilizado para valorar los intercambios en bolsa.  </w:t>
      </w:r>
    </w:p>
    <w:p w14:paraId="6F27216A" w14:textId="69CC7CE6" w:rsidR="003020B8" w:rsidRPr="003020B8" w:rsidRDefault="003020B8" w:rsidP="003020B8">
      <w:pPr>
        <w:jc w:val="both"/>
        <w:rPr>
          <w:rFonts w:ascii="Times New Roman" w:hAnsi="Times New Roman" w:cs="Times New Roman"/>
          <w:sz w:val="24"/>
          <w:szCs w:val="24"/>
          <w:highlight w:val="yellow"/>
        </w:rPr>
      </w:pPr>
      <w:r w:rsidRPr="003020B8">
        <w:rPr>
          <w:rFonts w:ascii="Times New Roman" w:hAnsi="Times New Roman" w:cs="Times New Roman"/>
          <w:sz w:val="24"/>
          <w:szCs w:val="24"/>
          <w:highlight w:val="yellow"/>
        </w:rPr>
        <w:t>El correcto funcionamiento del mercado eléctrico es fundamental para el análisis de la demanda de energía en el país</w:t>
      </w:r>
      <w:r w:rsidR="00553D62">
        <w:rPr>
          <w:rFonts w:ascii="Times New Roman" w:hAnsi="Times New Roman" w:cs="Times New Roman"/>
          <w:sz w:val="24"/>
          <w:szCs w:val="24"/>
          <w:highlight w:val="yellow"/>
        </w:rPr>
        <w:t>:</w:t>
      </w:r>
      <w:r w:rsidRPr="003020B8">
        <w:rPr>
          <w:rFonts w:ascii="Times New Roman" w:hAnsi="Times New Roman" w:cs="Times New Roman"/>
          <w:sz w:val="24"/>
          <w:szCs w:val="24"/>
          <w:highlight w:val="yellow"/>
        </w:rPr>
        <w:t xml:space="preserve"> si es necesario realizar estrategias en el manejo de los recursos  naturales con los que se genera energía, si la dinámica de compra y venta de energía está siendo óptima para la economía y sociedad Colombiana. Generar una proyección de estos precios permite poder hacer inferencia acerca de cómo el mercado puede estar funcionando y aunque este sea un sistema fluctuante, se puede generar predicciones acerca de su comportamiento.</w:t>
      </w:r>
    </w:p>
    <w:p w14:paraId="4B39E208" w14:textId="2A18881C" w:rsidR="003020B8" w:rsidRPr="003020B8" w:rsidRDefault="003020B8" w:rsidP="00553D62">
      <w:pPr>
        <w:jc w:val="both"/>
        <w:rPr>
          <w:rFonts w:ascii="Times New Roman" w:hAnsi="Times New Roman" w:cs="Times New Roman"/>
          <w:sz w:val="24"/>
          <w:szCs w:val="24"/>
        </w:rPr>
      </w:pPr>
      <w:r w:rsidRPr="003020B8">
        <w:rPr>
          <w:rFonts w:ascii="Times New Roman" w:hAnsi="Times New Roman" w:cs="Times New Roman"/>
          <w:sz w:val="24"/>
          <w:szCs w:val="24"/>
          <w:highlight w:val="yellow"/>
        </w:rPr>
        <w:t>En el siguiente documento se encuentra el análisis preliminar acerca de los datos recaudados para la predicción</w:t>
      </w:r>
      <w:r w:rsidR="00553D62">
        <w:rPr>
          <w:rFonts w:ascii="Times New Roman" w:hAnsi="Times New Roman" w:cs="Times New Roman"/>
          <w:sz w:val="24"/>
          <w:szCs w:val="24"/>
          <w:highlight w:val="yellow"/>
        </w:rPr>
        <w:t xml:space="preserve"> </w:t>
      </w:r>
      <w:r w:rsidRPr="003020B8">
        <w:rPr>
          <w:rFonts w:ascii="Times New Roman" w:hAnsi="Times New Roman" w:cs="Times New Roman"/>
          <w:sz w:val="24"/>
          <w:szCs w:val="24"/>
          <w:highlight w:val="yellow"/>
        </w:rPr>
        <w:t xml:space="preserve">del precio de bolsa de energía eléctrica del mercado </w:t>
      </w:r>
      <w:r w:rsidR="00553D62">
        <w:rPr>
          <w:rFonts w:ascii="Times New Roman" w:hAnsi="Times New Roman" w:cs="Times New Roman"/>
          <w:sz w:val="24"/>
          <w:szCs w:val="24"/>
          <w:highlight w:val="yellow"/>
        </w:rPr>
        <w:t>de energía</w:t>
      </w:r>
      <w:r w:rsidRPr="003020B8">
        <w:rPr>
          <w:rFonts w:ascii="Times New Roman" w:hAnsi="Times New Roman" w:cs="Times New Roman"/>
          <w:sz w:val="24"/>
          <w:szCs w:val="24"/>
          <w:highlight w:val="yellow"/>
        </w:rPr>
        <w:t xml:space="preserve"> mayorista Colombiano, en donde se implementará un modelo de Machine </w:t>
      </w:r>
      <w:proofErr w:type="spellStart"/>
      <w:r w:rsidRPr="003020B8">
        <w:rPr>
          <w:rFonts w:ascii="Times New Roman" w:hAnsi="Times New Roman" w:cs="Times New Roman"/>
          <w:sz w:val="24"/>
          <w:szCs w:val="24"/>
          <w:highlight w:val="yellow"/>
        </w:rPr>
        <w:t>Learning</w:t>
      </w:r>
      <w:proofErr w:type="spellEnd"/>
      <w:r w:rsidRPr="003020B8">
        <w:rPr>
          <w:rFonts w:ascii="Times New Roman" w:hAnsi="Times New Roman" w:cs="Times New Roman"/>
          <w:sz w:val="24"/>
          <w:szCs w:val="24"/>
          <w:highlight w:val="yellow"/>
        </w:rPr>
        <w:t xml:space="preserve"> automático en una aplicación web, que permitirá modelar futuros precios de bolsa y con ello, tomar decisiones comerciales basadas en los datos adquiridos.</w:t>
      </w:r>
    </w:p>
    <w:p w14:paraId="37B8CC97" w14:textId="5DA92761" w:rsidR="00CF7DD4" w:rsidRDefault="00CF7DD4" w:rsidP="004F225A">
      <w:pPr>
        <w:pStyle w:val="Prrafodelista"/>
        <w:numPr>
          <w:ilvl w:val="0"/>
          <w:numId w:val="1"/>
        </w:numPr>
        <w:jc w:val="both"/>
        <w:rPr>
          <w:rFonts w:ascii="Times New Roman" w:hAnsi="Times New Roman" w:cs="Times New Roman"/>
          <w:b/>
          <w:sz w:val="26"/>
          <w:szCs w:val="26"/>
        </w:rPr>
      </w:pPr>
      <w:r>
        <w:rPr>
          <w:rFonts w:ascii="Times New Roman" w:hAnsi="Times New Roman" w:cs="Times New Roman"/>
          <w:b/>
          <w:sz w:val="26"/>
          <w:szCs w:val="26"/>
        </w:rPr>
        <w:t xml:space="preserve">Problema a tratar: Realizar la predicción de bolsa de energía eléctrica del MEM a partir de datos disponibles del operador del mercado u otras fuentes. </w:t>
      </w:r>
    </w:p>
    <w:p w14:paraId="119D5DEF" w14:textId="7EBEFE23" w:rsidR="003020B8" w:rsidRPr="003020B8" w:rsidRDefault="003020B8" w:rsidP="003020B8">
      <w:pPr>
        <w:jc w:val="both"/>
        <w:rPr>
          <w:rFonts w:ascii="Times New Roman" w:hAnsi="Times New Roman" w:cs="Times New Roman"/>
          <w:sz w:val="24"/>
          <w:szCs w:val="24"/>
        </w:rPr>
      </w:pPr>
      <w:r w:rsidRPr="003020B8">
        <w:rPr>
          <w:rFonts w:ascii="Times New Roman" w:hAnsi="Times New Roman" w:cs="Times New Roman"/>
          <w:sz w:val="24"/>
          <w:szCs w:val="24"/>
          <w:highlight w:val="yellow"/>
        </w:rPr>
        <w:t>Contar con un modelo el cual prediga el precio de bolsa de energía eléctrica del MEM a partir de datos disponibles del operador del mercado, permitirá que se puedan generar decisiones con mayor conocimiento, debido a que se implementarán variables en el modelo de predicción que ayude</w:t>
      </w:r>
      <w:r w:rsidR="00553D62">
        <w:rPr>
          <w:rFonts w:ascii="Times New Roman" w:hAnsi="Times New Roman" w:cs="Times New Roman"/>
          <w:sz w:val="24"/>
          <w:szCs w:val="24"/>
          <w:highlight w:val="yellow"/>
        </w:rPr>
        <w:t>n</w:t>
      </w:r>
      <w:r w:rsidRPr="003020B8">
        <w:rPr>
          <w:rFonts w:ascii="Times New Roman" w:hAnsi="Times New Roman" w:cs="Times New Roman"/>
          <w:sz w:val="24"/>
          <w:szCs w:val="24"/>
          <w:highlight w:val="yellow"/>
        </w:rPr>
        <w:t xml:space="preserve"> a </w:t>
      </w:r>
      <w:r w:rsidR="00553D62">
        <w:rPr>
          <w:rFonts w:ascii="Times New Roman" w:hAnsi="Times New Roman" w:cs="Times New Roman"/>
          <w:sz w:val="24"/>
          <w:szCs w:val="24"/>
          <w:highlight w:val="yellow"/>
        </w:rPr>
        <w:t>tener un resultado que amortigüe la</w:t>
      </w:r>
      <w:r w:rsidRPr="003020B8">
        <w:rPr>
          <w:rFonts w:ascii="Times New Roman" w:hAnsi="Times New Roman" w:cs="Times New Roman"/>
          <w:sz w:val="24"/>
          <w:szCs w:val="24"/>
          <w:highlight w:val="yellow"/>
        </w:rPr>
        <w:t xml:space="preserve"> fluctuación del mercado y así, contar con un patrón de decisión más seguro ante este precio futuro.</w:t>
      </w:r>
    </w:p>
    <w:p w14:paraId="17047148" w14:textId="77777777" w:rsidR="003020B8" w:rsidRPr="006E7890" w:rsidRDefault="003020B8" w:rsidP="003020B8">
      <w:pPr>
        <w:jc w:val="both"/>
        <w:rPr>
          <w:rFonts w:ascii="Times New Roman" w:hAnsi="Times New Roman" w:cs="Times New Roman"/>
          <w:b/>
          <w:sz w:val="24"/>
          <w:szCs w:val="24"/>
        </w:rPr>
      </w:pPr>
    </w:p>
    <w:p w14:paraId="3FC5A9C6" w14:textId="495C52BF" w:rsidR="004F225A" w:rsidRPr="006E7890" w:rsidRDefault="004F225A" w:rsidP="004F225A">
      <w:pPr>
        <w:pStyle w:val="Prrafodelista"/>
        <w:numPr>
          <w:ilvl w:val="0"/>
          <w:numId w:val="1"/>
        </w:numPr>
        <w:jc w:val="both"/>
        <w:rPr>
          <w:rFonts w:ascii="Times New Roman" w:hAnsi="Times New Roman" w:cs="Times New Roman"/>
          <w:b/>
          <w:sz w:val="24"/>
          <w:szCs w:val="24"/>
        </w:rPr>
      </w:pPr>
      <w:r w:rsidRPr="006E7890">
        <w:rPr>
          <w:rFonts w:ascii="Times New Roman" w:hAnsi="Times New Roman" w:cs="Times New Roman"/>
          <w:b/>
          <w:sz w:val="24"/>
          <w:szCs w:val="24"/>
        </w:rPr>
        <w:t>Datos</w:t>
      </w:r>
    </w:p>
    <w:p w14:paraId="38D98C2C" w14:textId="6BFD7A36" w:rsidR="00746BE6" w:rsidRPr="006E7890" w:rsidRDefault="00746BE6" w:rsidP="006E7890">
      <w:pPr>
        <w:jc w:val="both"/>
        <w:rPr>
          <w:rFonts w:ascii="Times New Roman" w:hAnsi="Times New Roman" w:cs="Times New Roman"/>
          <w:bCs/>
          <w:sz w:val="24"/>
          <w:szCs w:val="24"/>
        </w:rPr>
      </w:pPr>
      <w:r w:rsidRPr="006E7890">
        <w:rPr>
          <w:rFonts w:ascii="Times New Roman" w:hAnsi="Times New Roman" w:cs="Times New Roman"/>
          <w:bCs/>
          <w:sz w:val="24"/>
          <w:szCs w:val="24"/>
        </w:rPr>
        <w:t>Los datos a utilizar para el desarrollo de la predicción, se encuentran en la página del operador del mercado eléctrico colombiano</w:t>
      </w:r>
      <w:r w:rsidR="00436B22">
        <w:rPr>
          <w:rFonts w:ascii="Times New Roman" w:hAnsi="Times New Roman" w:cs="Times New Roman"/>
          <w:bCs/>
          <w:sz w:val="24"/>
          <w:szCs w:val="24"/>
        </w:rPr>
        <w:t xml:space="preserve"> XM. </w:t>
      </w:r>
      <w:r w:rsidRPr="006E7890">
        <w:rPr>
          <w:rFonts w:ascii="Times New Roman" w:hAnsi="Times New Roman" w:cs="Times New Roman"/>
          <w:bCs/>
          <w:sz w:val="24"/>
          <w:szCs w:val="24"/>
        </w:rPr>
        <w:t>Esta empresa concentra todos los parámetros del sistema eléctrico colombiano que son importantes a la hora de realizar la predicción del precio de bolsa. Dentro de los predictores que de manera preliminar se consideran importantes para realizar el ejercicio (pero no se limitarán o podrán cambiarse)</w:t>
      </w:r>
      <w:r w:rsidR="00C859E7">
        <w:rPr>
          <w:rFonts w:ascii="Times New Roman" w:hAnsi="Times New Roman" w:cs="Times New Roman"/>
          <w:bCs/>
          <w:sz w:val="24"/>
          <w:szCs w:val="24"/>
        </w:rPr>
        <w:t xml:space="preserve"> los siguientes</w:t>
      </w:r>
      <w:r w:rsidRPr="006E7890">
        <w:rPr>
          <w:rFonts w:ascii="Times New Roman" w:hAnsi="Times New Roman" w:cs="Times New Roman"/>
          <w:bCs/>
          <w:sz w:val="24"/>
          <w:szCs w:val="24"/>
        </w:rPr>
        <w:t>:</w:t>
      </w:r>
      <w:r w:rsidR="00B8744C">
        <w:rPr>
          <w:rFonts w:ascii="Times New Roman" w:hAnsi="Times New Roman" w:cs="Times New Roman"/>
          <w:bCs/>
          <w:sz w:val="24"/>
          <w:szCs w:val="24"/>
        </w:rPr>
        <w:t xml:space="preserve"> </w:t>
      </w:r>
    </w:p>
    <w:p w14:paraId="0CE33DCB" w14:textId="4B82BDE6" w:rsidR="00746BE6"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Demanda de energía nacional </w:t>
      </w:r>
    </w:p>
    <w:p w14:paraId="71BBEE2D" w14:textId="3F50E01D" w:rsidR="00DB0A0A" w:rsidRPr="00DB0A0A" w:rsidRDefault="00DB0A0A" w:rsidP="00DB0A0A">
      <w:pPr>
        <w:pStyle w:val="Prrafodelista"/>
        <w:numPr>
          <w:ilvl w:val="0"/>
          <w:numId w:val="3"/>
        </w:numPr>
        <w:jc w:val="both"/>
        <w:rPr>
          <w:rFonts w:ascii="Times New Roman" w:hAnsi="Times New Roman" w:cs="Times New Roman"/>
          <w:bCs/>
          <w:sz w:val="24"/>
          <w:szCs w:val="24"/>
        </w:rPr>
      </w:pPr>
      <w:r>
        <w:rPr>
          <w:rFonts w:ascii="Times New Roman" w:hAnsi="Times New Roman" w:cs="Times New Roman"/>
          <w:bCs/>
          <w:sz w:val="24"/>
          <w:szCs w:val="24"/>
        </w:rPr>
        <w:lastRenderedPageBreak/>
        <w:t>Demanda de energía internacional</w:t>
      </w:r>
    </w:p>
    <w:p w14:paraId="04C64501" w14:textId="0E05C186" w:rsidR="00746BE6" w:rsidRPr="006E7890"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Precio de combustibles (utilizados para la generación de energía, como por ejemplo: carbón, gas natural, fuel </w:t>
      </w:r>
      <w:proofErr w:type="spellStart"/>
      <w:r w:rsidRPr="006E7890">
        <w:rPr>
          <w:rFonts w:ascii="Times New Roman" w:hAnsi="Times New Roman" w:cs="Times New Roman"/>
          <w:bCs/>
          <w:sz w:val="24"/>
          <w:szCs w:val="24"/>
        </w:rPr>
        <w:t>oil</w:t>
      </w:r>
      <w:proofErr w:type="spellEnd"/>
      <w:r w:rsidR="00DD779B" w:rsidRPr="006E7890">
        <w:rPr>
          <w:rFonts w:ascii="Times New Roman" w:hAnsi="Times New Roman" w:cs="Times New Roman"/>
          <w:bCs/>
          <w:sz w:val="24"/>
          <w:szCs w:val="24"/>
        </w:rPr>
        <w:t>)</w:t>
      </w:r>
    </w:p>
    <w:p w14:paraId="4551E9F1" w14:textId="0DDDF485" w:rsidR="00746BE6" w:rsidRPr="006E7890"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Aportes hídricos </w:t>
      </w:r>
    </w:p>
    <w:p w14:paraId="72888D54" w14:textId="16FA46B2" w:rsidR="00746BE6" w:rsidRPr="006E7890"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Tipo de Generación (hidráulica, térmica, fuentes alternativas) </w:t>
      </w:r>
    </w:p>
    <w:p w14:paraId="7BA2B3FE" w14:textId="7F7C9B1B" w:rsidR="00746BE6" w:rsidRPr="006E7890" w:rsidRDefault="00746BE6" w:rsidP="00746BE6">
      <w:pPr>
        <w:jc w:val="both"/>
        <w:rPr>
          <w:rFonts w:ascii="Times New Roman" w:hAnsi="Times New Roman" w:cs="Times New Roman"/>
          <w:bCs/>
          <w:sz w:val="24"/>
          <w:szCs w:val="24"/>
        </w:rPr>
      </w:pPr>
      <w:r w:rsidRPr="006E7890">
        <w:rPr>
          <w:rFonts w:ascii="Times New Roman" w:hAnsi="Times New Roman" w:cs="Times New Roman"/>
          <w:bCs/>
          <w:sz w:val="24"/>
          <w:szCs w:val="24"/>
        </w:rPr>
        <w:t>•</w:t>
      </w:r>
      <w:r w:rsidRPr="006E7890">
        <w:rPr>
          <w:rFonts w:ascii="Times New Roman" w:hAnsi="Times New Roman" w:cs="Times New Roman"/>
          <w:bCs/>
          <w:sz w:val="24"/>
          <w:szCs w:val="24"/>
        </w:rPr>
        <w:tab/>
        <w:t xml:space="preserve">Restricciones </w:t>
      </w:r>
    </w:p>
    <w:p w14:paraId="5F768412" w14:textId="276160FA" w:rsidR="00A903A2" w:rsidRDefault="00C83079" w:rsidP="00A903A2">
      <w:pPr>
        <w:jc w:val="both"/>
        <w:rPr>
          <w:rFonts w:ascii="Times New Roman" w:hAnsi="Times New Roman" w:cs="Times New Roman"/>
          <w:bCs/>
          <w:sz w:val="24"/>
          <w:szCs w:val="24"/>
        </w:rPr>
      </w:pPr>
      <w:r>
        <w:rPr>
          <w:rFonts w:ascii="Times New Roman" w:hAnsi="Times New Roman" w:cs="Times New Roman"/>
          <w:bCs/>
          <w:sz w:val="24"/>
          <w:szCs w:val="24"/>
        </w:rPr>
        <w:t>Adicionalmente, se</w:t>
      </w:r>
      <w:r w:rsidR="00746BE6" w:rsidRPr="006E7890">
        <w:rPr>
          <w:rFonts w:ascii="Times New Roman" w:hAnsi="Times New Roman" w:cs="Times New Roman"/>
          <w:bCs/>
          <w:sz w:val="24"/>
          <w:szCs w:val="24"/>
        </w:rPr>
        <w:t xml:space="preserve"> tendrá en cuenta como predictor adicional, el índice interoceánico de El Niño (ONI), </w:t>
      </w:r>
      <w:r w:rsidR="00A903A2">
        <w:rPr>
          <w:rFonts w:ascii="Times New Roman" w:hAnsi="Times New Roman" w:cs="Times New Roman"/>
          <w:bCs/>
          <w:sz w:val="24"/>
          <w:szCs w:val="24"/>
        </w:rPr>
        <w:t>considerando que es un parámetro relevante para el modelo de predicción del precio de bolsa de energía eléctrica.</w:t>
      </w:r>
    </w:p>
    <w:p w14:paraId="75DF543B" w14:textId="60B59BBA" w:rsidR="00746BE6" w:rsidRDefault="00746BE6" w:rsidP="00746BE6">
      <w:pPr>
        <w:jc w:val="both"/>
        <w:rPr>
          <w:rFonts w:ascii="Times New Roman" w:hAnsi="Times New Roman" w:cs="Times New Roman"/>
          <w:bCs/>
          <w:sz w:val="24"/>
          <w:szCs w:val="24"/>
        </w:rPr>
      </w:pPr>
    </w:p>
    <w:p w14:paraId="3ACF67E8" w14:textId="41D1F3EA" w:rsidR="00384185" w:rsidRDefault="00384185" w:rsidP="00746BE6">
      <w:pPr>
        <w:jc w:val="both"/>
        <w:rPr>
          <w:rFonts w:ascii="Times New Roman" w:hAnsi="Times New Roman" w:cs="Times New Roman"/>
          <w:bCs/>
          <w:sz w:val="24"/>
          <w:szCs w:val="24"/>
        </w:rPr>
      </w:pPr>
    </w:p>
    <w:p w14:paraId="2E874089" w14:textId="77777777" w:rsidR="00384185" w:rsidRPr="006E7890" w:rsidRDefault="00384185" w:rsidP="00746BE6">
      <w:pPr>
        <w:jc w:val="both"/>
        <w:rPr>
          <w:rFonts w:ascii="Times New Roman" w:hAnsi="Times New Roman" w:cs="Times New Roman"/>
          <w:b/>
          <w:sz w:val="24"/>
          <w:szCs w:val="24"/>
        </w:rPr>
      </w:pPr>
    </w:p>
    <w:p w14:paraId="4DAF22DC" w14:textId="77777777" w:rsidR="006E7890" w:rsidRPr="00635A36" w:rsidRDefault="004F225A" w:rsidP="006E7890">
      <w:pPr>
        <w:pStyle w:val="Prrafodelista"/>
        <w:numPr>
          <w:ilvl w:val="0"/>
          <w:numId w:val="1"/>
        </w:numPr>
        <w:jc w:val="both"/>
        <w:rPr>
          <w:rFonts w:ascii="Times New Roman" w:hAnsi="Times New Roman" w:cs="Times New Roman"/>
          <w:b/>
          <w:sz w:val="24"/>
          <w:szCs w:val="24"/>
        </w:rPr>
      </w:pPr>
      <w:r w:rsidRPr="00635A36">
        <w:rPr>
          <w:rFonts w:ascii="Times New Roman" w:hAnsi="Times New Roman" w:cs="Times New Roman"/>
          <w:b/>
          <w:sz w:val="24"/>
          <w:szCs w:val="24"/>
        </w:rPr>
        <w:t>Métodos</w:t>
      </w:r>
    </w:p>
    <w:p w14:paraId="1460908B" w14:textId="5AEBC8FB" w:rsidR="00746BE6" w:rsidRPr="006E7890" w:rsidRDefault="00CF7DD4" w:rsidP="006E7890">
      <w:pPr>
        <w:jc w:val="both"/>
        <w:rPr>
          <w:rFonts w:ascii="Times New Roman" w:hAnsi="Times New Roman" w:cs="Times New Roman"/>
          <w:bCs/>
          <w:sz w:val="24"/>
          <w:szCs w:val="24"/>
        </w:rPr>
      </w:pPr>
      <w:r w:rsidRPr="006E7890">
        <w:rPr>
          <w:rFonts w:ascii="Times New Roman" w:hAnsi="Times New Roman" w:cs="Times New Roman"/>
          <w:b/>
          <w:sz w:val="24"/>
          <w:szCs w:val="24"/>
        </w:rPr>
        <w:t xml:space="preserve"> </w:t>
      </w:r>
      <w:r w:rsidR="00746BE6" w:rsidRPr="006E7890">
        <w:rPr>
          <w:rFonts w:ascii="Times New Roman" w:hAnsi="Times New Roman" w:cs="Times New Roman"/>
          <w:bCs/>
          <w:sz w:val="24"/>
          <w:szCs w:val="24"/>
        </w:rPr>
        <w:t>En esta sección se realizará la descripción de la propuesta a realizar para el modelo de predicción y también para la construcción de la página web donde se visualizarán los resultados.</w:t>
      </w:r>
    </w:p>
    <w:p w14:paraId="5795F3D8" w14:textId="77777777" w:rsidR="00746BE6" w:rsidRPr="006E7890" w:rsidRDefault="00746BE6" w:rsidP="00746BE6">
      <w:pPr>
        <w:pStyle w:val="Prrafodelista"/>
        <w:numPr>
          <w:ilvl w:val="1"/>
          <w:numId w:val="1"/>
        </w:numPr>
        <w:ind w:left="744" w:hanging="384"/>
        <w:jc w:val="both"/>
        <w:rPr>
          <w:rFonts w:ascii="Times New Roman" w:hAnsi="Times New Roman" w:cs="Times New Roman"/>
          <w:b/>
          <w:sz w:val="24"/>
          <w:szCs w:val="24"/>
        </w:rPr>
      </w:pPr>
      <w:r w:rsidRPr="006E7890">
        <w:rPr>
          <w:rFonts w:ascii="Times New Roman" w:hAnsi="Times New Roman" w:cs="Times New Roman"/>
          <w:b/>
          <w:sz w:val="24"/>
          <w:szCs w:val="24"/>
        </w:rPr>
        <w:t>Modelo propuesto</w:t>
      </w:r>
    </w:p>
    <w:p w14:paraId="2EB88D05" w14:textId="55A55C16" w:rsidR="00746BE6" w:rsidRPr="006E7890" w:rsidRDefault="00746BE6" w:rsidP="00746BE6">
      <w:pPr>
        <w:ind w:left="360"/>
        <w:jc w:val="both"/>
        <w:rPr>
          <w:rFonts w:ascii="Times New Roman" w:hAnsi="Times New Roman" w:cs="Times New Roman"/>
          <w:bCs/>
          <w:sz w:val="24"/>
          <w:szCs w:val="24"/>
        </w:rPr>
      </w:pPr>
      <w:r w:rsidRPr="006E7890">
        <w:rPr>
          <w:rFonts w:ascii="Times New Roman" w:hAnsi="Times New Roman" w:cs="Times New Roman"/>
          <w:bCs/>
          <w:sz w:val="24"/>
          <w:szCs w:val="24"/>
        </w:rPr>
        <w:t xml:space="preserve">Debido a que el modelo del precio de bolsa es muy volátil, </w:t>
      </w:r>
      <w:r w:rsidR="000C2FE4">
        <w:rPr>
          <w:rFonts w:ascii="Times New Roman" w:hAnsi="Times New Roman" w:cs="Times New Roman"/>
          <w:bCs/>
          <w:sz w:val="24"/>
          <w:szCs w:val="24"/>
        </w:rPr>
        <w:t>s</w:t>
      </w:r>
      <w:r w:rsidRPr="006E7890">
        <w:rPr>
          <w:rFonts w:ascii="Times New Roman" w:hAnsi="Times New Roman" w:cs="Times New Roman"/>
          <w:bCs/>
          <w:sz w:val="24"/>
          <w:szCs w:val="24"/>
        </w:rPr>
        <w:t>e dispondrá de la herramienta de árboles</w:t>
      </w:r>
      <w:r w:rsidR="00C86E3C">
        <w:rPr>
          <w:rFonts w:ascii="Times New Roman" w:hAnsi="Times New Roman" w:cs="Times New Roman"/>
          <w:bCs/>
          <w:sz w:val="24"/>
          <w:szCs w:val="24"/>
        </w:rPr>
        <w:t xml:space="preserve"> de decisión (</w:t>
      </w:r>
      <w:proofErr w:type="spellStart"/>
      <w:r w:rsidR="00C86E3C">
        <w:rPr>
          <w:rFonts w:ascii="Times New Roman" w:hAnsi="Times New Roman" w:cs="Times New Roman"/>
          <w:bCs/>
          <w:sz w:val="24"/>
          <w:szCs w:val="24"/>
        </w:rPr>
        <w:t>Boosting</w:t>
      </w:r>
      <w:proofErr w:type="spellEnd"/>
      <w:r w:rsidR="00C86E3C">
        <w:rPr>
          <w:rFonts w:ascii="Times New Roman" w:hAnsi="Times New Roman" w:cs="Times New Roman"/>
          <w:bCs/>
          <w:sz w:val="24"/>
          <w:szCs w:val="24"/>
        </w:rPr>
        <w:t xml:space="preserve"> </w:t>
      </w:r>
      <w:proofErr w:type="spellStart"/>
      <w:r w:rsidR="00C86E3C">
        <w:rPr>
          <w:rFonts w:ascii="Times New Roman" w:hAnsi="Times New Roman" w:cs="Times New Roman"/>
          <w:bCs/>
          <w:sz w:val="24"/>
          <w:szCs w:val="24"/>
        </w:rPr>
        <w:t>trees</w:t>
      </w:r>
      <w:proofErr w:type="spellEnd"/>
      <w:r w:rsidR="00C86E3C">
        <w:rPr>
          <w:rFonts w:ascii="Times New Roman" w:hAnsi="Times New Roman" w:cs="Times New Roman"/>
          <w:bCs/>
          <w:sz w:val="24"/>
          <w:szCs w:val="24"/>
        </w:rPr>
        <w:t xml:space="preserve">) </w:t>
      </w:r>
      <w:r w:rsidRPr="006E7890">
        <w:rPr>
          <w:rFonts w:ascii="Times New Roman" w:hAnsi="Times New Roman" w:cs="Times New Roman"/>
          <w:bCs/>
          <w:sz w:val="24"/>
          <w:szCs w:val="24"/>
        </w:rPr>
        <w:t xml:space="preserve">para realizar la predicción. Con base en los predictores mencionados en la sección 3, se construirá el modelo con XG </w:t>
      </w:r>
      <w:proofErr w:type="spellStart"/>
      <w:r w:rsidRPr="006E7890">
        <w:rPr>
          <w:rFonts w:ascii="Times New Roman" w:hAnsi="Times New Roman" w:cs="Times New Roman"/>
          <w:bCs/>
          <w:sz w:val="24"/>
          <w:szCs w:val="24"/>
        </w:rPr>
        <w:t>Boost</w:t>
      </w:r>
      <w:proofErr w:type="spellEnd"/>
      <w:r w:rsidRPr="006E7890">
        <w:rPr>
          <w:rFonts w:ascii="Times New Roman" w:hAnsi="Times New Roman" w:cs="Times New Roman"/>
          <w:bCs/>
          <w:sz w:val="24"/>
          <w:szCs w:val="24"/>
        </w:rPr>
        <w:t xml:space="preserve"> para obtener un valor predicho para el precio de bolsa de energía eléctrica en el MEM, verificando antes si existe correlación entre las variables mencionadas anteriormente. </w:t>
      </w:r>
      <w:r w:rsidR="00B8744C">
        <w:rPr>
          <w:rFonts w:ascii="Times New Roman" w:hAnsi="Times New Roman" w:cs="Times New Roman"/>
          <w:bCs/>
          <w:sz w:val="24"/>
          <w:szCs w:val="24"/>
        </w:rPr>
        <w:t xml:space="preserve">Para </w:t>
      </w:r>
      <w:r w:rsidR="003C06BB">
        <w:rPr>
          <w:rFonts w:ascii="Times New Roman" w:hAnsi="Times New Roman" w:cs="Times New Roman"/>
          <w:bCs/>
          <w:sz w:val="24"/>
          <w:szCs w:val="24"/>
        </w:rPr>
        <w:t>este método</w:t>
      </w:r>
      <w:r w:rsidR="00B8744C">
        <w:rPr>
          <w:rFonts w:ascii="Times New Roman" w:hAnsi="Times New Roman" w:cs="Times New Roman"/>
          <w:bCs/>
          <w:sz w:val="24"/>
          <w:szCs w:val="24"/>
        </w:rPr>
        <w:t>, es necesario trabajar con herramientas específicas para series de tiempo, por lo cual, se hará una búsqueda de cómo se implementan los algoritmos para este caso.</w:t>
      </w:r>
      <w:r w:rsidR="00EF5379">
        <w:rPr>
          <w:rFonts w:ascii="Times New Roman" w:hAnsi="Times New Roman" w:cs="Times New Roman"/>
          <w:bCs/>
          <w:sz w:val="24"/>
          <w:szCs w:val="24"/>
        </w:rPr>
        <w:t xml:space="preserve"> </w:t>
      </w:r>
    </w:p>
    <w:p w14:paraId="7906D3B4" w14:textId="77777777" w:rsidR="00746BE6" w:rsidRPr="006E7890" w:rsidRDefault="00746BE6" w:rsidP="00746BE6">
      <w:pPr>
        <w:pStyle w:val="Prrafodelista"/>
        <w:numPr>
          <w:ilvl w:val="1"/>
          <w:numId w:val="1"/>
        </w:numPr>
        <w:ind w:left="744" w:hanging="384"/>
        <w:jc w:val="both"/>
        <w:rPr>
          <w:rFonts w:ascii="Times New Roman" w:hAnsi="Times New Roman" w:cs="Times New Roman"/>
          <w:b/>
          <w:sz w:val="24"/>
          <w:szCs w:val="24"/>
        </w:rPr>
      </w:pPr>
      <w:r w:rsidRPr="006E7890">
        <w:rPr>
          <w:rFonts w:ascii="Times New Roman" w:hAnsi="Times New Roman" w:cs="Times New Roman"/>
          <w:b/>
          <w:sz w:val="24"/>
          <w:szCs w:val="24"/>
        </w:rPr>
        <w:t>Página web – propuesta de visualización</w:t>
      </w:r>
    </w:p>
    <w:p w14:paraId="15F486E5" w14:textId="2503B1F1" w:rsidR="00746BE6" w:rsidRPr="006E7890" w:rsidRDefault="00746BE6" w:rsidP="00746BE6">
      <w:pPr>
        <w:ind w:left="360"/>
        <w:jc w:val="both"/>
        <w:rPr>
          <w:rFonts w:ascii="Times New Roman" w:hAnsi="Times New Roman" w:cs="Times New Roman"/>
          <w:bCs/>
          <w:sz w:val="24"/>
          <w:szCs w:val="24"/>
        </w:rPr>
      </w:pPr>
      <w:r w:rsidRPr="006E7890">
        <w:rPr>
          <w:rFonts w:ascii="Times New Roman" w:hAnsi="Times New Roman" w:cs="Times New Roman"/>
          <w:bCs/>
          <w:sz w:val="24"/>
          <w:szCs w:val="24"/>
        </w:rPr>
        <w:t>Se plantea para la visualización de datos de la predicción en la página web utilizar el paquete “</w:t>
      </w:r>
      <w:proofErr w:type="spellStart"/>
      <w:r w:rsidRPr="006E7890">
        <w:rPr>
          <w:rFonts w:ascii="Times New Roman" w:hAnsi="Times New Roman" w:cs="Times New Roman"/>
          <w:bCs/>
          <w:sz w:val="24"/>
          <w:szCs w:val="24"/>
        </w:rPr>
        <w:t>Shiny</w:t>
      </w:r>
      <w:proofErr w:type="spellEnd"/>
      <w:r w:rsidRPr="006E7890">
        <w:rPr>
          <w:rFonts w:ascii="Times New Roman" w:hAnsi="Times New Roman" w:cs="Times New Roman"/>
          <w:bCs/>
          <w:sz w:val="24"/>
          <w:szCs w:val="24"/>
        </w:rPr>
        <w:t xml:space="preserve">” de R y que sea desplegado como un proyecto en </w:t>
      </w:r>
      <w:proofErr w:type="spellStart"/>
      <w:r w:rsidRPr="006E7890">
        <w:rPr>
          <w:rFonts w:ascii="Times New Roman" w:hAnsi="Times New Roman" w:cs="Times New Roman"/>
          <w:bCs/>
          <w:sz w:val="24"/>
          <w:szCs w:val="24"/>
        </w:rPr>
        <w:t>Github</w:t>
      </w:r>
      <w:proofErr w:type="spellEnd"/>
      <w:r w:rsidRPr="006E7890">
        <w:rPr>
          <w:rFonts w:ascii="Times New Roman" w:hAnsi="Times New Roman" w:cs="Times New Roman"/>
          <w:bCs/>
          <w:sz w:val="24"/>
          <w:szCs w:val="24"/>
        </w:rPr>
        <w:t>.</w:t>
      </w:r>
      <w:r w:rsidR="000C2FE4">
        <w:rPr>
          <w:rFonts w:ascii="Times New Roman" w:hAnsi="Times New Roman" w:cs="Times New Roman"/>
          <w:bCs/>
          <w:sz w:val="24"/>
          <w:szCs w:val="24"/>
        </w:rPr>
        <w:t xml:space="preserve"> Se considera que la mejor forma de tener una herramienta interactiva y asequible para las personas para poder predecir el precio de </w:t>
      </w:r>
      <w:proofErr w:type="gramStart"/>
      <w:r w:rsidR="000C2FE4">
        <w:rPr>
          <w:rFonts w:ascii="Times New Roman" w:hAnsi="Times New Roman" w:cs="Times New Roman"/>
          <w:bCs/>
          <w:sz w:val="24"/>
          <w:szCs w:val="24"/>
        </w:rPr>
        <w:t>bolsa,</w:t>
      </w:r>
      <w:proofErr w:type="gramEnd"/>
      <w:r w:rsidR="000C2FE4">
        <w:rPr>
          <w:rFonts w:ascii="Times New Roman" w:hAnsi="Times New Roman" w:cs="Times New Roman"/>
          <w:bCs/>
          <w:sz w:val="24"/>
          <w:szCs w:val="24"/>
        </w:rPr>
        <w:t xml:space="preserve"> es a través de una </w:t>
      </w:r>
      <w:r w:rsidR="00EF5379">
        <w:rPr>
          <w:rFonts w:ascii="Times New Roman" w:hAnsi="Times New Roman" w:cs="Times New Roman"/>
          <w:bCs/>
          <w:sz w:val="24"/>
          <w:szCs w:val="24"/>
        </w:rPr>
        <w:t xml:space="preserve">aplicación web </w:t>
      </w:r>
      <w:r w:rsidR="000C2FE4">
        <w:rPr>
          <w:rFonts w:ascii="Times New Roman" w:hAnsi="Times New Roman" w:cs="Times New Roman"/>
          <w:bCs/>
          <w:sz w:val="24"/>
          <w:szCs w:val="24"/>
        </w:rPr>
        <w:t>como la que se propone en el presente trabajo, en donde los usuarios pueden asignar valores a los predictores que influyen en el precio y así obtener un resultado de dicha predicción. Inicialmente, la propuesta de visualización de la página web sería</w:t>
      </w:r>
      <w:r w:rsidRPr="006E7890">
        <w:rPr>
          <w:rFonts w:ascii="Times New Roman" w:hAnsi="Times New Roman" w:cs="Times New Roman"/>
          <w:bCs/>
          <w:sz w:val="24"/>
          <w:szCs w:val="24"/>
        </w:rPr>
        <w:t xml:space="preserve"> la siguiente:</w:t>
      </w:r>
    </w:p>
    <w:p w14:paraId="60E7C53F" w14:textId="77777777" w:rsidR="00746BE6" w:rsidRPr="006E7890" w:rsidRDefault="00746BE6" w:rsidP="00746BE6">
      <w:pPr>
        <w:ind w:left="360"/>
        <w:jc w:val="center"/>
        <w:rPr>
          <w:rFonts w:ascii="Times New Roman" w:hAnsi="Times New Roman" w:cs="Times New Roman"/>
          <w:bCs/>
          <w:sz w:val="24"/>
          <w:szCs w:val="24"/>
        </w:rPr>
      </w:pPr>
      <w:r w:rsidRPr="006E7890">
        <w:rPr>
          <w:noProof/>
          <w:sz w:val="24"/>
          <w:szCs w:val="24"/>
          <w:lang w:eastAsia="es-CO"/>
        </w:rPr>
        <w:lastRenderedPageBreak/>
        <w:drawing>
          <wp:inline distT="0" distB="0" distL="0" distR="0" wp14:anchorId="3728033A" wp14:editId="15109CD1">
            <wp:extent cx="2941320" cy="287683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46691" cy="2882093"/>
                    </a:xfrm>
                    <a:prstGeom prst="rect">
                      <a:avLst/>
                    </a:prstGeom>
                  </pic:spPr>
                </pic:pic>
              </a:graphicData>
            </a:graphic>
          </wp:inline>
        </w:drawing>
      </w:r>
    </w:p>
    <w:p w14:paraId="3686FBB9" w14:textId="57D95C85" w:rsidR="00746BE6" w:rsidRPr="006E7890" w:rsidRDefault="00746BE6" w:rsidP="00746BE6">
      <w:pPr>
        <w:ind w:left="360"/>
        <w:jc w:val="both"/>
        <w:rPr>
          <w:rFonts w:ascii="Times New Roman" w:hAnsi="Times New Roman" w:cs="Times New Roman"/>
          <w:bCs/>
          <w:sz w:val="24"/>
          <w:szCs w:val="24"/>
        </w:rPr>
      </w:pPr>
      <w:r w:rsidRPr="006E7890">
        <w:rPr>
          <w:rFonts w:ascii="Times New Roman" w:hAnsi="Times New Roman" w:cs="Times New Roman"/>
          <w:bCs/>
          <w:sz w:val="24"/>
          <w:szCs w:val="24"/>
        </w:rPr>
        <w:t>En donde los campos en blanco son de libre diligenciamiento por el usuario y concuerdan con los predictores mencionados anteriormente. Todos los campos deben ser diligenciados. Luego se presiona el botón “Predecir” y en la parte derecha en el cuadro azul se visualiza el precio que se obtiene con base en esos parámetros.</w:t>
      </w:r>
      <w:r w:rsidR="000C2FE4">
        <w:rPr>
          <w:rFonts w:ascii="Times New Roman" w:hAnsi="Times New Roman" w:cs="Times New Roman"/>
          <w:bCs/>
          <w:sz w:val="24"/>
          <w:szCs w:val="24"/>
        </w:rPr>
        <w:t xml:space="preserve"> </w:t>
      </w:r>
    </w:p>
    <w:p w14:paraId="2F05D506" w14:textId="7373A904" w:rsidR="003020B8" w:rsidRPr="006E7890" w:rsidRDefault="003020B8" w:rsidP="00746BE6">
      <w:pPr>
        <w:pStyle w:val="Prrafodelista"/>
        <w:numPr>
          <w:ilvl w:val="0"/>
          <w:numId w:val="1"/>
        </w:numPr>
        <w:jc w:val="both"/>
        <w:rPr>
          <w:rFonts w:ascii="Times New Roman" w:hAnsi="Times New Roman" w:cs="Times New Roman"/>
          <w:b/>
          <w:sz w:val="24"/>
          <w:szCs w:val="24"/>
        </w:rPr>
      </w:pPr>
      <w:r w:rsidRPr="006E7890">
        <w:rPr>
          <w:rFonts w:ascii="Times New Roman" w:hAnsi="Times New Roman" w:cs="Times New Roman"/>
          <w:b/>
          <w:sz w:val="24"/>
          <w:szCs w:val="24"/>
        </w:rPr>
        <w:t>Referencias</w:t>
      </w:r>
    </w:p>
    <w:sdt>
      <w:sdtPr>
        <w:rPr>
          <w:sz w:val="24"/>
          <w:szCs w:val="24"/>
        </w:rPr>
        <w:id w:val="111145805"/>
        <w:bibliography/>
      </w:sdtPr>
      <w:sdtEndPr/>
      <w:sdtContent>
        <w:p w14:paraId="3DDF29D0" w14:textId="4B932BF5" w:rsidR="003020B8" w:rsidRDefault="003020B8" w:rsidP="003020B8">
          <w:pPr>
            <w:pStyle w:val="Bibliografa"/>
            <w:rPr>
              <w:rFonts w:ascii="Times New Roman" w:hAnsi="Times New Roman" w:cs="Times New Roman"/>
              <w:noProof/>
              <w:sz w:val="24"/>
              <w:szCs w:val="24"/>
              <w:lang w:val="es-ES"/>
            </w:rPr>
          </w:pPr>
          <w:r w:rsidRPr="006E7890">
            <w:rPr>
              <w:rFonts w:ascii="Times New Roman" w:hAnsi="Times New Roman" w:cs="Times New Roman"/>
              <w:sz w:val="24"/>
              <w:szCs w:val="24"/>
            </w:rPr>
            <w:fldChar w:fldCharType="begin"/>
          </w:r>
          <w:r w:rsidRPr="006E7890">
            <w:rPr>
              <w:rFonts w:ascii="Times New Roman" w:hAnsi="Times New Roman" w:cs="Times New Roman"/>
              <w:sz w:val="24"/>
              <w:szCs w:val="24"/>
            </w:rPr>
            <w:instrText>BIBLIOGRAPHY</w:instrText>
          </w:r>
          <w:r w:rsidRPr="006E7890">
            <w:rPr>
              <w:rFonts w:ascii="Times New Roman" w:hAnsi="Times New Roman" w:cs="Times New Roman"/>
              <w:sz w:val="24"/>
              <w:szCs w:val="24"/>
            </w:rPr>
            <w:fldChar w:fldCharType="separate"/>
          </w:r>
          <w:r w:rsidRPr="006E7890">
            <w:rPr>
              <w:rFonts w:ascii="Times New Roman" w:hAnsi="Times New Roman" w:cs="Times New Roman"/>
              <w:noProof/>
              <w:sz w:val="24"/>
              <w:szCs w:val="24"/>
              <w:highlight w:val="yellow"/>
              <w:lang w:val="es-ES"/>
            </w:rPr>
            <w:t xml:space="preserve">Poveda Núñez, M. A. (2012). Modelamiento del precio de bolsa. </w:t>
          </w:r>
          <w:r w:rsidRPr="006E7890">
            <w:rPr>
              <w:rFonts w:ascii="Times New Roman" w:hAnsi="Times New Roman" w:cs="Times New Roman"/>
              <w:i/>
              <w:iCs/>
              <w:noProof/>
              <w:sz w:val="24"/>
              <w:szCs w:val="24"/>
              <w:highlight w:val="yellow"/>
              <w:lang w:val="es-ES"/>
            </w:rPr>
            <w:t>Universidad Nacional de Colombia</w:t>
          </w:r>
          <w:r w:rsidRPr="006E7890">
            <w:rPr>
              <w:rFonts w:ascii="Times New Roman" w:hAnsi="Times New Roman" w:cs="Times New Roman"/>
              <w:noProof/>
              <w:sz w:val="24"/>
              <w:szCs w:val="24"/>
              <w:highlight w:val="yellow"/>
              <w:lang w:val="es-ES"/>
            </w:rPr>
            <w:t>. Recuperado de https://repositorio.unal.edu.co/bitstream/handle/unal/21159/300038.2012.pdf?sequence=1&amp;isAllowed=y</w:t>
          </w:r>
        </w:p>
        <w:p w14:paraId="5754CD1B" w14:textId="77777777" w:rsidR="001E2203" w:rsidRDefault="001E2203" w:rsidP="001E2203">
          <w:pPr>
            <w:pStyle w:val="Bibliografa"/>
            <w:ind w:left="720" w:hanging="720"/>
            <w:rPr>
              <w:noProof/>
              <w:lang w:val="es-ES"/>
            </w:rPr>
          </w:pPr>
          <w:r w:rsidRPr="001E2203">
            <w:rPr>
              <w:noProof/>
              <w:highlight w:val="cyan"/>
              <w:lang w:val="es-ES"/>
            </w:rPr>
            <w:t xml:space="preserve">Trespalacios Carrasquilla, A., Pantoja Robayo, J. O., &amp; Fernández Taborda, Ó. A. (2017). </w:t>
          </w:r>
          <w:r w:rsidRPr="001E2203">
            <w:rPr>
              <w:i/>
              <w:iCs/>
              <w:noProof/>
              <w:highlight w:val="cyan"/>
              <w:lang w:val="es-ES"/>
            </w:rPr>
            <w:t>Análisis de mercados de electricidad.</w:t>
          </w:r>
          <w:r w:rsidRPr="001E2203">
            <w:rPr>
              <w:noProof/>
              <w:highlight w:val="cyan"/>
              <w:lang w:val="es-ES"/>
            </w:rPr>
            <w:t xml:space="preserve"> EAFIT.</w:t>
          </w:r>
        </w:p>
        <w:p w14:paraId="680A3B01" w14:textId="77777777" w:rsidR="009623DE" w:rsidRPr="009623DE" w:rsidRDefault="009623DE" w:rsidP="009623DE">
          <w:pPr>
            <w:rPr>
              <w:lang w:val="es-ES"/>
            </w:rPr>
          </w:pPr>
        </w:p>
        <w:p w14:paraId="3491BDA5" w14:textId="77777777" w:rsidR="003020B8" w:rsidRPr="006E7890" w:rsidRDefault="003020B8" w:rsidP="003020B8">
          <w:pPr>
            <w:rPr>
              <w:sz w:val="24"/>
              <w:szCs w:val="24"/>
              <w:lang w:val="es-ES"/>
            </w:rPr>
          </w:pPr>
        </w:p>
        <w:p w14:paraId="3553D858" w14:textId="77777777" w:rsidR="003020B8" w:rsidRPr="006E7890" w:rsidRDefault="003020B8" w:rsidP="003020B8">
          <w:pPr>
            <w:rPr>
              <w:sz w:val="24"/>
              <w:szCs w:val="24"/>
            </w:rPr>
          </w:pPr>
          <w:r w:rsidRPr="006E7890">
            <w:rPr>
              <w:b/>
              <w:bCs/>
              <w:sz w:val="24"/>
              <w:szCs w:val="24"/>
            </w:rPr>
            <w:fldChar w:fldCharType="end"/>
          </w:r>
        </w:p>
      </w:sdtContent>
    </w:sdt>
    <w:p w14:paraId="0DCA0E4A" w14:textId="75054781" w:rsidR="003020B8" w:rsidRPr="006E7890" w:rsidRDefault="006B4385" w:rsidP="003020B8">
      <w:pPr>
        <w:jc w:val="both"/>
        <w:rPr>
          <w:rFonts w:ascii="Times New Roman" w:hAnsi="Times New Roman" w:cs="Times New Roman"/>
          <w:b/>
          <w:sz w:val="24"/>
          <w:szCs w:val="24"/>
        </w:rPr>
      </w:pPr>
      <w:sdt>
        <w:sdtPr>
          <w:rPr>
            <w:rFonts w:ascii="Times New Roman" w:hAnsi="Times New Roman" w:cs="Times New Roman"/>
            <w:b/>
            <w:sz w:val="24"/>
            <w:szCs w:val="24"/>
          </w:rPr>
          <w:id w:val="-1431044390"/>
          <w:citation/>
        </w:sdtPr>
        <w:sdtEndPr/>
        <w:sdtContent>
          <w:r w:rsidR="001E2203">
            <w:rPr>
              <w:rFonts w:ascii="Times New Roman" w:hAnsi="Times New Roman" w:cs="Times New Roman"/>
              <w:b/>
              <w:sz w:val="24"/>
              <w:szCs w:val="24"/>
            </w:rPr>
            <w:fldChar w:fldCharType="begin"/>
          </w:r>
          <w:r w:rsidR="001E2203">
            <w:rPr>
              <w:rFonts w:ascii="Times New Roman" w:hAnsi="Times New Roman" w:cs="Times New Roman"/>
              <w:b/>
              <w:sz w:val="24"/>
              <w:szCs w:val="24"/>
            </w:rPr>
            <w:instrText xml:space="preserve"> CITATION Tre17 \l 9226 </w:instrText>
          </w:r>
          <w:r w:rsidR="001E2203">
            <w:rPr>
              <w:rFonts w:ascii="Times New Roman" w:hAnsi="Times New Roman" w:cs="Times New Roman"/>
              <w:b/>
              <w:sz w:val="24"/>
              <w:szCs w:val="24"/>
            </w:rPr>
            <w:fldChar w:fldCharType="separate"/>
          </w:r>
          <w:r w:rsidR="001E2203" w:rsidRPr="001E2203">
            <w:rPr>
              <w:rFonts w:ascii="Times New Roman" w:hAnsi="Times New Roman" w:cs="Times New Roman"/>
              <w:noProof/>
              <w:sz w:val="24"/>
              <w:szCs w:val="24"/>
            </w:rPr>
            <w:t>(Trespalacios Carrasquilla, Pantoja Robayo, &amp; Fernández Taborda, 2017)</w:t>
          </w:r>
          <w:r w:rsidR="001E2203">
            <w:rPr>
              <w:rFonts w:ascii="Times New Roman" w:hAnsi="Times New Roman" w:cs="Times New Roman"/>
              <w:b/>
              <w:sz w:val="24"/>
              <w:szCs w:val="24"/>
            </w:rPr>
            <w:fldChar w:fldCharType="end"/>
          </w:r>
        </w:sdtContent>
      </w:sdt>
    </w:p>
    <w:sectPr w:rsidR="003020B8" w:rsidRPr="006E78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CB4CAA"/>
    <w:multiLevelType w:val="hybridMultilevel"/>
    <w:tmpl w:val="B4B6473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1AC7DCD"/>
    <w:multiLevelType w:val="hybridMultilevel"/>
    <w:tmpl w:val="DC4293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0F81A65"/>
    <w:multiLevelType w:val="hybridMultilevel"/>
    <w:tmpl w:val="91A4BB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25A"/>
    <w:rsid w:val="000C2FE4"/>
    <w:rsid w:val="001E2203"/>
    <w:rsid w:val="003020B8"/>
    <w:rsid w:val="00384185"/>
    <w:rsid w:val="003B4F50"/>
    <w:rsid w:val="003C06BB"/>
    <w:rsid w:val="00436B22"/>
    <w:rsid w:val="004650BD"/>
    <w:rsid w:val="004F225A"/>
    <w:rsid w:val="00553D62"/>
    <w:rsid w:val="00635A36"/>
    <w:rsid w:val="006B4385"/>
    <w:rsid w:val="006E7890"/>
    <w:rsid w:val="00746BE6"/>
    <w:rsid w:val="007B0B25"/>
    <w:rsid w:val="008A0EFC"/>
    <w:rsid w:val="009623DE"/>
    <w:rsid w:val="009C3CF3"/>
    <w:rsid w:val="00A903A2"/>
    <w:rsid w:val="00B8015F"/>
    <w:rsid w:val="00B8744C"/>
    <w:rsid w:val="00C83079"/>
    <w:rsid w:val="00C859E7"/>
    <w:rsid w:val="00C86E3C"/>
    <w:rsid w:val="00CF7DD4"/>
    <w:rsid w:val="00DB0A0A"/>
    <w:rsid w:val="00DD779B"/>
    <w:rsid w:val="00E202D0"/>
    <w:rsid w:val="00ED607A"/>
    <w:rsid w:val="00EF5379"/>
    <w:rsid w:val="00F54630"/>
    <w:rsid w:val="00FB57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D03C"/>
  <w15:chartTrackingRefBased/>
  <w15:docId w15:val="{68AF3144-10B3-47A8-9EA2-E0EE4229E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2203"/>
    <w:pPr>
      <w:keepNext/>
      <w:keepLines/>
      <w:spacing w:before="240" w:after="0"/>
      <w:outlineLvl w:val="0"/>
    </w:pPr>
    <w:rPr>
      <w:rFonts w:asciiTheme="majorHAnsi" w:eastAsiaTheme="majorEastAsia" w:hAnsiTheme="majorHAnsi" w:cstheme="majorBidi"/>
      <w:color w:val="2E74B5" w:themeColor="accent1" w:themeShade="BF"/>
      <w:sz w:val="32"/>
      <w:szCs w:val="3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225A"/>
    <w:pPr>
      <w:ind w:left="720"/>
      <w:contextualSpacing/>
    </w:pPr>
  </w:style>
  <w:style w:type="paragraph" w:styleId="Bibliografa">
    <w:name w:val="Bibliography"/>
    <w:basedOn w:val="Normal"/>
    <w:next w:val="Normal"/>
    <w:uiPriority w:val="37"/>
    <w:unhideWhenUsed/>
    <w:rsid w:val="003020B8"/>
  </w:style>
  <w:style w:type="character" w:customStyle="1" w:styleId="Ttulo1Car">
    <w:name w:val="Título 1 Car"/>
    <w:basedOn w:val="Fuentedeprrafopredeter"/>
    <w:link w:val="Ttulo1"/>
    <w:uiPriority w:val="9"/>
    <w:rsid w:val="001E2203"/>
    <w:rPr>
      <w:rFonts w:asciiTheme="majorHAnsi" w:eastAsiaTheme="majorEastAsia" w:hAnsiTheme="majorHAnsi" w:cstheme="majorBidi"/>
      <w:color w:val="2E74B5" w:themeColor="accent1" w:themeShade="BF"/>
      <w:sz w:val="32"/>
      <w:szCs w:val="32"/>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975414">
      <w:bodyDiv w:val="1"/>
      <w:marLeft w:val="0"/>
      <w:marRight w:val="0"/>
      <w:marTop w:val="0"/>
      <w:marBottom w:val="0"/>
      <w:divBdr>
        <w:top w:val="none" w:sz="0" w:space="0" w:color="auto"/>
        <w:left w:val="none" w:sz="0" w:space="0" w:color="auto"/>
        <w:bottom w:val="none" w:sz="0" w:space="0" w:color="auto"/>
        <w:right w:val="none" w:sz="0" w:space="0" w:color="auto"/>
      </w:divBdr>
    </w:div>
    <w:div w:id="198947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Pov12</b:Tag>
    <b:SourceType>JournalArticle</b:SourceType>
    <b:Guid>{6B8F7B61-7047-4DD8-A129-053DAA57E563}</b:Guid>
    <b:Title>Modelamiento del precio de bolsa</b:Title>
    <b:JournalName>Universidad Nacional de Colombia</b:JournalName>
    <b:Year>2012</b:Year>
    <b:Author>
      <b:Author>
        <b:NameList>
          <b:Person>
            <b:Last>Poveda Núñez</b:Last>
            <b:Middle>Alejandro</b:Middle>
            <b:First>Manuel</b:First>
          </b:Person>
        </b:NameList>
      </b:Author>
    </b:Author>
    <b:URL>https://repositorio.unal.edu.co/bitstream/handle/unal/21159/300038.2012.pdf?sequence=1&amp;isAllowed=y</b:URL>
    <b:City>Bogotá, Colombia</b:City>
    <b:RefOrder>2</b:RefOrder>
  </b:Source>
  <b:Source>
    <b:Tag>Tre17</b:Tag>
    <b:SourceType>Book</b:SourceType>
    <b:Guid>{54453C40-8AF9-451F-A1D3-16809F3F206B}</b:Guid>
    <b:Title>Análisis de mercados de electricidad</b:Title>
    <b:Year>2017</b:Year>
    <b:Author>
      <b:Author>
        <b:NameList>
          <b:Person>
            <b:Last>Trespalacios Carrasquilla</b:Last>
            <b:First>Alfredo</b:First>
          </b:Person>
          <b:Person>
            <b:Last>Pantoja Robayo</b:Last>
            <b:Middle>Orlando </b:Middle>
            <b:First>Javier</b:First>
          </b:Person>
          <b:Person>
            <b:Last>Fernández Taborda</b:Last>
            <b:Middle>Alonso</b:Middle>
            <b:First>Óscar</b:First>
          </b:Person>
        </b:NameList>
      </b:Author>
    </b:Author>
    <b:Publisher>EAFIT</b:Publisher>
    <b:RefOrder>1</b:RefOrder>
  </b:Source>
</b:Sources>
</file>

<file path=customXml/itemProps1.xml><?xml version="1.0" encoding="utf-8"?>
<ds:datastoreItem xmlns:ds="http://schemas.openxmlformats.org/officeDocument/2006/customXml" ds:itemID="{78356E65-DD47-4BBC-AE77-416245E43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Pages>
  <Words>1293</Words>
  <Characters>7112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Andrea Margarita Beleño Hernandez</cp:lastModifiedBy>
  <cp:revision>24</cp:revision>
  <dcterms:created xsi:type="dcterms:W3CDTF">2022-07-15T22:11:00Z</dcterms:created>
  <dcterms:modified xsi:type="dcterms:W3CDTF">2022-07-19T03:09:00Z</dcterms:modified>
</cp:coreProperties>
</file>