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99E6" w14:textId="77777777" w:rsidR="00332197" w:rsidRPr="00325CBE" w:rsidRDefault="00332197" w:rsidP="00332197">
      <w:pPr>
        <w:pStyle w:val="Textkrper"/>
        <w:rPr>
          <w:lang w:val="de-DE"/>
        </w:rPr>
      </w:pPr>
      <w:bookmarkStart w:id="0" w:name="OLE_LINK7"/>
    </w:p>
    <w:p w14:paraId="69D8C50C" w14:textId="77777777" w:rsidR="00332197" w:rsidRPr="00325CBE" w:rsidRDefault="00332197" w:rsidP="00332197">
      <w:pPr>
        <w:pStyle w:val="Textkrper"/>
        <w:jc w:val="center"/>
        <w:rPr>
          <w:sz w:val="32"/>
          <w:szCs w:val="36"/>
          <w:lang w:val="de-DE"/>
        </w:rPr>
      </w:pPr>
      <w:r w:rsidRPr="00325CBE">
        <w:rPr>
          <w:sz w:val="32"/>
          <w:szCs w:val="36"/>
          <w:lang w:val="de-DE"/>
        </w:rPr>
        <w:t>WHITEPAPER</w:t>
      </w:r>
    </w:p>
    <w:p w14:paraId="3C0C5BEA" w14:textId="77777777" w:rsidR="00332197" w:rsidRPr="00325CBE" w:rsidRDefault="00332197" w:rsidP="00332197">
      <w:pPr>
        <w:pStyle w:val="Textkrper"/>
        <w:rPr>
          <w:sz w:val="28"/>
          <w:lang w:val="de-DE"/>
        </w:rPr>
      </w:pPr>
      <w:r w:rsidRPr="00325CBE">
        <w:rPr>
          <w:noProof/>
          <w:lang w:val="de-DE"/>
        </w:rPr>
        <w:pict w14:anchorId="7279537E">
          <v:rect id="Rechteck 2" o:spid="_x0000_s1029" style="position:absolute;margin-left:186.6pt;margin-top:51.8pt;width:119.25pt;height:1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" fillcolor="#0070c0" strokecolor="#4579b8 [3044]">
            <v:shadow on="t" color="black" opacity="22937f" origin=",.5" offset="0,.63889mm"/>
            <v:textbox style="mso-next-textbox:#Rechteck 2">
              <w:txbxContent>
                <w:p w14:paraId="33850468" w14:textId="77777777" w:rsidR="00332197" w:rsidRDefault="00332197" w:rsidP="00332197">
                  <w:pPr>
                    <w:jc w:val="center"/>
                  </w:pPr>
                  <w:r>
                    <w:rPr>
                      <w:noProof/>
                    </w:rPr>
                    <w:drawing>
                      <wp:inline distT="0" distB="0" distL="0" distR="0" wp14:anchorId="1106D889" wp14:editId="4EADAF93">
                        <wp:extent cx="1313180" cy="1761643"/>
                        <wp:effectExtent l="0" t="0" r="1270" b="0"/>
                        <wp:docPr id="76852538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3180" cy="1761643"/>
                                </a:xfrm>
                                <a:prstGeom prst="rect">
                                  <a:avLst/>
                                </a:prstGeom>
                                <a:noFill/>
                                <a:ln>
                                  <a:noFill/>
                                </a:ln>
                              </pic:spPr>
                            </pic:pic>
                          </a:graphicData>
                        </a:graphic>
                      </wp:inline>
                    </w:drawing>
                  </w:r>
                  <w:r>
                    <w:rPr>
                      <w:noProof/>
                    </w:rPr>
                    <w:drawing>
                      <wp:inline distT="0" distB="0" distL="0" distR="0" wp14:anchorId="78356FE4" wp14:editId="351287B2">
                        <wp:extent cx="1313180" cy="1761490"/>
                        <wp:effectExtent l="0" t="0" r="1270" b="0"/>
                        <wp:docPr id="89309790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3180" cy="1761490"/>
                                </a:xfrm>
                                <a:prstGeom prst="rect">
                                  <a:avLst/>
                                </a:prstGeom>
                                <a:noFill/>
                                <a:ln>
                                  <a:noFill/>
                                </a:ln>
                              </pic:spPr>
                            </pic:pic>
                          </a:graphicData>
                        </a:graphic>
                      </wp:inline>
                    </w:drawing>
                  </w:r>
                </w:p>
              </w:txbxContent>
            </v:textbox>
            <w10:wrap type="topAndBottom"/>
          </v:rect>
        </w:pict>
      </w:r>
    </w:p>
    <w:p w14:paraId="412EF1D4" w14:textId="77777777" w:rsidR="00332197" w:rsidRPr="00325CBE" w:rsidRDefault="00332197" w:rsidP="00332197">
      <w:pPr>
        <w:pStyle w:val="FirstParagraph"/>
        <w:rPr>
          <w:b/>
          <w:bCs/>
          <w:lang w:val="de-DE"/>
        </w:rPr>
      </w:pPr>
    </w:p>
    <w:p w14:paraId="41003958" w14:textId="77777777" w:rsidR="00332197" w:rsidRPr="00325CBE" w:rsidRDefault="00332197" w:rsidP="00332197">
      <w:pPr>
        <w:pStyle w:val="Textkrper"/>
        <w:ind w:left="-142"/>
        <w:rPr>
          <w:b/>
          <w:bCs/>
          <w:sz w:val="32"/>
          <w:szCs w:val="32"/>
          <w:lang w:val="de-DE"/>
        </w:rPr>
      </w:pPr>
    </w:p>
    <w:p w14:paraId="40A4AAF4" w14:textId="77777777" w:rsidR="00332197" w:rsidRPr="00325CBE" w:rsidRDefault="00332197" w:rsidP="00332197">
      <w:pPr>
        <w:pStyle w:val="Textkrper"/>
        <w:ind w:left="-142"/>
        <w:jc w:val="center"/>
        <w:rPr>
          <w:kern w:val="2"/>
          <w:lang w:val="de-DE"/>
        </w:rPr>
      </w:pPr>
      <w:r w:rsidRPr="00325CBE">
        <w:rPr>
          <w:b/>
          <w:bCs/>
          <w:sz w:val="32"/>
          <w:szCs w:val="32"/>
          <w:lang w:val="de-DE"/>
        </w:rPr>
        <w:t>Nichtdelegierbare Bauherrenverantwortung und Minimum Viable Governance für komplexe Bau- und Infrastrukturprojekte</w:t>
      </w:r>
    </w:p>
    <w:p w14:paraId="083F1F25" w14:textId="77777777" w:rsidR="00332197" w:rsidRPr="00325CBE" w:rsidRDefault="00332197" w:rsidP="00332197">
      <w:pPr>
        <w:pStyle w:val="Textkrper"/>
        <w:rPr>
          <w:lang w:val="de-DE"/>
        </w:rPr>
      </w:pPr>
    </w:p>
    <w:p w14:paraId="789A935F" w14:textId="77777777" w:rsidR="00332197" w:rsidRPr="00325CBE" w:rsidRDefault="00332197" w:rsidP="00332197">
      <w:pPr>
        <w:pStyle w:val="Textkrper"/>
        <w:rPr>
          <w:lang w:val="de-DE"/>
        </w:rPr>
      </w:pPr>
    </w:p>
    <w:p w14:paraId="5D14A7E9" w14:textId="77777777" w:rsidR="00332197" w:rsidRPr="00325CBE" w:rsidRDefault="00332197" w:rsidP="00332197">
      <w:pPr>
        <w:pStyle w:val="Textkrper"/>
        <w:rPr>
          <w:lang w:val="de-DE"/>
        </w:rPr>
      </w:pPr>
      <w:r w:rsidRPr="00325CBE">
        <w:rPr>
          <w:lang w:val="de-DE"/>
        </w:rPr>
        <w:t>Ein Whitepaper von Bauherr Mentoren zur Führungs-, Entscheidungs- und Nachweisfähigkeit von Bauherren im DACH-Raum</w:t>
      </w:r>
    </w:p>
    <w:p w14:paraId="3E8DB031" w14:textId="77777777" w:rsidR="00DB6CD5" w:rsidRPr="00325CBE" w:rsidRDefault="00DB6CD5">
      <w:pPr>
        <w:pStyle w:val="Textkrper"/>
        <w:rPr>
          <w:lang w:val="de-DE"/>
        </w:rPr>
      </w:pPr>
    </w:p>
    <w:p w14:paraId="3833E9EA" w14:textId="77777777" w:rsidR="00340518" w:rsidRPr="00325CBE" w:rsidRDefault="00DB6CD5" w:rsidP="00340518">
      <w:pPr>
        <w:pStyle w:val="Inhaltsverzeichnisberschrift"/>
        <w:spacing w:before="0"/>
        <w:ind w:left="284"/>
        <w:rPr>
          <w:lang w:val="de-DE"/>
        </w:rPr>
      </w:pPr>
      <w:r w:rsidRPr="00325CBE">
        <w:rPr>
          <w:lang w:val="de-DE"/>
        </w:rPr>
        <w:br w:type="column"/>
      </w:r>
    </w:p>
    <w:sdt>
      <w:sdtPr>
        <w:rPr>
          <w:rFonts w:asciiTheme="minorHAnsi" w:hAnsiTheme="minorHAnsi"/>
          <w:color w:val="auto"/>
          <w:sz w:val="24"/>
          <w:lang w:val="de-DE"/>
        </w:rPr>
        <w:id w:val="-692616686"/>
        <w:docPartObj>
          <w:docPartGallery w:val="Table of Contents"/>
          <w:docPartUnique/>
        </w:docPartObj>
      </w:sdtPr>
      <w:sdtEndPr>
        <w:rPr>
          <w:b/>
          <w:bCs/>
          <w:sz w:val="22"/>
          <w:szCs w:val="22"/>
        </w:rPr>
      </w:sdtEndPr>
      <w:sdtContent>
        <w:p w14:paraId="6C60FCE5" w14:textId="1FEBE81A" w:rsidR="00953B6D" w:rsidRPr="00325CBE" w:rsidRDefault="00953B6D" w:rsidP="00340518">
          <w:pPr>
            <w:pStyle w:val="Inhaltsverzeichnisberschrift"/>
            <w:rPr>
              <w:lang w:val="de-DE"/>
            </w:rPr>
          </w:pPr>
          <w:r w:rsidRPr="00325CBE">
            <w:rPr>
              <w:lang w:val="de-DE"/>
            </w:rPr>
            <w:t>Inhalt</w:t>
          </w:r>
        </w:p>
        <w:p w14:paraId="73F1A49A" w14:textId="62A48203" w:rsidR="002407E9" w:rsidRPr="002407E9" w:rsidRDefault="00953B6D">
          <w:pPr>
            <w:pStyle w:val="Verzeichnis1"/>
            <w:rPr>
              <w:rFonts w:eastAsiaTheme="minorEastAsia"/>
              <w:noProof/>
              <w:kern w:val="2"/>
              <w:sz w:val="22"/>
              <w:szCs w:val="22"/>
              <w14:ligatures w14:val="standardContextual"/>
            </w:rPr>
          </w:pPr>
          <w:r w:rsidRPr="002407E9">
            <w:rPr>
              <w:sz w:val="22"/>
              <w:szCs w:val="22"/>
              <w:lang w:val="de-DE"/>
            </w:rPr>
            <w:fldChar w:fldCharType="begin"/>
          </w:r>
          <w:r w:rsidRPr="002407E9">
            <w:rPr>
              <w:sz w:val="22"/>
              <w:szCs w:val="22"/>
              <w:lang w:val="de-DE"/>
            </w:rPr>
            <w:instrText xml:space="preserve"> TOC \o "1-3" \h \z \u </w:instrText>
          </w:r>
          <w:r w:rsidRPr="002407E9">
            <w:rPr>
              <w:sz w:val="22"/>
              <w:szCs w:val="22"/>
              <w:lang w:val="de-DE"/>
            </w:rPr>
            <w:fldChar w:fldCharType="separate"/>
          </w:r>
          <w:hyperlink w:anchor="_Toc239764900" w:history="1">
            <w:r w:rsidR="002407E9" w:rsidRPr="002407E9">
              <w:rPr>
                <w:rStyle w:val="Hyperlink"/>
                <w:noProof/>
                <w:sz w:val="22"/>
                <w:szCs w:val="22"/>
                <w:lang w:val="de-DE"/>
              </w:rPr>
              <w:t>1</w:t>
            </w:r>
            <w:r w:rsidR="002407E9" w:rsidRPr="002407E9">
              <w:rPr>
                <w:rFonts w:eastAsiaTheme="minorEastAsia"/>
                <w:noProof/>
                <w:kern w:val="2"/>
                <w:sz w:val="22"/>
                <w:szCs w:val="22"/>
                <w14:ligatures w14:val="standardContextual"/>
              </w:rPr>
              <w:tab/>
            </w:r>
            <w:r w:rsidR="002407E9" w:rsidRPr="002407E9">
              <w:rPr>
                <w:rStyle w:val="Hyperlink"/>
                <w:noProof/>
                <w:sz w:val="22"/>
                <w:szCs w:val="22"/>
                <w:lang w:val="de-DE"/>
              </w:rPr>
              <w:t>Kurzfassung</w:t>
            </w:r>
            <w:r w:rsidR="002407E9" w:rsidRPr="002407E9">
              <w:rPr>
                <w:noProof/>
                <w:webHidden/>
                <w:sz w:val="22"/>
                <w:szCs w:val="22"/>
              </w:rPr>
              <w:tab/>
            </w:r>
            <w:r w:rsidR="002407E9" w:rsidRPr="002407E9">
              <w:rPr>
                <w:noProof/>
                <w:webHidden/>
                <w:sz w:val="22"/>
                <w:szCs w:val="22"/>
              </w:rPr>
              <w:fldChar w:fldCharType="begin"/>
            </w:r>
            <w:r w:rsidR="002407E9" w:rsidRPr="002407E9">
              <w:rPr>
                <w:noProof/>
                <w:webHidden/>
                <w:sz w:val="22"/>
                <w:szCs w:val="22"/>
              </w:rPr>
              <w:instrText xml:space="preserve"> PAGEREF _Toc239764900 \h </w:instrText>
            </w:r>
            <w:r w:rsidR="002407E9" w:rsidRPr="002407E9">
              <w:rPr>
                <w:noProof/>
                <w:webHidden/>
                <w:sz w:val="22"/>
                <w:szCs w:val="22"/>
              </w:rPr>
            </w:r>
            <w:r w:rsidR="002407E9" w:rsidRPr="002407E9">
              <w:rPr>
                <w:noProof/>
                <w:webHidden/>
                <w:sz w:val="22"/>
                <w:szCs w:val="22"/>
              </w:rPr>
              <w:fldChar w:fldCharType="separate"/>
            </w:r>
            <w:r w:rsidR="00732C53">
              <w:rPr>
                <w:noProof/>
                <w:webHidden/>
                <w:sz w:val="22"/>
                <w:szCs w:val="22"/>
              </w:rPr>
              <w:t>4</w:t>
            </w:r>
            <w:r w:rsidR="002407E9" w:rsidRPr="002407E9">
              <w:rPr>
                <w:noProof/>
                <w:webHidden/>
                <w:sz w:val="22"/>
                <w:szCs w:val="22"/>
              </w:rPr>
              <w:fldChar w:fldCharType="end"/>
            </w:r>
          </w:hyperlink>
        </w:p>
        <w:p w14:paraId="1844A78D" w14:textId="51DDB72D" w:rsidR="002407E9" w:rsidRPr="002407E9" w:rsidRDefault="002407E9">
          <w:pPr>
            <w:pStyle w:val="Verzeichnis2"/>
            <w:rPr>
              <w:rFonts w:eastAsiaTheme="minorEastAsia"/>
              <w:noProof/>
              <w:kern w:val="2"/>
              <w:sz w:val="22"/>
              <w:szCs w:val="22"/>
              <w14:ligatures w14:val="standardContextual"/>
            </w:rPr>
          </w:pPr>
          <w:hyperlink w:anchor="_Toc239764901" w:history="1">
            <w:r w:rsidRPr="002407E9">
              <w:rPr>
                <w:rStyle w:val="Hyperlink"/>
                <w:iCs/>
                <w:noProof/>
                <w:sz w:val="22"/>
                <w:szCs w:val="22"/>
              </w:rPr>
              <w:t>1.1</w:t>
            </w:r>
            <w:r w:rsidRPr="002407E9">
              <w:rPr>
                <w:rFonts w:eastAsiaTheme="minorEastAsia"/>
                <w:noProof/>
                <w:kern w:val="2"/>
                <w:sz w:val="22"/>
                <w:szCs w:val="22"/>
                <w14:ligatures w14:val="standardContextual"/>
              </w:rPr>
              <w:tab/>
            </w:r>
            <w:r w:rsidRPr="002407E9">
              <w:rPr>
                <w:rStyle w:val="Hyperlink"/>
                <w:noProof/>
                <w:sz w:val="22"/>
                <w:szCs w:val="22"/>
              </w:rPr>
              <w:t>Leitthese</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_Toc239764901 \h </w:instrText>
            </w:r>
            <w:r w:rsidRPr="002407E9">
              <w:rPr>
                <w:noProof/>
                <w:webHidden/>
                <w:sz w:val="22"/>
                <w:szCs w:val="22"/>
              </w:rPr>
            </w:r>
            <w:r w:rsidRPr="002407E9">
              <w:rPr>
                <w:noProof/>
                <w:webHidden/>
                <w:sz w:val="22"/>
                <w:szCs w:val="22"/>
              </w:rPr>
              <w:fldChar w:fldCharType="separate"/>
            </w:r>
            <w:r w:rsidR="00732C53">
              <w:rPr>
                <w:noProof/>
                <w:webHidden/>
                <w:sz w:val="22"/>
                <w:szCs w:val="22"/>
              </w:rPr>
              <w:t>4</w:t>
            </w:r>
            <w:r w:rsidRPr="002407E9">
              <w:rPr>
                <w:noProof/>
                <w:webHidden/>
                <w:sz w:val="22"/>
                <w:szCs w:val="22"/>
              </w:rPr>
              <w:fldChar w:fldCharType="end"/>
            </w:r>
          </w:hyperlink>
        </w:p>
        <w:p w14:paraId="1CDC8C97" w14:textId="5DC33E23" w:rsidR="002407E9" w:rsidRPr="002407E9" w:rsidRDefault="002407E9">
          <w:pPr>
            <w:pStyle w:val="Verzeichnis2"/>
            <w:rPr>
              <w:rFonts w:eastAsiaTheme="minorEastAsia"/>
              <w:noProof/>
              <w:kern w:val="2"/>
              <w:sz w:val="22"/>
              <w:szCs w:val="22"/>
              <w14:ligatures w14:val="standardContextual"/>
            </w:rPr>
          </w:pPr>
          <w:hyperlink w:anchor="_Toc239764902" w:history="1">
            <w:r w:rsidRPr="002407E9">
              <w:rPr>
                <w:rStyle w:val="Hyperlink"/>
                <w:iCs/>
                <w:noProof/>
                <w:sz w:val="22"/>
                <w:szCs w:val="22"/>
              </w:rPr>
              <w:t>1.2</w:t>
            </w:r>
            <w:r w:rsidRPr="002407E9">
              <w:rPr>
                <w:rFonts w:eastAsiaTheme="minorEastAsia"/>
                <w:noProof/>
                <w:kern w:val="2"/>
                <w:sz w:val="22"/>
                <w:szCs w:val="22"/>
                <w14:ligatures w14:val="standardContextual"/>
              </w:rPr>
              <w:tab/>
            </w:r>
            <w:r w:rsidRPr="002407E9">
              <w:rPr>
                <w:rStyle w:val="Hyperlink"/>
                <w:noProof/>
                <w:sz w:val="22"/>
                <w:szCs w:val="22"/>
              </w:rPr>
              <w:t>Managementaussagen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_Toc239764902 \h </w:instrText>
            </w:r>
            <w:r w:rsidRPr="002407E9">
              <w:rPr>
                <w:noProof/>
                <w:webHidden/>
                <w:sz w:val="22"/>
                <w:szCs w:val="22"/>
              </w:rPr>
            </w:r>
            <w:r w:rsidRPr="002407E9">
              <w:rPr>
                <w:noProof/>
                <w:webHidden/>
                <w:sz w:val="22"/>
                <w:szCs w:val="22"/>
              </w:rPr>
              <w:fldChar w:fldCharType="separate"/>
            </w:r>
            <w:r w:rsidR="00732C53">
              <w:rPr>
                <w:noProof/>
                <w:webHidden/>
                <w:sz w:val="22"/>
                <w:szCs w:val="22"/>
              </w:rPr>
              <w:t>5</w:t>
            </w:r>
            <w:r w:rsidRPr="002407E9">
              <w:rPr>
                <w:noProof/>
                <w:webHidden/>
                <w:sz w:val="22"/>
                <w:szCs w:val="22"/>
              </w:rPr>
              <w:fldChar w:fldCharType="end"/>
            </w:r>
          </w:hyperlink>
        </w:p>
        <w:p w14:paraId="540A3174" w14:textId="2802A07B" w:rsidR="002407E9" w:rsidRPr="002407E9" w:rsidRDefault="002407E9">
          <w:pPr>
            <w:pStyle w:val="Verzeichnis2"/>
            <w:rPr>
              <w:rFonts w:eastAsiaTheme="minorEastAsia"/>
              <w:noProof/>
              <w:kern w:val="2"/>
              <w:sz w:val="22"/>
              <w:szCs w:val="22"/>
              <w14:ligatures w14:val="standardContextual"/>
            </w:rPr>
          </w:pPr>
          <w:hyperlink w:anchor="_Toc239764903" w:history="1">
            <w:r w:rsidRPr="002407E9">
              <w:rPr>
                <w:rStyle w:val="Hyperlink"/>
                <w:iCs/>
                <w:noProof/>
                <w:sz w:val="22"/>
                <w:szCs w:val="22"/>
              </w:rPr>
              <w:t>1.3</w:t>
            </w:r>
            <w:r w:rsidRPr="002407E9">
              <w:rPr>
                <w:rFonts w:eastAsiaTheme="minorEastAsia"/>
                <w:noProof/>
                <w:kern w:val="2"/>
                <w:sz w:val="22"/>
                <w:szCs w:val="22"/>
                <w14:ligatures w14:val="standardContextual"/>
              </w:rPr>
              <w:tab/>
            </w:r>
            <w:r w:rsidRPr="002407E9">
              <w:rPr>
                <w:rStyle w:val="Hyperlink"/>
                <w:noProof/>
                <w:sz w:val="22"/>
                <w:szCs w:val="22"/>
              </w:rPr>
              <w:t>Ergebnisbild</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_Toc239764903 \h </w:instrText>
            </w:r>
            <w:r w:rsidRPr="002407E9">
              <w:rPr>
                <w:noProof/>
                <w:webHidden/>
                <w:sz w:val="22"/>
                <w:szCs w:val="22"/>
              </w:rPr>
            </w:r>
            <w:r w:rsidRPr="002407E9">
              <w:rPr>
                <w:noProof/>
                <w:webHidden/>
                <w:sz w:val="22"/>
                <w:szCs w:val="22"/>
              </w:rPr>
              <w:fldChar w:fldCharType="separate"/>
            </w:r>
            <w:r w:rsidR="00732C53">
              <w:rPr>
                <w:noProof/>
                <w:webHidden/>
                <w:sz w:val="22"/>
                <w:szCs w:val="22"/>
              </w:rPr>
              <w:t>5</w:t>
            </w:r>
            <w:r w:rsidRPr="002407E9">
              <w:rPr>
                <w:noProof/>
                <w:webHidden/>
                <w:sz w:val="22"/>
                <w:szCs w:val="22"/>
              </w:rPr>
              <w:fldChar w:fldCharType="end"/>
            </w:r>
          </w:hyperlink>
        </w:p>
        <w:p w14:paraId="26181C9D" w14:textId="510AD4A2" w:rsidR="002407E9" w:rsidRPr="002407E9" w:rsidRDefault="002407E9">
          <w:pPr>
            <w:pStyle w:val="Verzeichnis1"/>
            <w:rPr>
              <w:rFonts w:eastAsiaTheme="minorEastAsia"/>
              <w:noProof/>
              <w:kern w:val="2"/>
              <w:sz w:val="22"/>
              <w:szCs w:val="22"/>
              <w14:ligatures w14:val="standardContextual"/>
            </w:rPr>
          </w:pPr>
          <w:hyperlink w:anchor="_Toc239764904" w:history="1">
            <w:r w:rsidRPr="002407E9">
              <w:rPr>
                <w:rStyle w:val="Hyperlink"/>
                <w:noProof/>
                <w:sz w:val="22"/>
                <w:szCs w:val="22"/>
                <w:lang w:val="de-DE"/>
              </w:rPr>
              <w:t>2</w:t>
            </w:r>
            <w:r w:rsidRPr="002407E9">
              <w:rPr>
                <w:rFonts w:eastAsiaTheme="minorEastAsia"/>
                <w:noProof/>
                <w:kern w:val="2"/>
                <w:sz w:val="22"/>
                <w:szCs w:val="22"/>
                <w14:ligatures w14:val="standardContextual"/>
              </w:rPr>
              <w:tab/>
            </w:r>
            <w:r w:rsidRPr="002407E9">
              <w:rPr>
                <w:rStyle w:val="Hyperlink"/>
                <w:noProof/>
                <w:sz w:val="22"/>
                <w:szCs w:val="22"/>
                <w:lang w:val="de-DE"/>
              </w:rPr>
              <w:t>Ausgangslage und Kernproblem</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_Toc239764904 \h </w:instrText>
            </w:r>
            <w:r w:rsidRPr="002407E9">
              <w:rPr>
                <w:noProof/>
                <w:webHidden/>
                <w:sz w:val="22"/>
                <w:szCs w:val="22"/>
              </w:rPr>
            </w:r>
            <w:r w:rsidRPr="002407E9">
              <w:rPr>
                <w:noProof/>
                <w:webHidden/>
                <w:sz w:val="22"/>
                <w:szCs w:val="22"/>
              </w:rPr>
              <w:fldChar w:fldCharType="separate"/>
            </w:r>
            <w:r w:rsidR="00732C53">
              <w:rPr>
                <w:noProof/>
                <w:webHidden/>
                <w:sz w:val="22"/>
                <w:szCs w:val="22"/>
              </w:rPr>
              <w:t>6</w:t>
            </w:r>
            <w:r w:rsidRPr="002407E9">
              <w:rPr>
                <w:noProof/>
                <w:webHidden/>
                <w:sz w:val="22"/>
                <w:szCs w:val="22"/>
              </w:rPr>
              <w:fldChar w:fldCharType="end"/>
            </w:r>
          </w:hyperlink>
        </w:p>
        <w:p w14:paraId="060E74FA" w14:textId="452C3A33" w:rsidR="002407E9" w:rsidRPr="002407E9" w:rsidRDefault="002407E9">
          <w:pPr>
            <w:pStyle w:val="Verzeichnis2"/>
            <w:rPr>
              <w:rFonts w:eastAsiaTheme="minorEastAsia"/>
              <w:noProof/>
              <w:kern w:val="2"/>
              <w:sz w:val="22"/>
              <w:szCs w:val="22"/>
              <w14:ligatures w14:val="standardContextual"/>
            </w:rPr>
          </w:pPr>
          <w:hyperlink w:anchor="_Toc239764905" w:history="1">
            <w:r w:rsidRPr="002407E9">
              <w:rPr>
                <w:rStyle w:val="Hyperlink"/>
                <w:iCs/>
                <w:noProof/>
                <w:sz w:val="22"/>
                <w:szCs w:val="22"/>
              </w:rPr>
              <w:t>2.1</w:t>
            </w:r>
            <w:r w:rsidRPr="002407E9">
              <w:rPr>
                <w:rFonts w:eastAsiaTheme="minorEastAsia"/>
                <w:noProof/>
                <w:kern w:val="2"/>
                <w:sz w:val="22"/>
                <w:szCs w:val="22"/>
                <w14:ligatures w14:val="standardContextual"/>
              </w:rPr>
              <w:tab/>
            </w:r>
            <w:r w:rsidRPr="002407E9">
              <w:rPr>
                <w:rStyle w:val="Hyperlink"/>
                <w:noProof/>
                <w:sz w:val="22"/>
                <w:szCs w:val="22"/>
              </w:rPr>
              <w:t>Volatile Märkte und Infrastrukturprogramme</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_Toc239764905 \h </w:instrText>
            </w:r>
            <w:r w:rsidRPr="002407E9">
              <w:rPr>
                <w:noProof/>
                <w:webHidden/>
                <w:sz w:val="22"/>
                <w:szCs w:val="22"/>
              </w:rPr>
            </w:r>
            <w:r w:rsidRPr="002407E9">
              <w:rPr>
                <w:noProof/>
                <w:webHidden/>
                <w:sz w:val="22"/>
                <w:szCs w:val="22"/>
              </w:rPr>
              <w:fldChar w:fldCharType="separate"/>
            </w:r>
            <w:r w:rsidR="00732C53">
              <w:rPr>
                <w:noProof/>
                <w:webHidden/>
                <w:sz w:val="22"/>
                <w:szCs w:val="22"/>
              </w:rPr>
              <w:t>7</w:t>
            </w:r>
            <w:r w:rsidRPr="002407E9">
              <w:rPr>
                <w:noProof/>
                <w:webHidden/>
                <w:sz w:val="22"/>
                <w:szCs w:val="22"/>
              </w:rPr>
              <w:fldChar w:fldCharType="end"/>
            </w:r>
          </w:hyperlink>
        </w:p>
        <w:p w14:paraId="73AA484D" w14:textId="37ACC4C1" w:rsidR="002407E9" w:rsidRPr="002407E9" w:rsidRDefault="002407E9">
          <w:pPr>
            <w:pStyle w:val="Verzeichnis2"/>
            <w:rPr>
              <w:rFonts w:eastAsiaTheme="minorEastAsia"/>
              <w:noProof/>
              <w:kern w:val="2"/>
              <w:sz w:val="22"/>
              <w:szCs w:val="22"/>
              <w14:ligatures w14:val="standardContextual"/>
            </w:rPr>
          </w:pPr>
          <w:hyperlink w:anchor="_Toc239764906" w:history="1">
            <w:r w:rsidRPr="002407E9">
              <w:rPr>
                <w:rStyle w:val="Hyperlink"/>
                <w:iCs/>
                <w:noProof/>
                <w:sz w:val="22"/>
                <w:szCs w:val="22"/>
              </w:rPr>
              <w:t>2.2</w:t>
            </w:r>
            <w:r w:rsidRPr="002407E9">
              <w:rPr>
                <w:rFonts w:eastAsiaTheme="minorEastAsia"/>
                <w:noProof/>
                <w:kern w:val="2"/>
                <w:sz w:val="22"/>
                <w:szCs w:val="22"/>
                <w14:ligatures w14:val="standardContextual"/>
              </w:rPr>
              <w:tab/>
            </w:r>
            <w:r w:rsidRPr="002407E9">
              <w:rPr>
                <w:rStyle w:val="Hyperlink"/>
                <w:noProof/>
                <w:sz w:val="22"/>
                <w:szCs w:val="22"/>
              </w:rPr>
              <w:t>Steigende Komplexität durch ESG, LCC und Nachweislogik</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_Toc239764906 \h </w:instrText>
            </w:r>
            <w:r w:rsidRPr="002407E9">
              <w:rPr>
                <w:noProof/>
                <w:webHidden/>
                <w:sz w:val="22"/>
                <w:szCs w:val="22"/>
              </w:rPr>
            </w:r>
            <w:r w:rsidRPr="002407E9">
              <w:rPr>
                <w:noProof/>
                <w:webHidden/>
                <w:sz w:val="22"/>
                <w:szCs w:val="22"/>
              </w:rPr>
              <w:fldChar w:fldCharType="separate"/>
            </w:r>
            <w:r w:rsidR="00732C53">
              <w:rPr>
                <w:noProof/>
                <w:webHidden/>
                <w:sz w:val="22"/>
                <w:szCs w:val="22"/>
              </w:rPr>
              <w:t>7</w:t>
            </w:r>
            <w:r w:rsidRPr="002407E9">
              <w:rPr>
                <w:noProof/>
                <w:webHidden/>
                <w:sz w:val="22"/>
                <w:szCs w:val="22"/>
              </w:rPr>
              <w:fldChar w:fldCharType="end"/>
            </w:r>
          </w:hyperlink>
        </w:p>
        <w:p w14:paraId="66A495A0" w14:textId="2A692929" w:rsidR="002407E9" w:rsidRPr="002407E9" w:rsidRDefault="002407E9">
          <w:pPr>
            <w:pStyle w:val="Verzeichnis2"/>
            <w:rPr>
              <w:rFonts w:eastAsiaTheme="minorEastAsia"/>
              <w:noProof/>
              <w:kern w:val="2"/>
              <w:sz w:val="22"/>
              <w:szCs w:val="22"/>
              <w14:ligatures w14:val="standardContextual"/>
            </w:rPr>
          </w:pPr>
          <w:hyperlink w:anchor="_Toc239764907" w:history="1">
            <w:r w:rsidRPr="002407E9">
              <w:rPr>
                <w:rStyle w:val="Hyperlink"/>
                <w:iCs/>
                <w:noProof/>
                <w:sz w:val="22"/>
                <w:szCs w:val="22"/>
              </w:rPr>
              <w:t>2.3</w:t>
            </w:r>
            <w:r w:rsidRPr="002407E9">
              <w:rPr>
                <w:rFonts w:eastAsiaTheme="minorEastAsia"/>
                <w:noProof/>
                <w:kern w:val="2"/>
                <w:sz w:val="22"/>
                <w:szCs w:val="22"/>
                <w14:ligatures w14:val="standardContextual"/>
              </w:rPr>
              <w:tab/>
            </w:r>
            <w:r w:rsidRPr="002407E9">
              <w:rPr>
                <w:rStyle w:val="Hyperlink"/>
                <w:noProof/>
                <w:sz w:val="22"/>
                <w:szCs w:val="22"/>
              </w:rPr>
              <w:t>Wissensverlust und Schlüsselrollen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_Toc239764907 \h </w:instrText>
            </w:r>
            <w:r w:rsidRPr="002407E9">
              <w:rPr>
                <w:noProof/>
                <w:webHidden/>
                <w:sz w:val="22"/>
                <w:szCs w:val="22"/>
              </w:rPr>
            </w:r>
            <w:r w:rsidRPr="002407E9">
              <w:rPr>
                <w:noProof/>
                <w:webHidden/>
                <w:sz w:val="22"/>
                <w:szCs w:val="22"/>
              </w:rPr>
              <w:fldChar w:fldCharType="separate"/>
            </w:r>
            <w:r w:rsidR="00732C53">
              <w:rPr>
                <w:noProof/>
                <w:webHidden/>
                <w:sz w:val="22"/>
                <w:szCs w:val="22"/>
              </w:rPr>
              <w:t>7</w:t>
            </w:r>
            <w:r w:rsidRPr="002407E9">
              <w:rPr>
                <w:noProof/>
                <w:webHidden/>
                <w:sz w:val="22"/>
                <w:szCs w:val="22"/>
              </w:rPr>
              <w:fldChar w:fldCharType="end"/>
            </w:r>
          </w:hyperlink>
        </w:p>
        <w:p w14:paraId="530D0B71" w14:textId="48858162" w:rsidR="002407E9" w:rsidRPr="002407E9" w:rsidRDefault="002407E9">
          <w:pPr>
            <w:pStyle w:val="Verzeichnis2"/>
            <w:rPr>
              <w:rFonts w:eastAsiaTheme="minorEastAsia"/>
              <w:noProof/>
              <w:kern w:val="2"/>
              <w:sz w:val="22"/>
              <w:szCs w:val="22"/>
              <w14:ligatures w14:val="standardContextual"/>
            </w:rPr>
          </w:pPr>
          <w:hyperlink w:anchor="_Toc239764908" w:history="1">
            <w:r w:rsidRPr="002407E9">
              <w:rPr>
                <w:rStyle w:val="Hyperlink"/>
                <w:iCs/>
                <w:noProof/>
                <w:sz w:val="22"/>
                <w:szCs w:val="22"/>
              </w:rPr>
              <w:t>2.4</w:t>
            </w:r>
            <w:r w:rsidRPr="002407E9">
              <w:rPr>
                <w:rFonts w:eastAsiaTheme="minorEastAsia"/>
                <w:noProof/>
                <w:kern w:val="2"/>
                <w:sz w:val="22"/>
                <w:szCs w:val="22"/>
                <w14:ligatures w14:val="standardContextual"/>
              </w:rPr>
              <w:tab/>
            </w:r>
            <w:r w:rsidRPr="002407E9">
              <w:rPr>
                <w:rStyle w:val="Hyperlink"/>
                <w:noProof/>
                <w:sz w:val="22"/>
                <w:szCs w:val="22"/>
              </w:rPr>
              <w:t>Warum Berichterstattung das Kernproblem nicht löst</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_Toc239764908 \h </w:instrText>
            </w:r>
            <w:r w:rsidRPr="002407E9">
              <w:rPr>
                <w:noProof/>
                <w:webHidden/>
                <w:sz w:val="22"/>
                <w:szCs w:val="22"/>
              </w:rPr>
            </w:r>
            <w:r w:rsidRPr="002407E9">
              <w:rPr>
                <w:noProof/>
                <w:webHidden/>
                <w:sz w:val="22"/>
                <w:szCs w:val="22"/>
              </w:rPr>
              <w:fldChar w:fldCharType="separate"/>
            </w:r>
            <w:r w:rsidR="00732C53">
              <w:rPr>
                <w:noProof/>
                <w:webHidden/>
                <w:sz w:val="22"/>
                <w:szCs w:val="22"/>
              </w:rPr>
              <w:t>7</w:t>
            </w:r>
            <w:r w:rsidRPr="002407E9">
              <w:rPr>
                <w:noProof/>
                <w:webHidden/>
                <w:sz w:val="22"/>
                <w:szCs w:val="22"/>
              </w:rPr>
              <w:fldChar w:fldCharType="end"/>
            </w:r>
          </w:hyperlink>
        </w:p>
        <w:p w14:paraId="367CD29B" w14:textId="4C3E7ACE" w:rsidR="002407E9" w:rsidRPr="002407E9" w:rsidRDefault="002407E9">
          <w:pPr>
            <w:pStyle w:val="Verzeichnis2"/>
            <w:rPr>
              <w:rFonts w:eastAsiaTheme="minorEastAsia"/>
              <w:noProof/>
              <w:kern w:val="2"/>
              <w:sz w:val="22"/>
              <w:szCs w:val="22"/>
              <w14:ligatures w14:val="standardContextual"/>
            </w:rPr>
          </w:pPr>
          <w:hyperlink w:anchor="_Toc239764909" w:history="1">
            <w:r w:rsidRPr="002407E9">
              <w:rPr>
                <w:rStyle w:val="Hyperlink"/>
                <w:iCs/>
                <w:noProof/>
                <w:sz w:val="22"/>
                <w:szCs w:val="22"/>
              </w:rPr>
              <w:t>2.5</w:t>
            </w:r>
            <w:r w:rsidRPr="002407E9">
              <w:rPr>
                <w:rFonts w:eastAsiaTheme="minorEastAsia"/>
                <w:noProof/>
                <w:kern w:val="2"/>
                <w:sz w:val="22"/>
                <w:szCs w:val="22"/>
                <w14:ligatures w14:val="standardContextual"/>
              </w:rPr>
              <w:tab/>
            </w:r>
            <w:r w:rsidRPr="002407E9">
              <w:rPr>
                <w:rStyle w:val="Hyperlink"/>
                <w:noProof/>
                <w:sz w:val="22"/>
                <w:szCs w:val="22"/>
              </w:rPr>
              <w:t>Symptome fehlender Ausübungsfähigkeit</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_Toc239764909 \h </w:instrText>
            </w:r>
            <w:r w:rsidRPr="002407E9">
              <w:rPr>
                <w:noProof/>
                <w:webHidden/>
                <w:sz w:val="22"/>
                <w:szCs w:val="22"/>
              </w:rPr>
            </w:r>
            <w:r w:rsidRPr="002407E9">
              <w:rPr>
                <w:noProof/>
                <w:webHidden/>
                <w:sz w:val="22"/>
                <w:szCs w:val="22"/>
              </w:rPr>
              <w:fldChar w:fldCharType="separate"/>
            </w:r>
            <w:r w:rsidR="00732C53">
              <w:rPr>
                <w:noProof/>
                <w:webHidden/>
                <w:sz w:val="22"/>
                <w:szCs w:val="22"/>
              </w:rPr>
              <w:t>8</w:t>
            </w:r>
            <w:r w:rsidRPr="002407E9">
              <w:rPr>
                <w:noProof/>
                <w:webHidden/>
                <w:sz w:val="22"/>
                <w:szCs w:val="22"/>
              </w:rPr>
              <w:fldChar w:fldCharType="end"/>
            </w:r>
          </w:hyperlink>
        </w:p>
        <w:p w14:paraId="6DA85501" w14:textId="7D07C308" w:rsidR="002407E9" w:rsidRPr="002407E9" w:rsidRDefault="002407E9">
          <w:pPr>
            <w:pStyle w:val="Verzeichnis1"/>
            <w:rPr>
              <w:rFonts w:eastAsiaTheme="minorEastAsia"/>
              <w:noProof/>
              <w:kern w:val="2"/>
              <w:sz w:val="22"/>
              <w:szCs w:val="22"/>
              <w14:ligatures w14:val="standardContextual"/>
            </w:rPr>
          </w:pPr>
          <w:hyperlink w:anchor="_Toc239764910" w:history="1">
            <w:r w:rsidRPr="002407E9">
              <w:rPr>
                <w:rStyle w:val="Hyperlink"/>
                <w:noProof/>
                <w:sz w:val="22"/>
                <w:szCs w:val="22"/>
                <w:lang w:val="de-DE"/>
              </w:rPr>
              <w:t>3</w:t>
            </w:r>
            <w:r w:rsidRPr="002407E9">
              <w:rPr>
                <w:rFonts w:eastAsiaTheme="minorEastAsia"/>
                <w:noProof/>
                <w:kern w:val="2"/>
                <w:sz w:val="22"/>
                <w:szCs w:val="22"/>
                <w14:ligatures w14:val="standardContextual"/>
              </w:rPr>
              <w:tab/>
            </w:r>
            <w:r w:rsidRPr="002407E9">
              <w:rPr>
                <w:rStyle w:val="Hyperlink"/>
                <w:noProof/>
                <w:sz w:val="22"/>
                <w:szCs w:val="22"/>
                <w:lang w:val="de-DE"/>
              </w:rPr>
              <w:t>Begriffsrahmen – delegierbare Arbeit, Mandat und nichtdelegierbare Verantwortung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_Toc239764910 \h </w:instrText>
            </w:r>
            <w:r w:rsidRPr="002407E9">
              <w:rPr>
                <w:noProof/>
                <w:webHidden/>
                <w:sz w:val="22"/>
                <w:szCs w:val="22"/>
              </w:rPr>
            </w:r>
            <w:r w:rsidRPr="002407E9">
              <w:rPr>
                <w:noProof/>
                <w:webHidden/>
                <w:sz w:val="22"/>
                <w:szCs w:val="22"/>
              </w:rPr>
              <w:fldChar w:fldCharType="separate"/>
            </w:r>
            <w:r w:rsidR="00732C53">
              <w:rPr>
                <w:noProof/>
                <w:webHidden/>
                <w:sz w:val="22"/>
                <w:szCs w:val="22"/>
              </w:rPr>
              <w:t>10</w:t>
            </w:r>
            <w:r w:rsidRPr="002407E9">
              <w:rPr>
                <w:noProof/>
                <w:webHidden/>
                <w:sz w:val="22"/>
                <w:szCs w:val="22"/>
              </w:rPr>
              <w:fldChar w:fldCharType="end"/>
            </w:r>
          </w:hyperlink>
        </w:p>
        <w:p w14:paraId="6DD1F940" w14:textId="6AF50748" w:rsidR="002407E9" w:rsidRPr="002407E9" w:rsidRDefault="002407E9">
          <w:pPr>
            <w:pStyle w:val="Verzeichnis2"/>
            <w:rPr>
              <w:rFonts w:eastAsiaTheme="minorEastAsia"/>
              <w:noProof/>
              <w:kern w:val="2"/>
              <w:sz w:val="22"/>
              <w:szCs w:val="22"/>
              <w14:ligatures w14:val="standardContextual"/>
            </w:rPr>
          </w:pPr>
          <w:hyperlink w:anchor="_Toc239764911" w:history="1">
            <w:r w:rsidRPr="002407E9">
              <w:rPr>
                <w:rStyle w:val="Hyperlink"/>
                <w:iCs/>
                <w:noProof/>
                <w:sz w:val="22"/>
                <w:szCs w:val="22"/>
              </w:rPr>
              <w:t>3.1</w:t>
            </w:r>
            <w:r w:rsidRPr="002407E9">
              <w:rPr>
                <w:rFonts w:eastAsiaTheme="minorEastAsia"/>
                <w:noProof/>
                <w:kern w:val="2"/>
                <w:sz w:val="22"/>
                <w:szCs w:val="22"/>
                <w14:ligatures w14:val="standardContextual"/>
              </w:rPr>
              <w:tab/>
            </w:r>
            <w:r w:rsidRPr="002407E9">
              <w:rPr>
                <w:rStyle w:val="Hyperlink"/>
                <w:noProof/>
                <w:sz w:val="22"/>
                <w:szCs w:val="22"/>
              </w:rPr>
              <w:t>Arbeitsdefinition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_Toc239764911 \h </w:instrText>
            </w:r>
            <w:r w:rsidRPr="002407E9">
              <w:rPr>
                <w:noProof/>
                <w:webHidden/>
                <w:sz w:val="22"/>
                <w:szCs w:val="22"/>
              </w:rPr>
            </w:r>
            <w:r w:rsidRPr="002407E9">
              <w:rPr>
                <w:noProof/>
                <w:webHidden/>
                <w:sz w:val="22"/>
                <w:szCs w:val="22"/>
              </w:rPr>
              <w:fldChar w:fldCharType="separate"/>
            </w:r>
            <w:r w:rsidR="00732C53">
              <w:rPr>
                <w:noProof/>
                <w:webHidden/>
                <w:sz w:val="22"/>
                <w:szCs w:val="22"/>
              </w:rPr>
              <w:t>10</w:t>
            </w:r>
            <w:r w:rsidRPr="002407E9">
              <w:rPr>
                <w:noProof/>
                <w:webHidden/>
                <w:sz w:val="22"/>
                <w:szCs w:val="22"/>
              </w:rPr>
              <w:fldChar w:fldCharType="end"/>
            </w:r>
          </w:hyperlink>
        </w:p>
        <w:p w14:paraId="2B54100D" w14:textId="139EE3BA" w:rsidR="002407E9" w:rsidRPr="002407E9" w:rsidRDefault="002407E9">
          <w:pPr>
            <w:pStyle w:val="Verzeichnis2"/>
            <w:rPr>
              <w:rFonts w:eastAsiaTheme="minorEastAsia"/>
              <w:noProof/>
              <w:kern w:val="2"/>
              <w:sz w:val="22"/>
              <w:szCs w:val="22"/>
              <w14:ligatures w14:val="standardContextual"/>
            </w:rPr>
          </w:pPr>
          <w:hyperlink w:anchor="_Toc239764912" w:history="1">
            <w:r w:rsidRPr="002407E9">
              <w:rPr>
                <w:rStyle w:val="Hyperlink"/>
                <w:iCs/>
                <w:noProof/>
                <w:sz w:val="22"/>
                <w:szCs w:val="22"/>
              </w:rPr>
              <w:t>3.2</w:t>
            </w:r>
            <w:r w:rsidRPr="002407E9">
              <w:rPr>
                <w:rFonts w:eastAsiaTheme="minorEastAsia"/>
                <w:noProof/>
                <w:kern w:val="2"/>
                <w:sz w:val="22"/>
                <w:szCs w:val="22"/>
                <w14:ligatures w14:val="standardContextual"/>
              </w:rPr>
              <w:tab/>
            </w:r>
            <w:r w:rsidRPr="002407E9">
              <w:rPr>
                <w:rStyle w:val="Hyperlink"/>
                <w:noProof/>
                <w:sz w:val="22"/>
                <w:szCs w:val="22"/>
              </w:rPr>
              <w:t>Delegierbar und nicht delegierbar</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_Toc239764912 \h </w:instrText>
            </w:r>
            <w:r w:rsidRPr="002407E9">
              <w:rPr>
                <w:noProof/>
                <w:webHidden/>
                <w:sz w:val="22"/>
                <w:szCs w:val="22"/>
              </w:rPr>
            </w:r>
            <w:r w:rsidRPr="002407E9">
              <w:rPr>
                <w:noProof/>
                <w:webHidden/>
                <w:sz w:val="22"/>
                <w:szCs w:val="22"/>
              </w:rPr>
              <w:fldChar w:fldCharType="separate"/>
            </w:r>
            <w:r w:rsidR="00732C53">
              <w:rPr>
                <w:noProof/>
                <w:webHidden/>
                <w:sz w:val="22"/>
                <w:szCs w:val="22"/>
              </w:rPr>
              <w:t>11</w:t>
            </w:r>
            <w:r w:rsidRPr="002407E9">
              <w:rPr>
                <w:noProof/>
                <w:webHidden/>
                <w:sz w:val="22"/>
                <w:szCs w:val="22"/>
              </w:rPr>
              <w:fldChar w:fldCharType="end"/>
            </w:r>
          </w:hyperlink>
        </w:p>
        <w:p w14:paraId="52F889AE" w14:textId="12D54A70" w:rsidR="002407E9" w:rsidRPr="002407E9" w:rsidRDefault="002407E9">
          <w:pPr>
            <w:pStyle w:val="Verzeichnis2"/>
            <w:rPr>
              <w:rFonts w:eastAsiaTheme="minorEastAsia"/>
              <w:noProof/>
              <w:kern w:val="2"/>
              <w:sz w:val="22"/>
              <w:szCs w:val="22"/>
              <w14:ligatures w14:val="standardContextual"/>
            </w:rPr>
          </w:pPr>
          <w:hyperlink w:anchor="_Toc239764913" w:history="1">
            <w:r w:rsidRPr="002407E9">
              <w:rPr>
                <w:rStyle w:val="Hyperlink"/>
                <w:iCs/>
                <w:noProof/>
                <w:sz w:val="22"/>
                <w:szCs w:val="22"/>
              </w:rPr>
              <w:t>3.3</w:t>
            </w:r>
            <w:r w:rsidRPr="002407E9">
              <w:rPr>
                <w:rFonts w:eastAsiaTheme="minorEastAsia"/>
                <w:noProof/>
                <w:kern w:val="2"/>
                <w:sz w:val="22"/>
                <w:szCs w:val="22"/>
                <w14:ligatures w14:val="standardContextual"/>
              </w:rPr>
              <w:tab/>
            </w:r>
            <w:r w:rsidRPr="002407E9">
              <w:rPr>
                <w:rStyle w:val="Hyperlink"/>
                <w:noProof/>
                <w:sz w:val="22"/>
                <w:szCs w:val="22"/>
              </w:rPr>
              <w:t>Die Verantwortungspyramide – Arbeitsebene, Mandatsebene und Letztverantwortung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_Toc239764913 \h </w:instrText>
            </w:r>
            <w:r w:rsidRPr="002407E9">
              <w:rPr>
                <w:noProof/>
                <w:webHidden/>
                <w:sz w:val="22"/>
                <w:szCs w:val="22"/>
              </w:rPr>
            </w:r>
            <w:r w:rsidRPr="002407E9">
              <w:rPr>
                <w:noProof/>
                <w:webHidden/>
                <w:sz w:val="22"/>
                <w:szCs w:val="22"/>
              </w:rPr>
              <w:fldChar w:fldCharType="separate"/>
            </w:r>
            <w:r w:rsidR="00732C53">
              <w:rPr>
                <w:noProof/>
                <w:webHidden/>
                <w:sz w:val="22"/>
                <w:szCs w:val="22"/>
              </w:rPr>
              <w:t>12</w:t>
            </w:r>
            <w:r w:rsidRPr="002407E9">
              <w:rPr>
                <w:noProof/>
                <w:webHidden/>
                <w:sz w:val="22"/>
                <w:szCs w:val="22"/>
              </w:rPr>
              <w:fldChar w:fldCharType="end"/>
            </w:r>
          </w:hyperlink>
        </w:p>
        <w:p w14:paraId="23C6B294" w14:textId="4C921FB2" w:rsidR="002407E9" w:rsidRPr="002407E9" w:rsidRDefault="002407E9">
          <w:pPr>
            <w:pStyle w:val="Verzeichnis1"/>
            <w:rPr>
              <w:rFonts w:eastAsiaTheme="minorEastAsia"/>
              <w:noProof/>
              <w:kern w:val="2"/>
              <w:sz w:val="22"/>
              <w:szCs w:val="22"/>
              <w14:ligatures w14:val="standardContextual"/>
            </w:rPr>
          </w:pPr>
          <w:hyperlink w:anchor="_Toc239764914" w:history="1">
            <w:r w:rsidRPr="002407E9">
              <w:rPr>
                <w:rStyle w:val="Hyperlink"/>
                <w:noProof/>
                <w:sz w:val="22"/>
                <w:szCs w:val="22"/>
                <w:lang w:val="de-DE"/>
              </w:rPr>
              <w:t>4</w:t>
            </w:r>
            <w:r w:rsidRPr="002407E9">
              <w:rPr>
                <w:rFonts w:eastAsiaTheme="minorEastAsia"/>
                <w:noProof/>
                <w:kern w:val="2"/>
                <w:sz w:val="22"/>
                <w:szCs w:val="22"/>
                <w14:ligatures w14:val="standardContextual"/>
              </w:rPr>
              <w:tab/>
            </w:r>
            <w:r w:rsidRPr="002407E9">
              <w:rPr>
                <w:rStyle w:val="Hyperlink"/>
                <w:noProof/>
                <w:sz w:val="22"/>
                <w:szCs w:val="22"/>
                <w:lang w:val="de-DE"/>
              </w:rPr>
              <w:t>Verantwortungsfelder des Bauherrn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_Toc239764914 \h </w:instrText>
            </w:r>
            <w:r w:rsidRPr="002407E9">
              <w:rPr>
                <w:noProof/>
                <w:webHidden/>
                <w:sz w:val="22"/>
                <w:szCs w:val="22"/>
              </w:rPr>
            </w:r>
            <w:r w:rsidRPr="002407E9">
              <w:rPr>
                <w:noProof/>
                <w:webHidden/>
                <w:sz w:val="22"/>
                <w:szCs w:val="22"/>
              </w:rPr>
              <w:fldChar w:fldCharType="separate"/>
            </w:r>
            <w:r w:rsidR="00732C53">
              <w:rPr>
                <w:noProof/>
                <w:webHidden/>
                <w:sz w:val="22"/>
                <w:szCs w:val="22"/>
              </w:rPr>
              <w:t>13</w:t>
            </w:r>
            <w:r w:rsidRPr="002407E9">
              <w:rPr>
                <w:noProof/>
                <w:webHidden/>
                <w:sz w:val="22"/>
                <w:szCs w:val="22"/>
              </w:rPr>
              <w:fldChar w:fldCharType="end"/>
            </w:r>
          </w:hyperlink>
        </w:p>
        <w:p w14:paraId="18BD8D7E" w14:textId="78BAB77D" w:rsidR="002407E9" w:rsidRPr="002407E9" w:rsidRDefault="002407E9">
          <w:pPr>
            <w:pStyle w:val="Verzeichnis2"/>
            <w:rPr>
              <w:rFonts w:eastAsiaTheme="minorEastAsia"/>
              <w:noProof/>
              <w:kern w:val="2"/>
              <w:sz w:val="22"/>
              <w:szCs w:val="22"/>
              <w14:ligatures w14:val="standardContextual"/>
            </w:rPr>
          </w:pPr>
          <w:hyperlink w:anchor="_Toc239764915" w:history="1">
            <w:r w:rsidRPr="002407E9">
              <w:rPr>
                <w:rStyle w:val="Hyperlink"/>
                <w:iCs/>
                <w:noProof/>
                <w:sz w:val="22"/>
                <w:szCs w:val="22"/>
              </w:rPr>
              <w:t>4.1</w:t>
            </w:r>
            <w:r w:rsidRPr="002407E9">
              <w:rPr>
                <w:rFonts w:eastAsiaTheme="minorEastAsia"/>
                <w:noProof/>
                <w:kern w:val="2"/>
                <w:sz w:val="22"/>
                <w:szCs w:val="22"/>
                <w14:ligatures w14:val="standardContextual"/>
              </w:rPr>
              <w:tab/>
            </w:r>
            <w:r w:rsidRPr="002407E9">
              <w:rPr>
                <w:rStyle w:val="Hyperlink"/>
                <w:noProof/>
                <w:sz w:val="22"/>
                <w:szCs w:val="22"/>
              </w:rPr>
              <w:t>Ziel</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_Toc239764915 \h </w:instrText>
            </w:r>
            <w:r w:rsidRPr="002407E9">
              <w:rPr>
                <w:noProof/>
                <w:webHidden/>
                <w:sz w:val="22"/>
                <w:szCs w:val="22"/>
              </w:rPr>
            </w:r>
            <w:r w:rsidRPr="002407E9">
              <w:rPr>
                <w:noProof/>
                <w:webHidden/>
                <w:sz w:val="22"/>
                <w:szCs w:val="22"/>
              </w:rPr>
              <w:fldChar w:fldCharType="separate"/>
            </w:r>
            <w:r w:rsidR="00732C53">
              <w:rPr>
                <w:noProof/>
                <w:webHidden/>
                <w:sz w:val="22"/>
                <w:szCs w:val="22"/>
              </w:rPr>
              <w:t>15</w:t>
            </w:r>
            <w:r w:rsidRPr="002407E9">
              <w:rPr>
                <w:noProof/>
                <w:webHidden/>
                <w:sz w:val="22"/>
                <w:szCs w:val="22"/>
              </w:rPr>
              <w:fldChar w:fldCharType="end"/>
            </w:r>
          </w:hyperlink>
        </w:p>
        <w:p w14:paraId="3AE9D751" w14:textId="5453828C" w:rsidR="002407E9" w:rsidRPr="002407E9" w:rsidRDefault="002407E9">
          <w:pPr>
            <w:pStyle w:val="Verzeichnis2"/>
            <w:rPr>
              <w:rFonts w:eastAsiaTheme="minorEastAsia"/>
              <w:noProof/>
              <w:kern w:val="2"/>
              <w:sz w:val="22"/>
              <w:szCs w:val="22"/>
              <w14:ligatures w14:val="standardContextual"/>
            </w:rPr>
          </w:pPr>
          <w:hyperlink w:anchor="_Toc239764916" w:history="1">
            <w:r w:rsidRPr="002407E9">
              <w:rPr>
                <w:rStyle w:val="Hyperlink"/>
                <w:iCs/>
                <w:noProof/>
                <w:sz w:val="22"/>
                <w:szCs w:val="22"/>
              </w:rPr>
              <w:t>4.2</w:t>
            </w:r>
            <w:r w:rsidRPr="002407E9">
              <w:rPr>
                <w:rFonts w:eastAsiaTheme="minorEastAsia"/>
                <w:noProof/>
                <w:kern w:val="2"/>
                <w:sz w:val="22"/>
                <w:szCs w:val="22"/>
                <w14:ligatures w14:val="standardContextual"/>
              </w:rPr>
              <w:tab/>
            </w:r>
            <w:r w:rsidRPr="002407E9">
              <w:rPr>
                <w:rStyle w:val="Hyperlink"/>
                <w:noProof/>
                <w:sz w:val="22"/>
                <w:szCs w:val="22"/>
              </w:rPr>
              <w:t>Mandat</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_Toc239764916 \h </w:instrText>
            </w:r>
            <w:r w:rsidRPr="002407E9">
              <w:rPr>
                <w:noProof/>
                <w:webHidden/>
                <w:sz w:val="22"/>
                <w:szCs w:val="22"/>
              </w:rPr>
            </w:r>
            <w:r w:rsidRPr="002407E9">
              <w:rPr>
                <w:noProof/>
                <w:webHidden/>
                <w:sz w:val="22"/>
                <w:szCs w:val="22"/>
              </w:rPr>
              <w:fldChar w:fldCharType="separate"/>
            </w:r>
            <w:r w:rsidR="00732C53">
              <w:rPr>
                <w:noProof/>
                <w:webHidden/>
                <w:sz w:val="22"/>
                <w:szCs w:val="22"/>
              </w:rPr>
              <w:t>15</w:t>
            </w:r>
            <w:r w:rsidRPr="002407E9">
              <w:rPr>
                <w:noProof/>
                <w:webHidden/>
                <w:sz w:val="22"/>
                <w:szCs w:val="22"/>
              </w:rPr>
              <w:fldChar w:fldCharType="end"/>
            </w:r>
          </w:hyperlink>
        </w:p>
        <w:p w14:paraId="37F60F46" w14:textId="58C7BFED" w:rsidR="002407E9" w:rsidRPr="002407E9" w:rsidRDefault="002407E9">
          <w:pPr>
            <w:pStyle w:val="Verzeichnis2"/>
            <w:rPr>
              <w:rFonts w:eastAsiaTheme="minorEastAsia"/>
              <w:noProof/>
              <w:kern w:val="2"/>
              <w:sz w:val="22"/>
              <w:szCs w:val="22"/>
              <w14:ligatures w14:val="standardContextual"/>
            </w:rPr>
          </w:pPr>
          <w:hyperlink w:anchor="_Toc239764917" w:history="1">
            <w:r w:rsidRPr="002407E9">
              <w:rPr>
                <w:rStyle w:val="Hyperlink"/>
                <w:iCs/>
                <w:noProof/>
                <w:sz w:val="22"/>
                <w:szCs w:val="22"/>
              </w:rPr>
              <w:t>4.3</w:t>
            </w:r>
            <w:r w:rsidRPr="002407E9">
              <w:rPr>
                <w:rFonts w:eastAsiaTheme="minorEastAsia"/>
                <w:noProof/>
                <w:kern w:val="2"/>
                <w:sz w:val="22"/>
                <w:szCs w:val="22"/>
                <w14:ligatures w14:val="standardContextual"/>
              </w:rPr>
              <w:tab/>
            </w:r>
            <w:r w:rsidRPr="002407E9">
              <w:rPr>
                <w:rStyle w:val="Hyperlink"/>
                <w:noProof/>
                <w:sz w:val="22"/>
                <w:szCs w:val="22"/>
              </w:rPr>
              <w:t>Wesentliche Entscheidung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_Toc239764917 \h </w:instrText>
            </w:r>
            <w:r w:rsidRPr="002407E9">
              <w:rPr>
                <w:noProof/>
                <w:webHidden/>
                <w:sz w:val="22"/>
                <w:szCs w:val="22"/>
              </w:rPr>
            </w:r>
            <w:r w:rsidRPr="002407E9">
              <w:rPr>
                <w:noProof/>
                <w:webHidden/>
                <w:sz w:val="22"/>
                <w:szCs w:val="22"/>
              </w:rPr>
              <w:fldChar w:fldCharType="separate"/>
            </w:r>
            <w:r w:rsidR="00732C53">
              <w:rPr>
                <w:noProof/>
                <w:webHidden/>
                <w:sz w:val="22"/>
                <w:szCs w:val="22"/>
              </w:rPr>
              <w:t>15</w:t>
            </w:r>
            <w:r w:rsidRPr="002407E9">
              <w:rPr>
                <w:noProof/>
                <w:webHidden/>
                <w:sz w:val="22"/>
                <w:szCs w:val="22"/>
              </w:rPr>
              <w:fldChar w:fldCharType="end"/>
            </w:r>
          </w:hyperlink>
        </w:p>
        <w:p w14:paraId="75B4C9E4" w14:textId="5BBB3711" w:rsidR="002407E9" w:rsidRPr="002407E9" w:rsidRDefault="002407E9">
          <w:pPr>
            <w:pStyle w:val="Verzeichnis2"/>
            <w:rPr>
              <w:rFonts w:eastAsiaTheme="minorEastAsia"/>
              <w:noProof/>
              <w:kern w:val="2"/>
              <w:sz w:val="22"/>
              <w:szCs w:val="22"/>
              <w14:ligatures w14:val="standardContextual"/>
            </w:rPr>
          </w:pPr>
          <w:hyperlink w:anchor="_Toc239764918" w:history="1">
            <w:r w:rsidRPr="002407E9">
              <w:rPr>
                <w:rStyle w:val="Hyperlink"/>
                <w:iCs/>
                <w:noProof/>
                <w:sz w:val="22"/>
                <w:szCs w:val="22"/>
              </w:rPr>
              <w:t>4.4</w:t>
            </w:r>
            <w:r w:rsidRPr="002407E9">
              <w:rPr>
                <w:rFonts w:eastAsiaTheme="minorEastAsia"/>
                <w:noProof/>
                <w:kern w:val="2"/>
                <w:sz w:val="22"/>
                <w:szCs w:val="22"/>
                <w14:ligatures w14:val="standardContextual"/>
              </w:rPr>
              <w:tab/>
            </w:r>
            <w:r w:rsidRPr="002407E9">
              <w:rPr>
                <w:rStyle w:val="Hyperlink"/>
                <w:noProof/>
                <w:sz w:val="22"/>
                <w:szCs w:val="22"/>
              </w:rPr>
              <w:t>Risikoannahme</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_Toc239764918 \h </w:instrText>
            </w:r>
            <w:r w:rsidRPr="002407E9">
              <w:rPr>
                <w:noProof/>
                <w:webHidden/>
                <w:sz w:val="22"/>
                <w:szCs w:val="22"/>
              </w:rPr>
            </w:r>
            <w:r w:rsidRPr="002407E9">
              <w:rPr>
                <w:noProof/>
                <w:webHidden/>
                <w:sz w:val="22"/>
                <w:szCs w:val="22"/>
              </w:rPr>
              <w:fldChar w:fldCharType="separate"/>
            </w:r>
            <w:r w:rsidR="00732C53">
              <w:rPr>
                <w:noProof/>
                <w:webHidden/>
                <w:sz w:val="22"/>
                <w:szCs w:val="22"/>
              </w:rPr>
              <w:t>15</w:t>
            </w:r>
            <w:r w:rsidRPr="002407E9">
              <w:rPr>
                <w:noProof/>
                <w:webHidden/>
                <w:sz w:val="22"/>
                <w:szCs w:val="22"/>
              </w:rPr>
              <w:fldChar w:fldCharType="end"/>
            </w:r>
          </w:hyperlink>
        </w:p>
        <w:p w14:paraId="33B22B63" w14:textId="0303355C" w:rsidR="002407E9" w:rsidRPr="002407E9" w:rsidRDefault="002407E9">
          <w:pPr>
            <w:pStyle w:val="Verzeichnis2"/>
            <w:rPr>
              <w:rFonts w:eastAsiaTheme="minorEastAsia"/>
              <w:noProof/>
              <w:kern w:val="2"/>
              <w:sz w:val="22"/>
              <w:szCs w:val="22"/>
              <w14:ligatures w14:val="standardContextual"/>
            </w:rPr>
          </w:pPr>
          <w:hyperlink w:anchor="_Toc239764919" w:history="1">
            <w:r w:rsidRPr="002407E9">
              <w:rPr>
                <w:rStyle w:val="Hyperlink"/>
                <w:iCs/>
                <w:noProof/>
                <w:sz w:val="22"/>
                <w:szCs w:val="22"/>
              </w:rPr>
              <w:t>4.5</w:t>
            </w:r>
            <w:r w:rsidRPr="002407E9">
              <w:rPr>
                <w:rFonts w:eastAsiaTheme="minorEastAsia"/>
                <w:noProof/>
                <w:kern w:val="2"/>
                <w:sz w:val="22"/>
                <w:szCs w:val="22"/>
                <w14:ligatures w14:val="standardContextual"/>
              </w:rPr>
              <w:tab/>
            </w:r>
            <w:r w:rsidRPr="002407E9">
              <w:rPr>
                <w:rStyle w:val="Hyperlink"/>
                <w:noProof/>
                <w:sz w:val="22"/>
                <w:szCs w:val="22"/>
              </w:rPr>
              <w:t>Freigabe</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_Toc239764919 \h </w:instrText>
            </w:r>
            <w:r w:rsidRPr="002407E9">
              <w:rPr>
                <w:noProof/>
                <w:webHidden/>
                <w:sz w:val="22"/>
                <w:szCs w:val="22"/>
              </w:rPr>
            </w:r>
            <w:r w:rsidRPr="002407E9">
              <w:rPr>
                <w:noProof/>
                <w:webHidden/>
                <w:sz w:val="22"/>
                <w:szCs w:val="22"/>
              </w:rPr>
              <w:fldChar w:fldCharType="separate"/>
            </w:r>
            <w:r w:rsidR="00732C53">
              <w:rPr>
                <w:noProof/>
                <w:webHidden/>
                <w:sz w:val="22"/>
                <w:szCs w:val="22"/>
              </w:rPr>
              <w:t>16</w:t>
            </w:r>
            <w:r w:rsidRPr="002407E9">
              <w:rPr>
                <w:noProof/>
                <w:webHidden/>
                <w:sz w:val="22"/>
                <w:szCs w:val="22"/>
              </w:rPr>
              <w:fldChar w:fldCharType="end"/>
            </w:r>
          </w:hyperlink>
        </w:p>
        <w:p w14:paraId="55373CAC" w14:textId="292C6E9C" w:rsidR="002407E9" w:rsidRPr="002407E9" w:rsidRDefault="002407E9">
          <w:pPr>
            <w:pStyle w:val="Verzeichnis2"/>
            <w:rPr>
              <w:rFonts w:eastAsiaTheme="minorEastAsia"/>
              <w:noProof/>
              <w:kern w:val="2"/>
              <w:sz w:val="22"/>
              <w:szCs w:val="22"/>
              <w14:ligatures w14:val="standardContextual"/>
            </w:rPr>
          </w:pPr>
          <w:hyperlink w:anchor="_Toc239764920" w:history="1">
            <w:r w:rsidRPr="002407E9">
              <w:rPr>
                <w:rStyle w:val="Hyperlink"/>
                <w:iCs/>
                <w:noProof/>
                <w:sz w:val="22"/>
                <w:szCs w:val="22"/>
              </w:rPr>
              <w:t>4.6</w:t>
            </w:r>
            <w:r w:rsidRPr="002407E9">
              <w:rPr>
                <w:rFonts w:eastAsiaTheme="minorEastAsia"/>
                <w:noProof/>
                <w:kern w:val="2"/>
                <w:sz w:val="22"/>
                <w:szCs w:val="22"/>
                <w14:ligatures w14:val="standardContextual"/>
              </w:rPr>
              <w:tab/>
            </w:r>
            <w:r w:rsidRPr="002407E9">
              <w:rPr>
                <w:rStyle w:val="Hyperlink"/>
                <w:noProof/>
                <w:sz w:val="22"/>
                <w:szCs w:val="22"/>
              </w:rPr>
              <w:t>Datenstand und Nachweis</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_Toc239764920 \h </w:instrText>
            </w:r>
            <w:r w:rsidRPr="002407E9">
              <w:rPr>
                <w:noProof/>
                <w:webHidden/>
                <w:sz w:val="22"/>
                <w:szCs w:val="22"/>
              </w:rPr>
            </w:r>
            <w:r w:rsidRPr="002407E9">
              <w:rPr>
                <w:noProof/>
                <w:webHidden/>
                <w:sz w:val="22"/>
                <w:szCs w:val="22"/>
              </w:rPr>
              <w:fldChar w:fldCharType="separate"/>
            </w:r>
            <w:r w:rsidR="00732C53">
              <w:rPr>
                <w:noProof/>
                <w:webHidden/>
                <w:sz w:val="22"/>
                <w:szCs w:val="22"/>
              </w:rPr>
              <w:t>16</w:t>
            </w:r>
            <w:r w:rsidRPr="002407E9">
              <w:rPr>
                <w:noProof/>
                <w:webHidden/>
                <w:sz w:val="22"/>
                <w:szCs w:val="22"/>
              </w:rPr>
              <w:fldChar w:fldCharType="end"/>
            </w:r>
          </w:hyperlink>
        </w:p>
        <w:p w14:paraId="431F65CE" w14:textId="0893DF12" w:rsidR="002407E9" w:rsidRPr="002407E9" w:rsidRDefault="002407E9">
          <w:pPr>
            <w:pStyle w:val="Verzeichnis1"/>
            <w:rPr>
              <w:rFonts w:eastAsiaTheme="minorEastAsia"/>
              <w:noProof/>
              <w:kern w:val="2"/>
              <w:sz w:val="22"/>
              <w:szCs w:val="22"/>
              <w14:ligatures w14:val="standardContextual"/>
            </w:rPr>
          </w:pPr>
          <w:hyperlink w:anchor="_Toc239764921" w:history="1">
            <w:r w:rsidRPr="002407E9">
              <w:rPr>
                <w:rStyle w:val="Hyperlink"/>
                <w:noProof/>
                <w:sz w:val="22"/>
                <w:szCs w:val="22"/>
                <w:lang w:val="de-DE"/>
              </w:rPr>
              <w:t>5</w:t>
            </w:r>
            <w:r w:rsidRPr="002407E9">
              <w:rPr>
                <w:rFonts w:eastAsiaTheme="minorEastAsia"/>
                <w:noProof/>
                <w:kern w:val="2"/>
                <w:sz w:val="22"/>
                <w:szCs w:val="22"/>
                <w14:ligatures w14:val="standardContextual"/>
              </w:rPr>
              <w:tab/>
            </w:r>
            <w:r w:rsidRPr="002407E9">
              <w:rPr>
                <w:rStyle w:val="Hyperlink"/>
                <w:noProof/>
                <w:sz w:val="22"/>
                <w:szCs w:val="22"/>
                <w:lang w:val="de-DE"/>
              </w:rPr>
              <w:t>Minimum Viable Governance als Bauherren-Führungsmodell</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_Toc239764921 \h </w:instrText>
            </w:r>
            <w:r w:rsidRPr="002407E9">
              <w:rPr>
                <w:noProof/>
                <w:webHidden/>
                <w:sz w:val="22"/>
                <w:szCs w:val="22"/>
              </w:rPr>
            </w:r>
            <w:r w:rsidRPr="002407E9">
              <w:rPr>
                <w:noProof/>
                <w:webHidden/>
                <w:sz w:val="22"/>
                <w:szCs w:val="22"/>
              </w:rPr>
              <w:fldChar w:fldCharType="separate"/>
            </w:r>
            <w:r w:rsidR="00732C53">
              <w:rPr>
                <w:noProof/>
                <w:webHidden/>
                <w:sz w:val="22"/>
                <w:szCs w:val="22"/>
              </w:rPr>
              <w:t>17</w:t>
            </w:r>
            <w:r w:rsidRPr="002407E9">
              <w:rPr>
                <w:noProof/>
                <w:webHidden/>
                <w:sz w:val="22"/>
                <w:szCs w:val="22"/>
              </w:rPr>
              <w:fldChar w:fldCharType="end"/>
            </w:r>
          </w:hyperlink>
        </w:p>
        <w:p w14:paraId="26916914" w14:textId="02022A91" w:rsidR="002407E9" w:rsidRPr="002407E9" w:rsidRDefault="002407E9">
          <w:pPr>
            <w:pStyle w:val="Verzeichnis2"/>
            <w:rPr>
              <w:rFonts w:eastAsiaTheme="minorEastAsia"/>
              <w:noProof/>
              <w:kern w:val="2"/>
              <w:sz w:val="22"/>
              <w:szCs w:val="22"/>
              <w14:ligatures w14:val="standardContextual"/>
            </w:rPr>
          </w:pPr>
          <w:hyperlink w:anchor="_Toc239764922" w:history="1">
            <w:r w:rsidRPr="002407E9">
              <w:rPr>
                <w:rStyle w:val="Hyperlink"/>
                <w:iCs/>
                <w:noProof/>
                <w:sz w:val="22"/>
                <w:szCs w:val="22"/>
              </w:rPr>
              <w:t>5.1</w:t>
            </w:r>
            <w:r w:rsidRPr="002407E9">
              <w:rPr>
                <w:rFonts w:eastAsiaTheme="minorEastAsia"/>
                <w:noProof/>
                <w:kern w:val="2"/>
                <w:sz w:val="22"/>
                <w:szCs w:val="22"/>
                <w14:ligatures w14:val="standardContextual"/>
              </w:rPr>
              <w:tab/>
            </w:r>
            <w:r w:rsidRPr="002407E9">
              <w:rPr>
                <w:rStyle w:val="Hyperlink"/>
                <w:noProof/>
                <w:sz w:val="22"/>
                <w:szCs w:val="22"/>
              </w:rPr>
              <w:t>Zweck von MVG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_Toc239764922 \h </w:instrText>
            </w:r>
            <w:r w:rsidRPr="002407E9">
              <w:rPr>
                <w:noProof/>
                <w:webHidden/>
                <w:sz w:val="22"/>
                <w:szCs w:val="22"/>
              </w:rPr>
            </w:r>
            <w:r w:rsidRPr="002407E9">
              <w:rPr>
                <w:noProof/>
                <w:webHidden/>
                <w:sz w:val="22"/>
                <w:szCs w:val="22"/>
              </w:rPr>
              <w:fldChar w:fldCharType="separate"/>
            </w:r>
            <w:r w:rsidR="00732C53">
              <w:rPr>
                <w:noProof/>
                <w:webHidden/>
                <w:sz w:val="22"/>
                <w:szCs w:val="22"/>
              </w:rPr>
              <w:t>18</w:t>
            </w:r>
            <w:r w:rsidRPr="002407E9">
              <w:rPr>
                <w:noProof/>
                <w:webHidden/>
                <w:sz w:val="22"/>
                <w:szCs w:val="22"/>
              </w:rPr>
              <w:fldChar w:fldCharType="end"/>
            </w:r>
          </w:hyperlink>
        </w:p>
        <w:p w14:paraId="3378E48E" w14:textId="17BCE167" w:rsidR="002407E9" w:rsidRPr="002407E9" w:rsidRDefault="002407E9">
          <w:pPr>
            <w:pStyle w:val="Verzeichnis2"/>
            <w:rPr>
              <w:rFonts w:eastAsiaTheme="minorEastAsia"/>
              <w:noProof/>
              <w:kern w:val="2"/>
              <w:sz w:val="22"/>
              <w:szCs w:val="22"/>
              <w14:ligatures w14:val="standardContextual"/>
            </w:rPr>
          </w:pPr>
          <w:hyperlink w:anchor="_Toc239764923" w:history="1">
            <w:r w:rsidRPr="002407E9">
              <w:rPr>
                <w:rStyle w:val="Hyperlink"/>
                <w:iCs/>
                <w:noProof/>
                <w:sz w:val="22"/>
                <w:szCs w:val="22"/>
              </w:rPr>
              <w:t>5.2</w:t>
            </w:r>
            <w:r w:rsidRPr="002407E9">
              <w:rPr>
                <w:rFonts w:eastAsiaTheme="minorEastAsia"/>
                <w:noProof/>
                <w:kern w:val="2"/>
                <w:sz w:val="22"/>
                <w:szCs w:val="22"/>
                <w14:ligatures w14:val="standardContextual"/>
              </w:rPr>
              <w:tab/>
            </w:r>
            <w:r w:rsidRPr="002407E9">
              <w:rPr>
                <w:rStyle w:val="Hyperlink"/>
                <w:noProof/>
                <w:sz w:val="22"/>
                <w:szCs w:val="22"/>
              </w:rPr>
              <w:t>Bausteine des Bauherren-Führungsmodells</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_Toc239764923 \h </w:instrText>
            </w:r>
            <w:r w:rsidRPr="002407E9">
              <w:rPr>
                <w:noProof/>
                <w:webHidden/>
                <w:sz w:val="22"/>
                <w:szCs w:val="22"/>
              </w:rPr>
            </w:r>
            <w:r w:rsidRPr="002407E9">
              <w:rPr>
                <w:noProof/>
                <w:webHidden/>
                <w:sz w:val="22"/>
                <w:szCs w:val="22"/>
              </w:rPr>
              <w:fldChar w:fldCharType="separate"/>
            </w:r>
            <w:r w:rsidR="00732C53">
              <w:rPr>
                <w:noProof/>
                <w:webHidden/>
                <w:sz w:val="22"/>
                <w:szCs w:val="22"/>
              </w:rPr>
              <w:t>18</w:t>
            </w:r>
            <w:r w:rsidRPr="002407E9">
              <w:rPr>
                <w:noProof/>
                <w:webHidden/>
                <w:sz w:val="22"/>
                <w:szCs w:val="22"/>
              </w:rPr>
              <w:fldChar w:fldCharType="end"/>
            </w:r>
          </w:hyperlink>
        </w:p>
        <w:p w14:paraId="3FE4EF95" w14:textId="1780D2FC" w:rsidR="002407E9" w:rsidRPr="002407E9" w:rsidRDefault="002407E9">
          <w:pPr>
            <w:pStyle w:val="Verzeichnis2"/>
            <w:rPr>
              <w:rFonts w:eastAsiaTheme="minorEastAsia"/>
              <w:noProof/>
              <w:kern w:val="2"/>
              <w:sz w:val="22"/>
              <w:szCs w:val="22"/>
              <w14:ligatures w14:val="standardContextual"/>
            </w:rPr>
          </w:pPr>
          <w:hyperlink w:anchor="_Toc239764924" w:history="1">
            <w:r w:rsidRPr="002407E9">
              <w:rPr>
                <w:rStyle w:val="Hyperlink"/>
                <w:iCs/>
                <w:noProof/>
                <w:sz w:val="22"/>
                <w:szCs w:val="22"/>
              </w:rPr>
              <w:t>5.3</w:t>
            </w:r>
            <w:r w:rsidRPr="002407E9">
              <w:rPr>
                <w:rFonts w:eastAsiaTheme="minorEastAsia"/>
                <w:noProof/>
                <w:kern w:val="2"/>
                <w:sz w:val="22"/>
                <w:szCs w:val="22"/>
                <w14:ligatures w14:val="standardContextual"/>
              </w:rPr>
              <w:tab/>
            </w:r>
            <w:r w:rsidRPr="002407E9">
              <w:rPr>
                <w:rStyle w:val="Hyperlink"/>
                <w:noProof/>
                <w:sz w:val="22"/>
                <w:szCs w:val="22"/>
              </w:rPr>
              <w:t>Wirklogik: Verantwortung wird entscheidungsfähig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_Toc239764924 \h </w:instrText>
            </w:r>
            <w:r w:rsidRPr="002407E9">
              <w:rPr>
                <w:noProof/>
                <w:webHidden/>
                <w:sz w:val="22"/>
                <w:szCs w:val="22"/>
              </w:rPr>
            </w:r>
            <w:r w:rsidRPr="002407E9">
              <w:rPr>
                <w:noProof/>
                <w:webHidden/>
                <w:sz w:val="22"/>
                <w:szCs w:val="22"/>
              </w:rPr>
              <w:fldChar w:fldCharType="separate"/>
            </w:r>
            <w:r w:rsidR="00732C53">
              <w:rPr>
                <w:noProof/>
                <w:webHidden/>
                <w:sz w:val="22"/>
                <w:szCs w:val="22"/>
              </w:rPr>
              <w:t>19</w:t>
            </w:r>
            <w:r w:rsidRPr="002407E9">
              <w:rPr>
                <w:noProof/>
                <w:webHidden/>
                <w:sz w:val="22"/>
                <w:szCs w:val="22"/>
              </w:rPr>
              <w:fldChar w:fldCharType="end"/>
            </w:r>
          </w:hyperlink>
        </w:p>
        <w:p w14:paraId="4CC7F25B" w14:textId="38FC40AD" w:rsidR="002407E9" w:rsidRPr="002407E9" w:rsidRDefault="002407E9">
          <w:pPr>
            <w:pStyle w:val="Verzeichnis2"/>
            <w:rPr>
              <w:rFonts w:eastAsiaTheme="minorEastAsia"/>
              <w:noProof/>
              <w:kern w:val="2"/>
              <w:sz w:val="22"/>
              <w:szCs w:val="22"/>
              <w14:ligatures w14:val="standardContextual"/>
            </w:rPr>
          </w:pPr>
          <w:hyperlink w:anchor="_Toc239764925" w:history="1">
            <w:r w:rsidRPr="002407E9">
              <w:rPr>
                <w:rStyle w:val="Hyperlink"/>
                <w:iCs/>
                <w:noProof/>
                <w:sz w:val="22"/>
                <w:szCs w:val="22"/>
              </w:rPr>
              <w:t>5.4</w:t>
            </w:r>
            <w:r w:rsidRPr="002407E9">
              <w:rPr>
                <w:rFonts w:eastAsiaTheme="minorEastAsia"/>
                <w:noProof/>
                <w:kern w:val="2"/>
                <w:sz w:val="22"/>
                <w:szCs w:val="22"/>
                <w14:ligatures w14:val="standardContextual"/>
              </w:rPr>
              <w:tab/>
            </w:r>
            <w:r w:rsidRPr="002407E9">
              <w:rPr>
                <w:rStyle w:val="Hyperlink"/>
                <w:noProof/>
                <w:sz w:val="22"/>
                <w:szCs w:val="22"/>
              </w:rPr>
              <w:t>LPH 0 als früher Wirkungsraum</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_Toc239764925 \h </w:instrText>
            </w:r>
            <w:r w:rsidRPr="002407E9">
              <w:rPr>
                <w:noProof/>
                <w:webHidden/>
                <w:sz w:val="22"/>
                <w:szCs w:val="22"/>
              </w:rPr>
            </w:r>
            <w:r w:rsidRPr="002407E9">
              <w:rPr>
                <w:noProof/>
                <w:webHidden/>
                <w:sz w:val="22"/>
                <w:szCs w:val="22"/>
              </w:rPr>
              <w:fldChar w:fldCharType="separate"/>
            </w:r>
            <w:r w:rsidR="00732C53">
              <w:rPr>
                <w:noProof/>
                <w:webHidden/>
                <w:sz w:val="22"/>
                <w:szCs w:val="22"/>
              </w:rPr>
              <w:t>20</w:t>
            </w:r>
            <w:r w:rsidRPr="002407E9">
              <w:rPr>
                <w:noProof/>
                <w:webHidden/>
                <w:sz w:val="22"/>
                <w:szCs w:val="22"/>
              </w:rPr>
              <w:fldChar w:fldCharType="end"/>
            </w:r>
          </w:hyperlink>
        </w:p>
        <w:p w14:paraId="2DA974FC" w14:textId="74429059" w:rsidR="002407E9" w:rsidRPr="002407E9" w:rsidRDefault="002407E9">
          <w:pPr>
            <w:pStyle w:val="Verzeichnis2"/>
            <w:rPr>
              <w:rFonts w:eastAsiaTheme="minorEastAsia"/>
              <w:noProof/>
              <w:kern w:val="2"/>
              <w:sz w:val="22"/>
              <w:szCs w:val="22"/>
              <w14:ligatures w14:val="standardContextual"/>
            </w:rPr>
          </w:pPr>
          <w:hyperlink w:anchor="_Toc239764926" w:history="1">
            <w:r w:rsidRPr="002407E9">
              <w:rPr>
                <w:rStyle w:val="Hyperlink"/>
                <w:iCs/>
                <w:noProof/>
                <w:sz w:val="22"/>
                <w:szCs w:val="22"/>
              </w:rPr>
              <w:t>5.5</w:t>
            </w:r>
            <w:r w:rsidRPr="002407E9">
              <w:rPr>
                <w:rFonts w:eastAsiaTheme="minorEastAsia"/>
                <w:noProof/>
                <w:kern w:val="2"/>
                <w:sz w:val="22"/>
                <w:szCs w:val="22"/>
                <w14:ligatures w14:val="standardContextual"/>
              </w:rPr>
              <w:tab/>
            </w:r>
            <w:r w:rsidRPr="002407E9">
              <w:rPr>
                <w:rStyle w:val="Hyperlink"/>
                <w:noProof/>
                <w:sz w:val="22"/>
                <w:szCs w:val="22"/>
              </w:rPr>
              <w:t>Abgrenzung und rechtlicher Hinweis</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_Toc239764926 \h </w:instrText>
            </w:r>
            <w:r w:rsidRPr="002407E9">
              <w:rPr>
                <w:noProof/>
                <w:webHidden/>
                <w:sz w:val="22"/>
                <w:szCs w:val="22"/>
              </w:rPr>
            </w:r>
            <w:r w:rsidRPr="002407E9">
              <w:rPr>
                <w:noProof/>
                <w:webHidden/>
                <w:sz w:val="22"/>
                <w:szCs w:val="22"/>
              </w:rPr>
              <w:fldChar w:fldCharType="separate"/>
            </w:r>
            <w:r w:rsidR="00732C53">
              <w:rPr>
                <w:noProof/>
                <w:webHidden/>
                <w:sz w:val="22"/>
                <w:szCs w:val="22"/>
              </w:rPr>
              <w:t>20</w:t>
            </w:r>
            <w:r w:rsidRPr="002407E9">
              <w:rPr>
                <w:noProof/>
                <w:webHidden/>
                <w:sz w:val="22"/>
                <w:szCs w:val="22"/>
              </w:rPr>
              <w:fldChar w:fldCharType="end"/>
            </w:r>
          </w:hyperlink>
        </w:p>
        <w:p w14:paraId="58F9BEE9" w14:textId="3515D50A" w:rsidR="002407E9" w:rsidRPr="002407E9" w:rsidRDefault="002407E9">
          <w:pPr>
            <w:pStyle w:val="Verzeichnis1"/>
            <w:rPr>
              <w:rFonts w:eastAsiaTheme="minorEastAsia"/>
              <w:noProof/>
              <w:kern w:val="2"/>
              <w:sz w:val="22"/>
              <w:szCs w:val="22"/>
              <w14:ligatures w14:val="standardContextual"/>
            </w:rPr>
          </w:pPr>
          <w:hyperlink w:anchor="_Toc239764927" w:history="1">
            <w:r w:rsidRPr="002407E9">
              <w:rPr>
                <w:rStyle w:val="Hyperlink"/>
                <w:noProof/>
                <w:sz w:val="22"/>
                <w:szCs w:val="22"/>
                <w:lang w:val="de-DE"/>
              </w:rPr>
              <w:t>6</w:t>
            </w:r>
            <w:r w:rsidRPr="002407E9">
              <w:rPr>
                <w:rFonts w:eastAsiaTheme="minorEastAsia"/>
                <w:noProof/>
                <w:kern w:val="2"/>
                <w:sz w:val="22"/>
                <w:szCs w:val="22"/>
                <w14:ligatures w14:val="standardContextual"/>
              </w:rPr>
              <w:tab/>
            </w:r>
            <w:r w:rsidRPr="002407E9">
              <w:rPr>
                <w:rStyle w:val="Hyperlink"/>
                <w:noProof/>
                <w:sz w:val="22"/>
                <w:szCs w:val="22"/>
                <w:lang w:val="de-DE"/>
              </w:rPr>
              <w:t>MVG Companion als Umsetzungsbeschleuniger</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_Toc239764927 \h </w:instrText>
            </w:r>
            <w:r w:rsidRPr="002407E9">
              <w:rPr>
                <w:noProof/>
                <w:webHidden/>
                <w:sz w:val="22"/>
                <w:szCs w:val="22"/>
              </w:rPr>
            </w:r>
            <w:r w:rsidRPr="002407E9">
              <w:rPr>
                <w:noProof/>
                <w:webHidden/>
                <w:sz w:val="22"/>
                <w:szCs w:val="22"/>
              </w:rPr>
              <w:fldChar w:fldCharType="separate"/>
            </w:r>
            <w:r w:rsidR="00732C53">
              <w:rPr>
                <w:noProof/>
                <w:webHidden/>
                <w:sz w:val="22"/>
                <w:szCs w:val="22"/>
              </w:rPr>
              <w:t>21</w:t>
            </w:r>
            <w:r w:rsidRPr="002407E9">
              <w:rPr>
                <w:noProof/>
                <w:webHidden/>
                <w:sz w:val="22"/>
                <w:szCs w:val="22"/>
              </w:rPr>
              <w:fldChar w:fldCharType="end"/>
            </w:r>
          </w:hyperlink>
        </w:p>
        <w:p w14:paraId="001DE8E9" w14:textId="47D6A6CB" w:rsidR="002407E9" w:rsidRPr="002407E9" w:rsidRDefault="002407E9">
          <w:pPr>
            <w:pStyle w:val="Verzeichnis2"/>
            <w:rPr>
              <w:rFonts w:eastAsiaTheme="minorEastAsia"/>
              <w:noProof/>
              <w:kern w:val="2"/>
              <w:sz w:val="22"/>
              <w:szCs w:val="22"/>
              <w14:ligatures w14:val="standardContextual"/>
            </w:rPr>
          </w:pPr>
          <w:hyperlink w:anchor="_Toc239764928" w:history="1">
            <w:r w:rsidRPr="002407E9">
              <w:rPr>
                <w:rStyle w:val="Hyperlink"/>
                <w:iCs/>
                <w:noProof/>
                <w:sz w:val="22"/>
                <w:szCs w:val="22"/>
              </w:rPr>
              <w:t>6.1</w:t>
            </w:r>
            <w:r w:rsidRPr="002407E9">
              <w:rPr>
                <w:rFonts w:eastAsiaTheme="minorEastAsia"/>
                <w:noProof/>
                <w:kern w:val="2"/>
                <w:sz w:val="22"/>
                <w:szCs w:val="22"/>
                <w14:ligatures w14:val="standardContextual"/>
              </w:rPr>
              <w:tab/>
            </w:r>
            <w:r w:rsidRPr="002407E9">
              <w:rPr>
                <w:rStyle w:val="Hyperlink"/>
                <w:noProof/>
                <w:sz w:val="22"/>
                <w:szCs w:val="22"/>
              </w:rPr>
              <w:t>Funktionslogiken des MVG Companion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_Toc239764928 \h </w:instrText>
            </w:r>
            <w:r w:rsidRPr="002407E9">
              <w:rPr>
                <w:noProof/>
                <w:webHidden/>
                <w:sz w:val="22"/>
                <w:szCs w:val="22"/>
              </w:rPr>
            </w:r>
            <w:r w:rsidRPr="002407E9">
              <w:rPr>
                <w:noProof/>
                <w:webHidden/>
                <w:sz w:val="22"/>
                <w:szCs w:val="22"/>
              </w:rPr>
              <w:fldChar w:fldCharType="separate"/>
            </w:r>
            <w:r w:rsidR="00732C53">
              <w:rPr>
                <w:noProof/>
                <w:webHidden/>
                <w:sz w:val="22"/>
                <w:szCs w:val="22"/>
              </w:rPr>
              <w:t>21</w:t>
            </w:r>
            <w:r w:rsidRPr="002407E9">
              <w:rPr>
                <w:noProof/>
                <w:webHidden/>
                <w:sz w:val="22"/>
                <w:szCs w:val="22"/>
              </w:rPr>
              <w:fldChar w:fldCharType="end"/>
            </w:r>
          </w:hyperlink>
        </w:p>
        <w:p w14:paraId="167CD437" w14:textId="1FED9624" w:rsidR="002407E9" w:rsidRPr="002407E9" w:rsidRDefault="002407E9">
          <w:pPr>
            <w:pStyle w:val="Verzeichnis2"/>
            <w:rPr>
              <w:rFonts w:eastAsiaTheme="minorEastAsia"/>
              <w:noProof/>
              <w:kern w:val="2"/>
              <w:sz w:val="22"/>
              <w:szCs w:val="22"/>
              <w14:ligatures w14:val="standardContextual"/>
            </w:rPr>
          </w:pPr>
          <w:hyperlink w:anchor="_Toc239764929" w:history="1">
            <w:r w:rsidRPr="002407E9">
              <w:rPr>
                <w:rStyle w:val="Hyperlink"/>
                <w:iCs/>
                <w:noProof/>
                <w:sz w:val="22"/>
                <w:szCs w:val="22"/>
              </w:rPr>
              <w:t>6.2</w:t>
            </w:r>
            <w:r w:rsidRPr="002407E9">
              <w:rPr>
                <w:rFonts w:eastAsiaTheme="minorEastAsia"/>
                <w:noProof/>
                <w:kern w:val="2"/>
                <w:sz w:val="22"/>
                <w:szCs w:val="22"/>
                <w14:ligatures w14:val="standardContextual"/>
              </w:rPr>
              <w:tab/>
            </w:r>
            <w:r w:rsidRPr="002407E9">
              <w:rPr>
                <w:rStyle w:val="Hyperlink"/>
                <w:noProof/>
                <w:sz w:val="22"/>
                <w:szCs w:val="22"/>
              </w:rPr>
              <w:t>Befähigung mit Unterstützung des MVG Companion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_Toc239764929 \h </w:instrText>
            </w:r>
            <w:r w:rsidRPr="002407E9">
              <w:rPr>
                <w:noProof/>
                <w:webHidden/>
                <w:sz w:val="22"/>
                <w:szCs w:val="22"/>
              </w:rPr>
            </w:r>
            <w:r w:rsidRPr="002407E9">
              <w:rPr>
                <w:noProof/>
                <w:webHidden/>
                <w:sz w:val="22"/>
                <w:szCs w:val="22"/>
              </w:rPr>
              <w:fldChar w:fldCharType="separate"/>
            </w:r>
            <w:r w:rsidR="00732C53">
              <w:rPr>
                <w:noProof/>
                <w:webHidden/>
                <w:sz w:val="22"/>
                <w:szCs w:val="22"/>
              </w:rPr>
              <w:t>22</w:t>
            </w:r>
            <w:r w:rsidRPr="002407E9">
              <w:rPr>
                <w:noProof/>
                <w:webHidden/>
                <w:sz w:val="22"/>
                <w:szCs w:val="22"/>
              </w:rPr>
              <w:fldChar w:fldCharType="end"/>
            </w:r>
          </w:hyperlink>
        </w:p>
        <w:p w14:paraId="4DE603D8" w14:textId="063118DF" w:rsidR="002407E9" w:rsidRPr="002407E9" w:rsidRDefault="002407E9">
          <w:pPr>
            <w:pStyle w:val="Verzeichnis2"/>
            <w:rPr>
              <w:rFonts w:eastAsiaTheme="minorEastAsia"/>
              <w:noProof/>
              <w:kern w:val="2"/>
              <w:sz w:val="22"/>
              <w:szCs w:val="22"/>
              <w14:ligatures w14:val="standardContextual"/>
            </w:rPr>
          </w:pPr>
          <w:hyperlink w:anchor="_Toc239764930" w:history="1">
            <w:r w:rsidRPr="002407E9">
              <w:rPr>
                <w:rStyle w:val="Hyperlink"/>
                <w:iCs/>
                <w:noProof/>
                <w:sz w:val="22"/>
                <w:szCs w:val="22"/>
              </w:rPr>
              <w:t>6.3</w:t>
            </w:r>
            <w:r w:rsidRPr="002407E9">
              <w:rPr>
                <w:rFonts w:eastAsiaTheme="minorEastAsia"/>
                <w:noProof/>
                <w:kern w:val="2"/>
                <w:sz w:val="22"/>
                <w:szCs w:val="22"/>
                <w14:ligatures w14:val="standardContextual"/>
              </w:rPr>
              <w:tab/>
            </w:r>
            <w:r w:rsidRPr="002407E9">
              <w:rPr>
                <w:rStyle w:val="Hyperlink"/>
                <w:noProof/>
                <w:sz w:val="22"/>
                <w:szCs w:val="22"/>
              </w:rPr>
              <w:t>Rahmenbedingungen und Datenstand</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_Toc239764930 \h </w:instrText>
            </w:r>
            <w:r w:rsidRPr="002407E9">
              <w:rPr>
                <w:noProof/>
                <w:webHidden/>
                <w:sz w:val="22"/>
                <w:szCs w:val="22"/>
              </w:rPr>
            </w:r>
            <w:r w:rsidRPr="002407E9">
              <w:rPr>
                <w:noProof/>
                <w:webHidden/>
                <w:sz w:val="22"/>
                <w:szCs w:val="22"/>
              </w:rPr>
              <w:fldChar w:fldCharType="separate"/>
            </w:r>
            <w:r w:rsidR="00732C53">
              <w:rPr>
                <w:noProof/>
                <w:webHidden/>
                <w:sz w:val="22"/>
                <w:szCs w:val="22"/>
              </w:rPr>
              <w:t>23</w:t>
            </w:r>
            <w:r w:rsidRPr="002407E9">
              <w:rPr>
                <w:noProof/>
                <w:webHidden/>
                <w:sz w:val="22"/>
                <w:szCs w:val="22"/>
              </w:rPr>
              <w:fldChar w:fldCharType="end"/>
            </w:r>
          </w:hyperlink>
        </w:p>
        <w:p w14:paraId="0C2E50B7" w14:textId="55229BE5" w:rsidR="002407E9" w:rsidRPr="002407E9" w:rsidRDefault="002407E9">
          <w:pPr>
            <w:pStyle w:val="Verzeichnis2"/>
            <w:rPr>
              <w:rFonts w:eastAsiaTheme="minorEastAsia"/>
              <w:noProof/>
              <w:kern w:val="2"/>
              <w:sz w:val="22"/>
              <w:szCs w:val="22"/>
              <w14:ligatures w14:val="standardContextual"/>
            </w:rPr>
          </w:pPr>
          <w:hyperlink w:anchor="_Toc239764931" w:history="1">
            <w:r w:rsidRPr="002407E9">
              <w:rPr>
                <w:rStyle w:val="Hyperlink"/>
                <w:iCs/>
                <w:noProof/>
                <w:sz w:val="22"/>
                <w:szCs w:val="22"/>
              </w:rPr>
              <w:t>6.4</w:t>
            </w:r>
            <w:r w:rsidRPr="002407E9">
              <w:rPr>
                <w:rFonts w:eastAsiaTheme="minorEastAsia"/>
                <w:noProof/>
                <w:kern w:val="2"/>
                <w:sz w:val="22"/>
                <w:szCs w:val="22"/>
                <w14:ligatures w14:val="standardContextual"/>
              </w:rPr>
              <w:tab/>
            </w:r>
            <w:r w:rsidRPr="002407E9">
              <w:rPr>
                <w:rStyle w:val="Hyperlink"/>
                <w:noProof/>
                <w:sz w:val="22"/>
                <w:szCs w:val="22"/>
              </w:rPr>
              <w:t>Zusammenarbeit im MVG Companion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_Toc239764931 \h </w:instrText>
            </w:r>
            <w:r w:rsidRPr="002407E9">
              <w:rPr>
                <w:noProof/>
                <w:webHidden/>
                <w:sz w:val="22"/>
                <w:szCs w:val="22"/>
              </w:rPr>
            </w:r>
            <w:r w:rsidRPr="002407E9">
              <w:rPr>
                <w:noProof/>
                <w:webHidden/>
                <w:sz w:val="22"/>
                <w:szCs w:val="22"/>
              </w:rPr>
              <w:fldChar w:fldCharType="separate"/>
            </w:r>
            <w:r w:rsidR="00732C53">
              <w:rPr>
                <w:noProof/>
                <w:webHidden/>
                <w:sz w:val="22"/>
                <w:szCs w:val="22"/>
              </w:rPr>
              <w:t>24</w:t>
            </w:r>
            <w:r w:rsidRPr="002407E9">
              <w:rPr>
                <w:noProof/>
                <w:webHidden/>
                <w:sz w:val="22"/>
                <w:szCs w:val="22"/>
              </w:rPr>
              <w:fldChar w:fldCharType="end"/>
            </w:r>
          </w:hyperlink>
        </w:p>
        <w:p w14:paraId="67DB40F6" w14:textId="04E859B0" w:rsidR="002407E9" w:rsidRPr="002407E9" w:rsidRDefault="002407E9">
          <w:pPr>
            <w:pStyle w:val="Verzeichnis3"/>
            <w:tabs>
              <w:tab w:val="left" w:pos="762"/>
              <w:tab w:val="right" w:leader="dot" w:pos="9394"/>
            </w:tabs>
            <w:rPr>
              <w:rFonts w:eastAsiaTheme="minorEastAsia" w:cstheme="minorBidi"/>
              <w:noProof/>
              <w:kern w:val="2"/>
              <w:sz w:val="22"/>
              <w:szCs w:val="22"/>
              <w14:ligatures w14:val="standardContextual"/>
            </w:rPr>
          </w:pPr>
          <w:hyperlink w:anchor="_Toc239764932" w:history="1">
            <w:r w:rsidRPr="002407E9">
              <w:rPr>
                <w:rStyle w:val="Hyperlink"/>
                <w:noProof/>
                <w:sz w:val="22"/>
                <w:szCs w:val="22"/>
                <w:lang w:val="de-DE"/>
              </w:rPr>
              <w:t>6.4.1</w:t>
            </w:r>
            <w:r w:rsidRPr="002407E9">
              <w:rPr>
                <w:rFonts w:eastAsiaTheme="minorEastAsia" w:cstheme="minorBidi"/>
                <w:noProof/>
                <w:kern w:val="2"/>
                <w:sz w:val="22"/>
                <w:szCs w:val="22"/>
                <w14:ligatures w14:val="standardContextual"/>
              </w:rPr>
              <w:tab/>
            </w:r>
            <w:r w:rsidRPr="002407E9">
              <w:rPr>
                <w:rStyle w:val="Hyperlink"/>
                <w:noProof/>
                <w:sz w:val="22"/>
                <w:szCs w:val="22"/>
                <w:lang w:val="de-DE"/>
              </w:rPr>
              <w:t>Grundlogik der Zusammenarbeit</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_Toc239764932 \h </w:instrText>
            </w:r>
            <w:r w:rsidRPr="002407E9">
              <w:rPr>
                <w:noProof/>
                <w:webHidden/>
                <w:sz w:val="22"/>
                <w:szCs w:val="22"/>
              </w:rPr>
            </w:r>
            <w:r w:rsidRPr="002407E9">
              <w:rPr>
                <w:noProof/>
                <w:webHidden/>
                <w:sz w:val="22"/>
                <w:szCs w:val="22"/>
              </w:rPr>
              <w:fldChar w:fldCharType="separate"/>
            </w:r>
            <w:r w:rsidR="00732C53">
              <w:rPr>
                <w:noProof/>
                <w:webHidden/>
                <w:sz w:val="22"/>
                <w:szCs w:val="22"/>
              </w:rPr>
              <w:t>24</w:t>
            </w:r>
            <w:r w:rsidRPr="002407E9">
              <w:rPr>
                <w:noProof/>
                <w:webHidden/>
                <w:sz w:val="22"/>
                <w:szCs w:val="22"/>
              </w:rPr>
              <w:fldChar w:fldCharType="end"/>
            </w:r>
          </w:hyperlink>
        </w:p>
        <w:p w14:paraId="61581E51" w14:textId="0DC558E5" w:rsidR="002407E9" w:rsidRPr="002407E9" w:rsidRDefault="002407E9">
          <w:pPr>
            <w:pStyle w:val="Verzeichnis3"/>
            <w:tabs>
              <w:tab w:val="left" w:pos="762"/>
              <w:tab w:val="right" w:leader="dot" w:pos="9394"/>
            </w:tabs>
            <w:rPr>
              <w:rFonts w:eastAsiaTheme="minorEastAsia" w:cstheme="minorBidi"/>
              <w:noProof/>
              <w:kern w:val="2"/>
              <w:sz w:val="22"/>
              <w:szCs w:val="22"/>
              <w14:ligatures w14:val="standardContextual"/>
            </w:rPr>
          </w:pPr>
          <w:hyperlink w:anchor="_Toc239764933" w:history="1">
            <w:r w:rsidRPr="002407E9">
              <w:rPr>
                <w:rStyle w:val="Hyperlink"/>
                <w:noProof/>
                <w:sz w:val="22"/>
                <w:szCs w:val="22"/>
                <w:lang w:val="de-DE"/>
              </w:rPr>
              <w:t>6.4.2</w:t>
            </w:r>
            <w:r w:rsidRPr="002407E9">
              <w:rPr>
                <w:rFonts w:eastAsiaTheme="minorEastAsia" w:cstheme="minorBidi"/>
                <w:noProof/>
                <w:kern w:val="2"/>
                <w:sz w:val="22"/>
                <w:szCs w:val="22"/>
                <w14:ligatures w14:val="standardContextual"/>
              </w:rPr>
              <w:tab/>
            </w:r>
            <w:r w:rsidRPr="002407E9">
              <w:rPr>
                <w:rStyle w:val="Hyperlink"/>
                <w:noProof/>
                <w:sz w:val="22"/>
                <w:szCs w:val="22"/>
                <w:lang w:val="de-DE"/>
              </w:rPr>
              <w:t>Registerpflege und Takt</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_Toc239764933 \h </w:instrText>
            </w:r>
            <w:r w:rsidRPr="002407E9">
              <w:rPr>
                <w:noProof/>
                <w:webHidden/>
                <w:sz w:val="22"/>
                <w:szCs w:val="22"/>
              </w:rPr>
            </w:r>
            <w:r w:rsidRPr="002407E9">
              <w:rPr>
                <w:noProof/>
                <w:webHidden/>
                <w:sz w:val="22"/>
                <w:szCs w:val="22"/>
              </w:rPr>
              <w:fldChar w:fldCharType="separate"/>
            </w:r>
            <w:r w:rsidR="00732C53">
              <w:rPr>
                <w:noProof/>
                <w:webHidden/>
                <w:sz w:val="22"/>
                <w:szCs w:val="22"/>
              </w:rPr>
              <w:t>24</w:t>
            </w:r>
            <w:r w:rsidRPr="002407E9">
              <w:rPr>
                <w:noProof/>
                <w:webHidden/>
                <w:sz w:val="22"/>
                <w:szCs w:val="22"/>
              </w:rPr>
              <w:fldChar w:fldCharType="end"/>
            </w:r>
          </w:hyperlink>
        </w:p>
        <w:p w14:paraId="0C8FFA6C" w14:textId="1ECB88A9" w:rsidR="002407E9" w:rsidRPr="002407E9" w:rsidRDefault="002407E9">
          <w:pPr>
            <w:pStyle w:val="Verzeichnis3"/>
            <w:tabs>
              <w:tab w:val="left" w:pos="762"/>
              <w:tab w:val="right" w:leader="dot" w:pos="9394"/>
            </w:tabs>
            <w:rPr>
              <w:rFonts w:eastAsiaTheme="minorEastAsia" w:cstheme="minorBidi"/>
              <w:noProof/>
              <w:kern w:val="2"/>
              <w:sz w:val="22"/>
              <w:szCs w:val="22"/>
              <w14:ligatures w14:val="standardContextual"/>
            </w:rPr>
          </w:pPr>
          <w:hyperlink w:anchor="_Toc239764934" w:history="1">
            <w:r w:rsidRPr="002407E9">
              <w:rPr>
                <w:rStyle w:val="Hyperlink"/>
                <w:noProof/>
                <w:sz w:val="22"/>
                <w:szCs w:val="22"/>
                <w:lang w:val="de-DE"/>
              </w:rPr>
              <w:t>6.4.3</w:t>
            </w:r>
            <w:r w:rsidRPr="002407E9">
              <w:rPr>
                <w:rFonts w:eastAsiaTheme="minorEastAsia" w:cstheme="minorBidi"/>
                <w:noProof/>
                <w:kern w:val="2"/>
                <w:sz w:val="22"/>
                <w:szCs w:val="22"/>
                <w14:ligatures w14:val="standardContextual"/>
              </w:rPr>
              <w:tab/>
            </w:r>
            <w:r w:rsidRPr="002407E9">
              <w:rPr>
                <w:rStyle w:val="Hyperlink"/>
                <w:noProof/>
                <w:sz w:val="22"/>
                <w:szCs w:val="22"/>
                <w:lang w:val="de-DE"/>
              </w:rPr>
              <w:t>Kanonischer Governance-Fluss</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_Toc239764934 \h </w:instrText>
            </w:r>
            <w:r w:rsidRPr="002407E9">
              <w:rPr>
                <w:noProof/>
                <w:webHidden/>
                <w:sz w:val="22"/>
                <w:szCs w:val="22"/>
              </w:rPr>
            </w:r>
            <w:r w:rsidRPr="002407E9">
              <w:rPr>
                <w:noProof/>
                <w:webHidden/>
                <w:sz w:val="22"/>
                <w:szCs w:val="22"/>
              </w:rPr>
              <w:fldChar w:fldCharType="separate"/>
            </w:r>
            <w:r w:rsidR="00732C53">
              <w:rPr>
                <w:noProof/>
                <w:webHidden/>
                <w:sz w:val="22"/>
                <w:szCs w:val="22"/>
              </w:rPr>
              <w:t>25</w:t>
            </w:r>
            <w:r w:rsidRPr="002407E9">
              <w:rPr>
                <w:noProof/>
                <w:webHidden/>
                <w:sz w:val="22"/>
                <w:szCs w:val="22"/>
              </w:rPr>
              <w:fldChar w:fldCharType="end"/>
            </w:r>
          </w:hyperlink>
        </w:p>
        <w:p w14:paraId="0A86B16B" w14:textId="062971E9" w:rsidR="002407E9" w:rsidRPr="002407E9" w:rsidRDefault="002407E9">
          <w:pPr>
            <w:pStyle w:val="Verzeichnis3"/>
            <w:tabs>
              <w:tab w:val="left" w:pos="762"/>
              <w:tab w:val="right" w:leader="dot" w:pos="9394"/>
            </w:tabs>
            <w:rPr>
              <w:rFonts w:eastAsiaTheme="minorEastAsia" w:cstheme="minorBidi"/>
              <w:noProof/>
              <w:kern w:val="2"/>
              <w:sz w:val="22"/>
              <w:szCs w:val="22"/>
              <w14:ligatures w14:val="standardContextual"/>
            </w:rPr>
          </w:pPr>
          <w:hyperlink w:anchor="_Toc239764935" w:history="1">
            <w:r w:rsidRPr="002407E9">
              <w:rPr>
                <w:rStyle w:val="Hyperlink"/>
                <w:noProof/>
                <w:sz w:val="22"/>
                <w:szCs w:val="22"/>
                <w:lang w:val="de-DE"/>
              </w:rPr>
              <w:t>6.4.4</w:t>
            </w:r>
            <w:r w:rsidRPr="002407E9">
              <w:rPr>
                <w:rFonts w:eastAsiaTheme="minorEastAsia" w:cstheme="minorBidi"/>
                <w:noProof/>
                <w:kern w:val="2"/>
                <w:sz w:val="22"/>
                <w:szCs w:val="22"/>
                <w14:ligatures w14:val="standardContextual"/>
              </w:rPr>
              <w:tab/>
            </w:r>
            <w:r w:rsidRPr="002407E9">
              <w:rPr>
                <w:rStyle w:val="Hyperlink"/>
                <w:noProof/>
                <w:sz w:val="22"/>
                <w:szCs w:val="22"/>
                <w:lang w:val="de-DE"/>
              </w:rPr>
              <w:t>Register-Abgrenzung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_Toc239764935 \h </w:instrText>
            </w:r>
            <w:r w:rsidRPr="002407E9">
              <w:rPr>
                <w:noProof/>
                <w:webHidden/>
                <w:sz w:val="22"/>
                <w:szCs w:val="22"/>
              </w:rPr>
            </w:r>
            <w:r w:rsidRPr="002407E9">
              <w:rPr>
                <w:noProof/>
                <w:webHidden/>
                <w:sz w:val="22"/>
                <w:szCs w:val="22"/>
              </w:rPr>
              <w:fldChar w:fldCharType="separate"/>
            </w:r>
            <w:r w:rsidR="00732C53">
              <w:rPr>
                <w:noProof/>
                <w:webHidden/>
                <w:sz w:val="22"/>
                <w:szCs w:val="22"/>
              </w:rPr>
              <w:t>25</w:t>
            </w:r>
            <w:r w:rsidRPr="002407E9">
              <w:rPr>
                <w:noProof/>
                <w:webHidden/>
                <w:sz w:val="22"/>
                <w:szCs w:val="22"/>
              </w:rPr>
              <w:fldChar w:fldCharType="end"/>
            </w:r>
          </w:hyperlink>
        </w:p>
        <w:p w14:paraId="6C51017A" w14:textId="4CC28AAB" w:rsidR="002407E9" w:rsidRPr="002407E9" w:rsidRDefault="002407E9">
          <w:pPr>
            <w:pStyle w:val="Verzeichnis3"/>
            <w:tabs>
              <w:tab w:val="left" w:pos="762"/>
              <w:tab w:val="right" w:leader="dot" w:pos="9394"/>
            </w:tabs>
            <w:rPr>
              <w:rFonts w:eastAsiaTheme="minorEastAsia" w:cstheme="minorBidi"/>
              <w:noProof/>
              <w:kern w:val="2"/>
              <w:sz w:val="22"/>
              <w:szCs w:val="22"/>
              <w14:ligatures w14:val="standardContextual"/>
            </w:rPr>
          </w:pPr>
          <w:hyperlink w:anchor="_Toc239764936" w:history="1">
            <w:r w:rsidRPr="002407E9">
              <w:rPr>
                <w:rStyle w:val="Hyperlink"/>
                <w:noProof/>
                <w:sz w:val="22"/>
                <w:szCs w:val="22"/>
                <w:lang w:val="de-DE"/>
              </w:rPr>
              <w:t>6.4.5</w:t>
            </w:r>
            <w:r w:rsidRPr="002407E9">
              <w:rPr>
                <w:rFonts w:eastAsiaTheme="minorEastAsia" w:cstheme="minorBidi"/>
                <w:noProof/>
                <w:kern w:val="2"/>
                <w:sz w:val="22"/>
                <w:szCs w:val="22"/>
                <w14:ligatures w14:val="standardContextual"/>
              </w:rPr>
              <w:tab/>
            </w:r>
            <w:r w:rsidRPr="002407E9">
              <w:rPr>
                <w:rStyle w:val="Hyperlink"/>
                <w:noProof/>
                <w:sz w:val="22"/>
                <w:szCs w:val="22"/>
                <w:lang w:val="de-DE"/>
              </w:rPr>
              <w:t>Rhythmus, Rollen und Eskalation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_Toc239764936 \h </w:instrText>
            </w:r>
            <w:r w:rsidRPr="002407E9">
              <w:rPr>
                <w:noProof/>
                <w:webHidden/>
                <w:sz w:val="22"/>
                <w:szCs w:val="22"/>
              </w:rPr>
            </w:r>
            <w:r w:rsidRPr="002407E9">
              <w:rPr>
                <w:noProof/>
                <w:webHidden/>
                <w:sz w:val="22"/>
                <w:szCs w:val="22"/>
              </w:rPr>
              <w:fldChar w:fldCharType="separate"/>
            </w:r>
            <w:r w:rsidR="00732C53">
              <w:rPr>
                <w:noProof/>
                <w:webHidden/>
                <w:sz w:val="22"/>
                <w:szCs w:val="22"/>
              </w:rPr>
              <w:t>26</w:t>
            </w:r>
            <w:r w:rsidRPr="002407E9">
              <w:rPr>
                <w:noProof/>
                <w:webHidden/>
                <w:sz w:val="22"/>
                <w:szCs w:val="22"/>
              </w:rPr>
              <w:fldChar w:fldCharType="end"/>
            </w:r>
          </w:hyperlink>
        </w:p>
        <w:p w14:paraId="7AB29A94" w14:textId="0A48EC74" w:rsidR="002407E9" w:rsidRPr="002407E9" w:rsidRDefault="002407E9">
          <w:pPr>
            <w:pStyle w:val="Verzeichnis1"/>
            <w:rPr>
              <w:rFonts w:eastAsiaTheme="minorEastAsia"/>
              <w:noProof/>
              <w:kern w:val="2"/>
              <w:sz w:val="22"/>
              <w:szCs w:val="22"/>
              <w14:ligatures w14:val="standardContextual"/>
            </w:rPr>
          </w:pPr>
          <w:hyperlink w:anchor="_Toc239764937" w:history="1">
            <w:r w:rsidRPr="002407E9">
              <w:rPr>
                <w:rStyle w:val="Hyperlink"/>
                <w:noProof/>
                <w:sz w:val="22"/>
                <w:szCs w:val="22"/>
                <w:lang w:val="de-DE"/>
              </w:rPr>
              <w:t>7</w:t>
            </w:r>
            <w:r w:rsidRPr="002407E9">
              <w:rPr>
                <w:rFonts w:eastAsiaTheme="minorEastAsia"/>
                <w:noProof/>
                <w:kern w:val="2"/>
                <w:sz w:val="22"/>
                <w:szCs w:val="22"/>
                <w14:ligatures w14:val="standardContextual"/>
              </w:rPr>
              <w:tab/>
            </w:r>
            <w:r w:rsidRPr="002407E9">
              <w:rPr>
                <w:rStyle w:val="Hyperlink"/>
                <w:noProof/>
                <w:sz w:val="22"/>
                <w:szCs w:val="22"/>
                <w:lang w:val="de-DE"/>
              </w:rPr>
              <w:t>Leistungsarchitektur von Bauherr Mentoren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_Toc239764937 \h </w:instrText>
            </w:r>
            <w:r w:rsidRPr="002407E9">
              <w:rPr>
                <w:noProof/>
                <w:webHidden/>
                <w:sz w:val="22"/>
                <w:szCs w:val="22"/>
              </w:rPr>
            </w:r>
            <w:r w:rsidRPr="002407E9">
              <w:rPr>
                <w:noProof/>
                <w:webHidden/>
                <w:sz w:val="22"/>
                <w:szCs w:val="22"/>
              </w:rPr>
              <w:fldChar w:fldCharType="separate"/>
            </w:r>
            <w:r w:rsidR="00732C53">
              <w:rPr>
                <w:noProof/>
                <w:webHidden/>
                <w:sz w:val="22"/>
                <w:szCs w:val="22"/>
              </w:rPr>
              <w:t>27</w:t>
            </w:r>
            <w:r w:rsidRPr="002407E9">
              <w:rPr>
                <w:noProof/>
                <w:webHidden/>
                <w:sz w:val="22"/>
                <w:szCs w:val="22"/>
              </w:rPr>
              <w:fldChar w:fldCharType="end"/>
            </w:r>
          </w:hyperlink>
        </w:p>
        <w:p w14:paraId="30E12A4F" w14:textId="6BDB12FB" w:rsidR="002407E9" w:rsidRPr="002407E9" w:rsidRDefault="002407E9">
          <w:pPr>
            <w:pStyle w:val="Verzeichnis2"/>
            <w:rPr>
              <w:rFonts w:eastAsiaTheme="minorEastAsia"/>
              <w:noProof/>
              <w:kern w:val="2"/>
              <w:sz w:val="22"/>
              <w:szCs w:val="22"/>
              <w14:ligatures w14:val="standardContextual"/>
            </w:rPr>
          </w:pPr>
          <w:hyperlink w:anchor="_Toc239764938" w:history="1">
            <w:r w:rsidRPr="002407E9">
              <w:rPr>
                <w:rStyle w:val="Hyperlink"/>
                <w:iCs/>
                <w:noProof/>
                <w:sz w:val="22"/>
                <w:szCs w:val="22"/>
              </w:rPr>
              <w:t>7.1</w:t>
            </w:r>
            <w:r w:rsidRPr="002407E9">
              <w:rPr>
                <w:rFonts w:eastAsiaTheme="minorEastAsia"/>
                <w:noProof/>
                <w:kern w:val="2"/>
                <w:sz w:val="22"/>
                <w:szCs w:val="22"/>
                <w14:ligatures w14:val="standardContextual"/>
              </w:rPr>
              <w:tab/>
            </w:r>
            <w:r w:rsidRPr="002407E9">
              <w:rPr>
                <w:rStyle w:val="Hyperlink"/>
                <w:noProof/>
                <w:sz w:val="22"/>
                <w:szCs w:val="22"/>
              </w:rPr>
              <w:t>MVG-Reifegradanalyse</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_Toc239764938 \h </w:instrText>
            </w:r>
            <w:r w:rsidRPr="002407E9">
              <w:rPr>
                <w:noProof/>
                <w:webHidden/>
                <w:sz w:val="22"/>
                <w:szCs w:val="22"/>
              </w:rPr>
            </w:r>
            <w:r w:rsidRPr="002407E9">
              <w:rPr>
                <w:noProof/>
                <w:webHidden/>
                <w:sz w:val="22"/>
                <w:szCs w:val="22"/>
              </w:rPr>
              <w:fldChar w:fldCharType="separate"/>
            </w:r>
            <w:r w:rsidR="00732C53">
              <w:rPr>
                <w:noProof/>
                <w:webHidden/>
                <w:sz w:val="22"/>
                <w:szCs w:val="22"/>
              </w:rPr>
              <w:t>27</w:t>
            </w:r>
            <w:r w:rsidRPr="002407E9">
              <w:rPr>
                <w:noProof/>
                <w:webHidden/>
                <w:sz w:val="22"/>
                <w:szCs w:val="22"/>
              </w:rPr>
              <w:fldChar w:fldCharType="end"/>
            </w:r>
          </w:hyperlink>
        </w:p>
        <w:p w14:paraId="4920ECFE" w14:textId="54328B19" w:rsidR="002407E9" w:rsidRPr="002407E9" w:rsidRDefault="002407E9">
          <w:pPr>
            <w:pStyle w:val="Verzeichnis2"/>
            <w:rPr>
              <w:rFonts w:eastAsiaTheme="minorEastAsia"/>
              <w:noProof/>
              <w:kern w:val="2"/>
              <w:sz w:val="22"/>
              <w:szCs w:val="22"/>
              <w14:ligatures w14:val="standardContextual"/>
            </w:rPr>
          </w:pPr>
          <w:hyperlink w:anchor="_Toc239764939" w:history="1">
            <w:r w:rsidRPr="002407E9">
              <w:rPr>
                <w:rStyle w:val="Hyperlink"/>
                <w:iCs/>
                <w:noProof/>
                <w:sz w:val="22"/>
                <w:szCs w:val="22"/>
              </w:rPr>
              <w:t>7.2</w:t>
            </w:r>
            <w:r w:rsidRPr="002407E9">
              <w:rPr>
                <w:rFonts w:eastAsiaTheme="minorEastAsia"/>
                <w:noProof/>
                <w:kern w:val="2"/>
                <w:sz w:val="22"/>
                <w:szCs w:val="22"/>
                <w14:ligatures w14:val="standardContextual"/>
              </w:rPr>
              <w:tab/>
            </w:r>
            <w:r w:rsidRPr="002407E9">
              <w:rPr>
                <w:rStyle w:val="Hyperlink"/>
                <w:noProof/>
                <w:sz w:val="22"/>
                <w:szCs w:val="22"/>
              </w:rPr>
              <w:t>MVG-Konzeption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_Toc239764939 \h </w:instrText>
            </w:r>
            <w:r w:rsidRPr="002407E9">
              <w:rPr>
                <w:noProof/>
                <w:webHidden/>
                <w:sz w:val="22"/>
                <w:szCs w:val="22"/>
              </w:rPr>
            </w:r>
            <w:r w:rsidRPr="002407E9">
              <w:rPr>
                <w:noProof/>
                <w:webHidden/>
                <w:sz w:val="22"/>
                <w:szCs w:val="22"/>
              </w:rPr>
              <w:fldChar w:fldCharType="separate"/>
            </w:r>
            <w:r w:rsidR="00732C53">
              <w:rPr>
                <w:noProof/>
                <w:webHidden/>
                <w:sz w:val="22"/>
                <w:szCs w:val="22"/>
              </w:rPr>
              <w:t>28</w:t>
            </w:r>
            <w:r w:rsidRPr="002407E9">
              <w:rPr>
                <w:noProof/>
                <w:webHidden/>
                <w:sz w:val="22"/>
                <w:szCs w:val="22"/>
              </w:rPr>
              <w:fldChar w:fldCharType="end"/>
            </w:r>
          </w:hyperlink>
        </w:p>
        <w:p w14:paraId="0F30B361" w14:textId="081E2A06" w:rsidR="002407E9" w:rsidRPr="002407E9" w:rsidRDefault="002407E9">
          <w:pPr>
            <w:pStyle w:val="Verzeichnis2"/>
            <w:rPr>
              <w:rFonts w:eastAsiaTheme="minorEastAsia"/>
              <w:noProof/>
              <w:kern w:val="2"/>
              <w:sz w:val="22"/>
              <w:szCs w:val="22"/>
              <w14:ligatures w14:val="standardContextual"/>
            </w:rPr>
          </w:pPr>
          <w:hyperlink w:anchor="_Toc239764940" w:history="1">
            <w:r w:rsidRPr="002407E9">
              <w:rPr>
                <w:rStyle w:val="Hyperlink"/>
                <w:iCs/>
                <w:noProof/>
                <w:sz w:val="22"/>
                <w:szCs w:val="22"/>
              </w:rPr>
              <w:t>7.3</w:t>
            </w:r>
            <w:r w:rsidRPr="002407E9">
              <w:rPr>
                <w:rFonts w:eastAsiaTheme="minorEastAsia"/>
                <w:noProof/>
                <w:kern w:val="2"/>
                <w:sz w:val="22"/>
                <w:szCs w:val="22"/>
                <w14:ligatures w14:val="standardContextual"/>
              </w:rPr>
              <w:tab/>
            </w:r>
            <w:r w:rsidRPr="002407E9">
              <w:rPr>
                <w:rStyle w:val="Hyperlink"/>
                <w:noProof/>
                <w:sz w:val="22"/>
                <w:szCs w:val="22"/>
              </w:rPr>
              <w:t>Pilotierung und Kalibrierung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_Toc239764940 \h </w:instrText>
            </w:r>
            <w:r w:rsidRPr="002407E9">
              <w:rPr>
                <w:noProof/>
                <w:webHidden/>
                <w:sz w:val="22"/>
                <w:szCs w:val="22"/>
              </w:rPr>
            </w:r>
            <w:r w:rsidRPr="002407E9">
              <w:rPr>
                <w:noProof/>
                <w:webHidden/>
                <w:sz w:val="22"/>
                <w:szCs w:val="22"/>
              </w:rPr>
              <w:fldChar w:fldCharType="separate"/>
            </w:r>
            <w:r w:rsidR="00732C53">
              <w:rPr>
                <w:noProof/>
                <w:webHidden/>
                <w:sz w:val="22"/>
                <w:szCs w:val="22"/>
              </w:rPr>
              <w:t>29</w:t>
            </w:r>
            <w:r w:rsidRPr="002407E9">
              <w:rPr>
                <w:noProof/>
                <w:webHidden/>
                <w:sz w:val="22"/>
                <w:szCs w:val="22"/>
              </w:rPr>
              <w:fldChar w:fldCharType="end"/>
            </w:r>
          </w:hyperlink>
        </w:p>
        <w:p w14:paraId="5A5E4151" w14:textId="6C9203D1" w:rsidR="002407E9" w:rsidRPr="002407E9" w:rsidRDefault="002407E9">
          <w:pPr>
            <w:pStyle w:val="Verzeichnis2"/>
            <w:rPr>
              <w:rFonts w:eastAsiaTheme="minorEastAsia"/>
              <w:noProof/>
              <w:kern w:val="2"/>
              <w:sz w:val="22"/>
              <w:szCs w:val="22"/>
              <w14:ligatures w14:val="standardContextual"/>
            </w:rPr>
          </w:pPr>
          <w:hyperlink w:anchor="_Toc239764941" w:history="1">
            <w:r w:rsidRPr="002407E9">
              <w:rPr>
                <w:rStyle w:val="Hyperlink"/>
                <w:iCs/>
                <w:noProof/>
                <w:sz w:val="22"/>
                <w:szCs w:val="22"/>
              </w:rPr>
              <w:t>7.4</w:t>
            </w:r>
            <w:r w:rsidRPr="002407E9">
              <w:rPr>
                <w:rFonts w:eastAsiaTheme="minorEastAsia"/>
                <w:noProof/>
                <w:kern w:val="2"/>
                <w:sz w:val="22"/>
                <w:szCs w:val="22"/>
                <w14:ligatures w14:val="standardContextual"/>
              </w:rPr>
              <w:tab/>
            </w:r>
            <w:r w:rsidRPr="002407E9">
              <w:rPr>
                <w:rStyle w:val="Hyperlink"/>
                <w:noProof/>
                <w:sz w:val="22"/>
                <w:szCs w:val="22"/>
              </w:rPr>
              <w:t>Befähigung und Übergabe</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_Toc239764941 \h </w:instrText>
            </w:r>
            <w:r w:rsidRPr="002407E9">
              <w:rPr>
                <w:noProof/>
                <w:webHidden/>
                <w:sz w:val="22"/>
                <w:szCs w:val="22"/>
              </w:rPr>
            </w:r>
            <w:r w:rsidRPr="002407E9">
              <w:rPr>
                <w:noProof/>
                <w:webHidden/>
                <w:sz w:val="22"/>
                <w:szCs w:val="22"/>
              </w:rPr>
              <w:fldChar w:fldCharType="separate"/>
            </w:r>
            <w:r w:rsidR="00732C53">
              <w:rPr>
                <w:noProof/>
                <w:webHidden/>
                <w:sz w:val="22"/>
                <w:szCs w:val="22"/>
              </w:rPr>
              <w:t>29</w:t>
            </w:r>
            <w:r w:rsidRPr="002407E9">
              <w:rPr>
                <w:noProof/>
                <w:webHidden/>
                <w:sz w:val="22"/>
                <w:szCs w:val="22"/>
              </w:rPr>
              <w:fldChar w:fldCharType="end"/>
            </w:r>
          </w:hyperlink>
        </w:p>
        <w:p w14:paraId="6CFC994A" w14:textId="5281335B" w:rsidR="002407E9" w:rsidRPr="002407E9" w:rsidRDefault="002407E9">
          <w:pPr>
            <w:pStyle w:val="Verzeichnis2"/>
            <w:rPr>
              <w:rFonts w:eastAsiaTheme="minorEastAsia"/>
              <w:noProof/>
              <w:kern w:val="2"/>
              <w:sz w:val="22"/>
              <w:szCs w:val="22"/>
              <w14:ligatures w14:val="standardContextual"/>
            </w:rPr>
          </w:pPr>
          <w:hyperlink w:anchor="_Toc239764942" w:history="1">
            <w:r w:rsidRPr="002407E9">
              <w:rPr>
                <w:rStyle w:val="Hyperlink"/>
                <w:iCs/>
                <w:noProof/>
                <w:sz w:val="22"/>
                <w:szCs w:val="22"/>
              </w:rPr>
              <w:t>7.5</w:t>
            </w:r>
            <w:r w:rsidRPr="002407E9">
              <w:rPr>
                <w:rFonts w:eastAsiaTheme="minorEastAsia"/>
                <w:noProof/>
                <w:kern w:val="2"/>
                <w:sz w:val="22"/>
                <w:szCs w:val="22"/>
                <w14:ligatures w14:val="standardContextual"/>
              </w:rPr>
              <w:tab/>
            </w:r>
            <w:r w:rsidRPr="002407E9">
              <w:rPr>
                <w:rStyle w:val="Hyperlink"/>
                <w:noProof/>
                <w:sz w:val="22"/>
                <w:szCs w:val="22"/>
              </w:rPr>
              <w:t>MVG-Neuinitialisierung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_Toc239764942 \h </w:instrText>
            </w:r>
            <w:r w:rsidRPr="002407E9">
              <w:rPr>
                <w:noProof/>
                <w:webHidden/>
                <w:sz w:val="22"/>
                <w:szCs w:val="22"/>
              </w:rPr>
            </w:r>
            <w:r w:rsidRPr="002407E9">
              <w:rPr>
                <w:noProof/>
                <w:webHidden/>
                <w:sz w:val="22"/>
                <w:szCs w:val="22"/>
              </w:rPr>
              <w:fldChar w:fldCharType="separate"/>
            </w:r>
            <w:r w:rsidR="00732C53">
              <w:rPr>
                <w:noProof/>
                <w:webHidden/>
                <w:sz w:val="22"/>
                <w:szCs w:val="22"/>
              </w:rPr>
              <w:t>30</w:t>
            </w:r>
            <w:r w:rsidRPr="002407E9">
              <w:rPr>
                <w:noProof/>
                <w:webHidden/>
                <w:sz w:val="22"/>
                <w:szCs w:val="22"/>
              </w:rPr>
              <w:fldChar w:fldCharType="end"/>
            </w:r>
          </w:hyperlink>
        </w:p>
        <w:p w14:paraId="3191960F" w14:textId="1D4AD251" w:rsidR="002407E9" w:rsidRPr="002407E9" w:rsidRDefault="002407E9">
          <w:pPr>
            <w:pStyle w:val="Verzeichnis2"/>
            <w:rPr>
              <w:rFonts w:eastAsiaTheme="minorEastAsia"/>
              <w:noProof/>
              <w:kern w:val="2"/>
              <w:sz w:val="22"/>
              <w:szCs w:val="22"/>
              <w14:ligatures w14:val="standardContextual"/>
            </w:rPr>
          </w:pPr>
          <w:hyperlink w:anchor="_Toc239764943" w:history="1">
            <w:r w:rsidRPr="002407E9">
              <w:rPr>
                <w:rStyle w:val="Hyperlink"/>
                <w:iCs/>
                <w:noProof/>
                <w:sz w:val="22"/>
                <w:szCs w:val="22"/>
              </w:rPr>
              <w:t>7.6</w:t>
            </w:r>
            <w:r w:rsidRPr="002407E9">
              <w:rPr>
                <w:rFonts w:eastAsiaTheme="minorEastAsia"/>
                <w:noProof/>
                <w:kern w:val="2"/>
                <w:sz w:val="22"/>
                <w:szCs w:val="22"/>
                <w14:ligatures w14:val="standardContextual"/>
              </w:rPr>
              <w:tab/>
            </w:r>
            <w:r w:rsidRPr="002407E9">
              <w:rPr>
                <w:rStyle w:val="Hyperlink"/>
                <w:noProof/>
                <w:sz w:val="22"/>
                <w:szCs w:val="22"/>
              </w:rPr>
              <w:t>Leistungsgrenzen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_Toc239764943 \h </w:instrText>
            </w:r>
            <w:r w:rsidRPr="002407E9">
              <w:rPr>
                <w:noProof/>
                <w:webHidden/>
                <w:sz w:val="22"/>
                <w:szCs w:val="22"/>
              </w:rPr>
            </w:r>
            <w:r w:rsidRPr="002407E9">
              <w:rPr>
                <w:noProof/>
                <w:webHidden/>
                <w:sz w:val="22"/>
                <w:szCs w:val="22"/>
              </w:rPr>
              <w:fldChar w:fldCharType="separate"/>
            </w:r>
            <w:r w:rsidR="00732C53">
              <w:rPr>
                <w:noProof/>
                <w:webHidden/>
                <w:sz w:val="22"/>
                <w:szCs w:val="22"/>
              </w:rPr>
              <w:t>30</w:t>
            </w:r>
            <w:r w:rsidRPr="002407E9">
              <w:rPr>
                <w:noProof/>
                <w:webHidden/>
                <w:sz w:val="22"/>
                <w:szCs w:val="22"/>
              </w:rPr>
              <w:fldChar w:fldCharType="end"/>
            </w:r>
          </w:hyperlink>
        </w:p>
        <w:p w14:paraId="39367FC3" w14:textId="12AA3714" w:rsidR="002407E9" w:rsidRPr="002407E9" w:rsidRDefault="002407E9">
          <w:pPr>
            <w:pStyle w:val="Verzeichnis1"/>
            <w:rPr>
              <w:rFonts w:eastAsiaTheme="minorEastAsia"/>
              <w:noProof/>
              <w:kern w:val="2"/>
              <w:sz w:val="22"/>
              <w:szCs w:val="22"/>
              <w14:ligatures w14:val="standardContextual"/>
            </w:rPr>
          </w:pPr>
          <w:hyperlink w:anchor="_Toc239764944" w:history="1">
            <w:r w:rsidRPr="002407E9">
              <w:rPr>
                <w:rStyle w:val="Hyperlink"/>
                <w:noProof/>
                <w:sz w:val="22"/>
                <w:szCs w:val="22"/>
                <w:lang w:val="de-DE"/>
              </w:rPr>
              <w:t>8</w:t>
            </w:r>
            <w:r w:rsidRPr="002407E9">
              <w:rPr>
                <w:rFonts w:eastAsiaTheme="minorEastAsia"/>
                <w:noProof/>
                <w:kern w:val="2"/>
                <w:sz w:val="22"/>
                <w:szCs w:val="22"/>
                <w14:ligatures w14:val="standardContextual"/>
              </w:rPr>
              <w:tab/>
            </w:r>
            <w:r w:rsidRPr="002407E9">
              <w:rPr>
                <w:rStyle w:val="Hyperlink"/>
                <w:noProof/>
                <w:sz w:val="22"/>
                <w:szCs w:val="22"/>
                <w:lang w:val="de-DE"/>
              </w:rPr>
              <w:t>Implementierung – von Diagnose zu Regelbetrieb</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_Toc239764944 \h </w:instrText>
            </w:r>
            <w:r w:rsidRPr="002407E9">
              <w:rPr>
                <w:noProof/>
                <w:webHidden/>
                <w:sz w:val="22"/>
                <w:szCs w:val="22"/>
              </w:rPr>
            </w:r>
            <w:r w:rsidRPr="002407E9">
              <w:rPr>
                <w:noProof/>
                <w:webHidden/>
                <w:sz w:val="22"/>
                <w:szCs w:val="22"/>
              </w:rPr>
              <w:fldChar w:fldCharType="separate"/>
            </w:r>
            <w:r w:rsidR="00732C53">
              <w:rPr>
                <w:noProof/>
                <w:webHidden/>
                <w:sz w:val="22"/>
                <w:szCs w:val="22"/>
              </w:rPr>
              <w:t>31</w:t>
            </w:r>
            <w:r w:rsidRPr="002407E9">
              <w:rPr>
                <w:noProof/>
                <w:webHidden/>
                <w:sz w:val="22"/>
                <w:szCs w:val="22"/>
              </w:rPr>
              <w:fldChar w:fldCharType="end"/>
            </w:r>
          </w:hyperlink>
        </w:p>
        <w:p w14:paraId="7AD02C29" w14:textId="1FCB40B9" w:rsidR="002407E9" w:rsidRPr="002407E9" w:rsidRDefault="002407E9">
          <w:pPr>
            <w:pStyle w:val="Verzeichnis2"/>
            <w:rPr>
              <w:rFonts w:eastAsiaTheme="minorEastAsia"/>
              <w:noProof/>
              <w:kern w:val="2"/>
              <w:sz w:val="22"/>
              <w:szCs w:val="22"/>
              <w14:ligatures w14:val="standardContextual"/>
            </w:rPr>
          </w:pPr>
          <w:hyperlink w:anchor="_Toc239764945" w:history="1">
            <w:r w:rsidRPr="002407E9">
              <w:rPr>
                <w:rStyle w:val="Hyperlink"/>
                <w:iCs/>
                <w:noProof/>
                <w:sz w:val="22"/>
                <w:szCs w:val="22"/>
              </w:rPr>
              <w:t>8.1</w:t>
            </w:r>
            <w:r w:rsidRPr="002407E9">
              <w:rPr>
                <w:rFonts w:eastAsiaTheme="minorEastAsia"/>
                <w:noProof/>
                <w:kern w:val="2"/>
                <w:sz w:val="22"/>
                <w:szCs w:val="22"/>
                <w14:ligatures w14:val="standardContextual"/>
              </w:rPr>
              <w:tab/>
            </w:r>
            <w:r w:rsidRPr="002407E9">
              <w:rPr>
                <w:rStyle w:val="Hyperlink"/>
                <w:noProof/>
                <w:sz w:val="22"/>
                <w:szCs w:val="22"/>
              </w:rPr>
              <w:t>Sequenziertes Vorgehen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_Toc239764945 \h </w:instrText>
            </w:r>
            <w:r w:rsidRPr="002407E9">
              <w:rPr>
                <w:noProof/>
                <w:webHidden/>
                <w:sz w:val="22"/>
                <w:szCs w:val="22"/>
              </w:rPr>
            </w:r>
            <w:r w:rsidRPr="002407E9">
              <w:rPr>
                <w:noProof/>
                <w:webHidden/>
                <w:sz w:val="22"/>
                <w:szCs w:val="22"/>
              </w:rPr>
              <w:fldChar w:fldCharType="separate"/>
            </w:r>
            <w:r w:rsidR="00732C53">
              <w:rPr>
                <w:noProof/>
                <w:webHidden/>
                <w:sz w:val="22"/>
                <w:szCs w:val="22"/>
              </w:rPr>
              <w:t>32</w:t>
            </w:r>
            <w:r w:rsidRPr="002407E9">
              <w:rPr>
                <w:noProof/>
                <w:webHidden/>
                <w:sz w:val="22"/>
                <w:szCs w:val="22"/>
              </w:rPr>
              <w:fldChar w:fldCharType="end"/>
            </w:r>
          </w:hyperlink>
        </w:p>
        <w:p w14:paraId="1F3B164F" w14:textId="40AD44FA" w:rsidR="002407E9" w:rsidRPr="002407E9" w:rsidRDefault="002407E9">
          <w:pPr>
            <w:pStyle w:val="Verzeichnis2"/>
            <w:rPr>
              <w:rFonts w:eastAsiaTheme="minorEastAsia"/>
              <w:noProof/>
              <w:kern w:val="2"/>
              <w:sz w:val="22"/>
              <w:szCs w:val="22"/>
              <w14:ligatures w14:val="standardContextual"/>
            </w:rPr>
          </w:pPr>
          <w:hyperlink w:anchor="_Toc239764946" w:history="1">
            <w:r w:rsidRPr="002407E9">
              <w:rPr>
                <w:rStyle w:val="Hyperlink"/>
                <w:iCs/>
                <w:noProof/>
                <w:sz w:val="22"/>
                <w:szCs w:val="22"/>
              </w:rPr>
              <w:t>8.2</w:t>
            </w:r>
            <w:r w:rsidRPr="002407E9">
              <w:rPr>
                <w:rFonts w:eastAsiaTheme="minorEastAsia"/>
                <w:noProof/>
                <w:kern w:val="2"/>
                <w:sz w:val="22"/>
                <w:szCs w:val="22"/>
                <w14:ligatures w14:val="standardContextual"/>
              </w:rPr>
              <w:tab/>
            </w:r>
            <w:r w:rsidRPr="002407E9">
              <w:rPr>
                <w:rStyle w:val="Hyperlink"/>
                <w:noProof/>
                <w:sz w:val="22"/>
                <w:szCs w:val="22"/>
              </w:rPr>
              <w:t>30/60/90-Tage-Logik</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_Toc239764946 \h </w:instrText>
            </w:r>
            <w:r w:rsidRPr="002407E9">
              <w:rPr>
                <w:noProof/>
                <w:webHidden/>
                <w:sz w:val="22"/>
                <w:szCs w:val="22"/>
              </w:rPr>
            </w:r>
            <w:r w:rsidRPr="002407E9">
              <w:rPr>
                <w:noProof/>
                <w:webHidden/>
                <w:sz w:val="22"/>
                <w:szCs w:val="22"/>
              </w:rPr>
              <w:fldChar w:fldCharType="separate"/>
            </w:r>
            <w:r w:rsidR="00732C53">
              <w:rPr>
                <w:noProof/>
                <w:webHidden/>
                <w:sz w:val="22"/>
                <w:szCs w:val="22"/>
              </w:rPr>
              <w:t>32</w:t>
            </w:r>
            <w:r w:rsidRPr="002407E9">
              <w:rPr>
                <w:noProof/>
                <w:webHidden/>
                <w:sz w:val="22"/>
                <w:szCs w:val="22"/>
              </w:rPr>
              <w:fldChar w:fldCharType="end"/>
            </w:r>
          </w:hyperlink>
        </w:p>
        <w:p w14:paraId="38D3A074" w14:textId="60CB58C0" w:rsidR="002407E9" w:rsidRPr="002407E9" w:rsidRDefault="002407E9">
          <w:pPr>
            <w:pStyle w:val="Verzeichnis2"/>
            <w:rPr>
              <w:rFonts w:eastAsiaTheme="minorEastAsia"/>
              <w:noProof/>
              <w:kern w:val="2"/>
              <w:sz w:val="22"/>
              <w:szCs w:val="22"/>
              <w14:ligatures w14:val="standardContextual"/>
            </w:rPr>
          </w:pPr>
          <w:hyperlink w:anchor="_Toc239764947" w:history="1">
            <w:r w:rsidRPr="002407E9">
              <w:rPr>
                <w:rStyle w:val="Hyperlink"/>
                <w:iCs/>
                <w:noProof/>
                <w:sz w:val="22"/>
                <w:szCs w:val="22"/>
              </w:rPr>
              <w:t>8.3</w:t>
            </w:r>
            <w:r w:rsidRPr="002407E9">
              <w:rPr>
                <w:rFonts w:eastAsiaTheme="minorEastAsia"/>
                <w:noProof/>
                <w:kern w:val="2"/>
                <w:sz w:val="22"/>
                <w:szCs w:val="22"/>
                <w14:ligatures w14:val="standardContextual"/>
              </w:rPr>
              <w:tab/>
            </w:r>
            <w:r w:rsidRPr="002407E9">
              <w:rPr>
                <w:rStyle w:val="Hyperlink"/>
                <w:noProof/>
                <w:sz w:val="22"/>
                <w:szCs w:val="22"/>
              </w:rPr>
              <w:t>Mitwirkung des Bauherrn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_Toc239764947 \h </w:instrText>
            </w:r>
            <w:r w:rsidRPr="002407E9">
              <w:rPr>
                <w:noProof/>
                <w:webHidden/>
                <w:sz w:val="22"/>
                <w:szCs w:val="22"/>
              </w:rPr>
            </w:r>
            <w:r w:rsidRPr="002407E9">
              <w:rPr>
                <w:noProof/>
                <w:webHidden/>
                <w:sz w:val="22"/>
                <w:szCs w:val="22"/>
              </w:rPr>
              <w:fldChar w:fldCharType="separate"/>
            </w:r>
            <w:r w:rsidR="00732C53">
              <w:rPr>
                <w:noProof/>
                <w:webHidden/>
                <w:sz w:val="22"/>
                <w:szCs w:val="22"/>
              </w:rPr>
              <w:t>33</w:t>
            </w:r>
            <w:r w:rsidRPr="002407E9">
              <w:rPr>
                <w:noProof/>
                <w:webHidden/>
                <w:sz w:val="22"/>
                <w:szCs w:val="22"/>
              </w:rPr>
              <w:fldChar w:fldCharType="end"/>
            </w:r>
          </w:hyperlink>
        </w:p>
        <w:p w14:paraId="29BF4E1F" w14:textId="703F9938" w:rsidR="002407E9" w:rsidRPr="002407E9" w:rsidRDefault="002407E9">
          <w:pPr>
            <w:pStyle w:val="Verzeichnis2"/>
            <w:rPr>
              <w:rFonts w:eastAsiaTheme="minorEastAsia"/>
              <w:noProof/>
              <w:kern w:val="2"/>
              <w:sz w:val="22"/>
              <w:szCs w:val="22"/>
              <w14:ligatures w14:val="standardContextual"/>
            </w:rPr>
          </w:pPr>
          <w:hyperlink w:anchor="_Toc239764948" w:history="1">
            <w:r w:rsidRPr="002407E9">
              <w:rPr>
                <w:rStyle w:val="Hyperlink"/>
                <w:iCs/>
                <w:noProof/>
                <w:sz w:val="22"/>
                <w:szCs w:val="22"/>
              </w:rPr>
              <w:t>8.4</w:t>
            </w:r>
            <w:r w:rsidRPr="002407E9">
              <w:rPr>
                <w:rFonts w:eastAsiaTheme="minorEastAsia"/>
                <w:noProof/>
                <w:kern w:val="2"/>
                <w:sz w:val="22"/>
                <w:szCs w:val="22"/>
                <w14:ligatures w14:val="standardContextual"/>
              </w:rPr>
              <w:tab/>
            </w:r>
            <w:r w:rsidRPr="002407E9">
              <w:rPr>
                <w:rStyle w:val="Hyperlink"/>
                <w:noProof/>
                <w:sz w:val="22"/>
                <w:szCs w:val="22"/>
              </w:rPr>
              <w:t>Abnahmelogik</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_Toc239764948 \h </w:instrText>
            </w:r>
            <w:r w:rsidRPr="002407E9">
              <w:rPr>
                <w:noProof/>
                <w:webHidden/>
                <w:sz w:val="22"/>
                <w:szCs w:val="22"/>
              </w:rPr>
            </w:r>
            <w:r w:rsidRPr="002407E9">
              <w:rPr>
                <w:noProof/>
                <w:webHidden/>
                <w:sz w:val="22"/>
                <w:szCs w:val="22"/>
              </w:rPr>
              <w:fldChar w:fldCharType="separate"/>
            </w:r>
            <w:r w:rsidR="00732C53">
              <w:rPr>
                <w:noProof/>
                <w:webHidden/>
                <w:sz w:val="22"/>
                <w:szCs w:val="22"/>
              </w:rPr>
              <w:t>33</w:t>
            </w:r>
            <w:r w:rsidRPr="002407E9">
              <w:rPr>
                <w:noProof/>
                <w:webHidden/>
                <w:sz w:val="22"/>
                <w:szCs w:val="22"/>
              </w:rPr>
              <w:fldChar w:fldCharType="end"/>
            </w:r>
          </w:hyperlink>
        </w:p>
        <w:p w14:paraId="2B24B5C8" w14:textId="5C5B3954" w:rsidR="002407E9" w:rsidRPr="002407E9" w:rsidRDefault="002407E9">
          <w:pPr>
            <w:pStyle w:val="Verzeichnis1"/>
            <w:rPr>
              <w:rFonts w:eastAsiaTheme="minorEastAsia"/>
              <w:noProof/>
              <w:kern w:val="2"/>
              <w:sz w:val="22"/>
              <w:szCs w:val="22"/>
              <w14:ligatures w14:val="standardContextual"/>
            </w:rPr>
          </w:pPr>
          <w:hyperlink w:anchor="_Toc239764949" w:history="1">
            <w:r w:rsidRPr="002407E9">
              <w:rPr>
                <w:rStyle w:val="Hyperlink"/>
                <w:noProof/>
                <w:sz w:val="22"/>
                <w:szCs w:val="22"/>
                <w:lang w:val="de-DE"/>
              </w:rPr>
              <w:t>9</w:t>
            </w:r>
            <w:r w:rsidRPr="002407E9">
              <w:rPr>
                <w:rFonts w:eastAsiaTheme="minorEastAsia"/>
                <w:noProof/>
                <w:kern w:val="2"/>
                <w:sz w:val="22"/>
                <w:szCs w:val="22"/>
                <w14:ligatures w14:val="standardContextual"/>
              </w:rPr>
              <w:tab/>
            </w:r>
            <w:r w:rsidRPr="002407E9">
              <w:rPr>
                <w:rStyle w:val="Hyperlink"/>
                <w:noProof/>
                <w:sz w:val="22"/>
                <w:szCs w:val="22"/>
                <w:lang w:val="de-DE"/>
              </w:rPr>
              <w:t>Ergebnisbild und Ergebnisse</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_Toc239764949 \h </w:instrText>
            </w:r>
            <w:r w:rsidRPr="002407E9">
              <w:rPr>
                <w:noProof/>
                <w:webHidden/>
                <w:sz w:val="22"/>
                <w:szCs w:val="22"/>
              </w:rPr>
            </w:r>
            <w:r w:rsidRPr="002407E9">
              <w:rPr>
                <w:noProof/>
                <w:webHidden/>
                <w:sz w:val="22"/>
                <w:szCs w:val="22"/>
              </w:rPr>
              <w:fldChar w:fldCharType="separate"/>
            </w:r>
            <w:r w:rsidR="00732C53">
              <w:rPr>
                <w:noProof/>
                <w:webHidden/>
                <w:sz w:val="22"/>
                <w:szCs w:val="22"/>
              </w:rPr>
              <w:t>34</w:t>
            </w:r>
            <w:r w:rsidRPr="002407E9">
              <w:rPr>
                <w:noProof/>
                <w:webHidden/>
                <w:sz w:val="22"/>
                <w:szCs w:val="22"/>
              </w:rPr>
              <w:fldChar w:fldCharType="end"/>
            </w:r>
          </w:hyperlink>
        </w:p>
        <w:p w14:paraId="3A5E8E2D" w14:textId="1F5EF234" w:rsidR="002407E9" w:rsidRPr="002407E9" w:rsidRDefault="002407E9">
          <w:pPr>
            <w:pStyle w:val="Verzeichnis2"/>
            <w:rPr>
              <w:rFonts w:eastAsiaTheme="minorEastAsia"/>
              <w:noProof/>
              <w:kern w:val="2"/>
              <w:sz w:val="22"/>
              <w:szCs w:val="22"/>
              <w14:ligatures w14:val="standardContextual"/>
            </w:rPr>
          </w:pPr>
          <w:hyperlink w:anchor="_Toc239764950" w:history="1">
            <w:r w:rsidRPr="002407E9">
              <w:rPr>
                <w:rStyle w:val="Hyperlink"/>
                <w:iCs/>
                <w:noProof/>
                <w:sz w:val="22"/>
                <w:szCs w:val="22"/>
              </w:rPr>
              <w:t>9.1</w:t>
            </w:r>
            <w:r w:rsidRPr="002407E9">
              <w:rPr>
                <w:rFonts w:eastAsiaTheme="minorEastAsia"/>
                <w:noProof/>
                <w:kern w:val="2"/>
                <w:sz w:val="22"/>
                <w:szCs w:val="22"/>
                <w14:ligatures w14:val="standardContextual"/>
              </w:rPr>
              <w:tab/>
            </w:r>
            <w:r w:rsidRPr="002407E9">
              <w:rPr>
                <w:rStyle w:val="Hyperlink"/>
                <w:noProof/>
                <w:sz w:val="22"/>
                <w:szCs w:val="22"/>
              </w:rPr>
              <w:t>Bauherren-Mandats- und Verantwortungsmodell</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_Toc239764950 \h </w:instrText>
            </w:r>
            <w:r w:rsidRPr="002407E9">
              <w:rPr>
                <w:noProof/>
                <w:webHidden/>
                <w:sz w:val="22"/>
                <w:szCs w:val="22"/>
              </w:rPr>
            </w:r>
            <w:r w:rsidRPr="002407E9">
              <w:rPr>
                <w:noProof/>
                <w:webHidden/>
                <w:sz w:val="22"/>
                <w:szCs w:val="22"/>
              </w:rPr>
              <w:fldChar w:fldCharType="separate"/>
            </w:r>
            <w:r w:rsidR="00732C53">
              <w:rPr>
                <w:noProof/>
                <w:webHidden/>
                <w:sz w:val="22"/>
                <w:szCs w:val="22"/>
              </w:rPr>
              <w:t>34</w:t>
            </w:r>
            <w:r w:rsidRPr="002407E9">
              <w:rPr>
                <w:noProof/>
                <w:webHidden/>
                <w:sz w:val="22"/>
                <w:szCs w:val="22"/>
              </w:rPr>
              <w:fldChar w:fldCharType="end"/>
            </w:r>
          </w:hyperlink>
        </w:p>
        <w:p w14:paraId="588129FD" w14:textId="48E05CFF" w:rsidR="002407E9" w:rsidRPr="002407E9" w:rsidRDefault="002407E9">
          <w:pPr>
            <w:pStyle w:val="Verzeichnis2"/>
            <w:rPr>
              <w:rFonts w:eastAsiaTheme="minorEastAsia"/>
              <w:noProof/>
              <w:kern w:val="2"/>
              <w:sz w:val="22"/>
              <w:szCs w:val="22"/>
              <w14:ligatures w14:val="standardContextual"/>
            </w:rPr>
          </w:pPr>
          <w:hyperlink w:anchor="_Toc239764951" w:history="1">
            <w:r w:rsidRPr="002407E9">
              <w:rPr>
                <w:rStyle w:val="Hyperlink"/>
                <w:iCs/>
                <w:noProof/>
                <w:sz w:val="22"/>
                <w:szCs w:val="22"/>
              </w:rPr>
              <w:t>9.2</w:t>
            </w:r>
            <w:r w:rsidRPr="002407E9">
              <w:rPr>
                <w:rFonts w:eastAsiaTheme="minorEastAsia"/>
                <w:noProof/>
                <w:kern w:val="2"/>
                <w:sz w:val="22"/>
                <w:szCs w:val="22"/>
                <w14:ligatures w14:val="standardContextual"/>
              </w:rPr>
              <w:tab/>
            </w:r>
            <w:r w:rsidRPr="002407E9">
              <w:rPr>
                <w:rStyle w:val="Hyperlink"/>
                <w:noProof/>
                <w:sz w:val="22"/>
                <w:szCs w:val="22"/>
              </w:rPr>
              <w:t>RACI-Prozess</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_Toc239764951 \h </w:instrText>
            </w:r>
            <w:r w:rsidRPr="002407E9">
              <w:rPr>
                <w:noProof/>
                <w:webHidden/>
                <w:sz w:val="22"/>
                <w:szCs w:val="22"/>
              </w:rPr>
            </w:r>
            <w:r w:rsidRPr="002407E9">
              <w:rPr>
                <w:noProof/>
                <w:webHidden/>
                <w:sz w:val="22"/>
                <w:szCs w:val="22"/>
              </w:rPr>
              <w:fldChar w:fldCharType="separate"/>
            </w:r>
            <w:r w:rsidR="00732C53">
              <w:rPr>
                <w:noProof/>
                <w:webHidden/>
                <w:sz w:val="22"/>
                <w:szCs w:val="22"/>
              </w:rPr>
              <w:t>34</w:t>
            </w:r>
            <w:r w:rsidRPr="002407E9">
              <w:rPr>
                <w:noProof/>
                <w:webHidden/>
                <w:sz w:val="22"/>
                <w:szCs w:val="22"/>
              </w:rPr>
              <w:fldChar w:fldCharType="end"/>
            </w:r>
          </w:hyperlink>
        </w:p>
        <w:p w14:paraId="6E34C059" w14:textId="0FCFD520" w:rsidR="002407E9" w:rsidRPr="002407E9" w:rsidRDefault="002407E9">
          <w:pPr>
            <w:pStyle w:val="Verzeichnis2"/>
            <w:rPr>
              <w:rFonts w:eastAsiaTheme="minorEastAsia"/>
              <w:noProof/>
              <w:kern w:val="2"/>
              <w:sz w:val="22"/>
              <w:szCs w:val="22"/>
              <w14:ligatures w14:val="standardContextual"/>
            </w:rPr>
          </w:pPr>
          <w:hyperlink w:anchor="_Toc239764952" w:history="1">
            <w:r w:rsidRPr="002407E9">
              <w:rPr>
                <w:rStyle w:val="Hyperlink"/>
                <w:iCs/>
                <w:noProof/>
                <w:sz w:val="22"/>
                <w:szCs w:val="22"/>
              </w:rPr>
              <w:t>9.3</w:t>
            </w:r>
            <w:r w:rsidRPr="002407E9">
              <w:rPr>
                <w:rFonts w:eastAsiaTheme="minorEastAsia"/>
                <w:noProof/>
                <w:kern w:val="2"/>
                <w:sz w:val="22"/>
                <w:szCs w:val="22"/>
                <w14:ligatures w14:val="standardContextual"/>
              </w:rPr>
              <w:tab/>
            </w:r>
            <w:r w:rsidRPr="002407E9">
              <w:rPr>
                <w:rStyle w:val="Hyperlink"/>
                <w:noProof/>
                <w:sz w:val="22"/>
                <w:szCs w:val="22"/>
              </w:rPr>
              <w:t>Leistungsphasen- und Freigabemodell LPH 0–9</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_Toc239764952 \h </w:instrText>
            </w:r>
            <w:r w:rsidRPr="002407E9">
              <w:rPr>
                <w:noProof/>
                <w:webHidden/>
                <w:sz w:val="22"/>
                <w:szCs w:val="22"/>
              </w:rPr>
            </w:r>
            <w:r w:rsidRPr="002407E9">
              <w:rPr>
                <w:noProof/>
                <w:webHidden/>
                <w:sz w:val="22"/>
                <w:szCs w:val="22"/>
              </w:rPr>
              <w:fldChar w:fldCharType="separate"/>
            </w:r>
            <w:r w:rsidR="00732C53">
              <w:rPr>
                <w:noProof/>
                <w:webHidden/>
                <w:sz w:val="22"/>
                <w:szCs w:val="22"/>
              </w:rPr>
              <w:t>35</w:t>
            </w:r>
            <w:r w:rsidRPr="002407E9">
              <w:rPr>
                <w:noProof/>
                <w:webHidden/>
                <w:sz w:val="22"/>
                <w:szCs w:val="22"/>
              </w:rPr>
              <w:fldChar w:fldCharType="end"/>
            </w:r>
          </w:hyperlink>
        </w:p>
        <w:p w14:paraId="78C416AE" w14:textId="51E85242" w:rsidR="002407E9" w:rsidRPr="002407E9" w:rsidRDefault="002407E9">
          <w:pPr>
            <w:pStyle w:val="Verzeichnis2"/>
            <w:rPr>
              <w:rFonts w:eastAsiaTheme="minorEastAsia"/>
              <w:noProof/>
              <w:kern w:val="2"/>
              <w:sz w:val="22"/>
              <w:szCs w:val="22"/>
              <w14:ligatures w14:val="standardContextual"/>
            </w:rPr>
          </w:pPr>
          <w:hyperlink w:anchor="_Toc239764953" w:history="1">
            <w:r w:rsidRPr="002407E9">
              <w:rPr>
                <w:rStyle w:val="Hyperlink"/>
                <w:iCs/>
                <w:noProof/>
                <w:sz w:val="22"/>
                <w:szCs w:val="22"/>
              </w:rPr>
              <w:t>9.4</w:t>
            </w:r>
            <w:r w:rsidRPr="002407E9">
              <w:rPr>
                <w:rFonts w:eastAsiaTheme="minorEastAsia"/>
                <w:noProof/>
                <w:kern w:val="2"/>
                <w:sz w:val="22"/>
                <w:szCs w:val="22"/>
                <w14:ligatures w14:val="standardContextual"/>
              </w:rPr>
              <w:tab/>
            </w:r>
            <w:r w:rsidRPr="002407E9">
              <w:rPr>
                <w:rStyle w:val="Hyperlink"/>
                <w:noProof/>
                <w:sz w:val="22"/>
                <w:szCs w:val="22"/>
              </w:rPr>
              <w:t>Standard für Entscheidungsvorlagen als Nachweislogik</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_Toc239764953 \h </w:instrText>
            </w:r>
            <w:r w:rsidRPr="002407E9">
              <w:rPr>
                <w:noProof/>
                <w:webHidden/>
                <w:sz w:val="22"/>
                <w:szCs w:val="22"/>
              </w:rPr>
            </w:r>
            <w:r w:rsidRPr="002407E9">
              <w:rPr>
                <w:noProof/>
                <w:webHidden/>
                <w:sz w:val="22"/>
                <w:szCs w:val="22"/>
              </w:rPr>
              <w:fldChar w:fldCharType="separate"/>
            </w:r>
            <w:r w:rsidR="00732C53">
              <w:rPr>
                <w:noProof/>
                <w:webHidden/>
                <w:sz w:val="22"/>
                <w:szCs w:val="22"/>
              </w:rPr>
              <w:t>36</w:t>
            </w:r>
            <w:r w:rsidRPr="002407E9">
              <w:rPr>
                <w:noProof/>
                <w:webHidden/>
                <w:sz w:val="22"/>
                <w:szCs w:val="22"/>
              </w:rPr>
              <w:fldChar w:fldCharType="end"/>
            </w:r>
          </w:hyperlink>
        </w:p>
        <w:p w14:paraId="15A71743" w14:textId="569435E5" w:rsidR="002407E9" w:rsidRPr="002407E9" w:rsidRDefault="002407E9">
          <w:pPr>
            <w:pStyle w:val="Verzeichnis2"/>
            <w:rPr>
              <w:rFonts w:eastAsiaTheme="minorEastAsia"/>
              <w:noProof/>
              <w:kern w:val="2"/>
              <w:sz w:val="22"/>
              <w:szCs w:val="22"/>
              <w14:ligatures w14:val="standardContextual"/>
            </w:rPr>
          </w:pPr>
          <w:hyperlink w:anchor="_Toc239764954" w:history="1">
            <w:r w:rsidRPr="002407E9">
              <w:rPr>
                <w:rStyle w:val="Hyperlink"/>
                <w:iCs/>
                <w:noProof/>
                <w:sz w:val="22"/>
                <w:szCs w:val="22"/>
              </w:rPr>
              <w:t>9.5</w:t>
            </w:r>
            <w:r w:rsidRPr="002407E9">
              <w:rPr>
                <w:rFonts w:eastAsiaTheme="minorEastAsia"/>
                <w:noProof/>
                <w:kern w:val="2"/>
                <w:sz w:val="22"/>
                <w:szCs w:val="22"/>
                <w14:ligatures w14:val="standardContextual"/>
              </w:rPr>
              <w:tab/>
            </w:r>
            <w:r w:rsidRPr="002407E9">
              <w:rPr>
                <w:rStyle w:val="Hyperlink"/>
                <w:noProof/>
                <w:sz w:val="22"/>
                <w:szCs w:val="22"/>
              </w:rPr>
              <w:t>Betriebshandbuch</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_Toc239764954 \h </w:instrText>
            </w:r>
            <w:r w:rsidRPr="002407E9">
              <w:rPr>
                <w:noProof/>
                <w:webHidden/>
                <w:sz w:val="22"/>
                <w:szCs w:val="22"/>
              </w:rPr>
            </w:r>
            <w:r w:rsidRPr="002407E9">
              <w:rPr>
                <w:noProof/>
                <w:webHidden/>
                <w:sz w:val="22"/>
                <w:szCs w:val="22"/>
              </w:rPr>
              <w:fldChar w:fldCharType="separate"/>
            </w:r>
            <w:r w:rsidR="00732C53">
              <w:rPr>
                <w:noProof/>
                <w:webHidden/>
                <w:sz w:val="22"/>
                <w:szCs w:val="22"/>
              </w:rPr>
              <w:t>36</w:t>
            </w:r>
            <w:r w:rsidRPr="002407E9">
              <w:rPr>
                <w:noProof/>
                <w:webHidden/>
                <w:sz w:val="22"/>
                <w:szCs w:val="22"/>
              </w:rPr>
              <w:fldChar w:fldCharType="end"/>
            </w:r>
          </w:hyperlink>
        </w:p>
        <w:p w14:paraId="4634172B" w14:textId="6EC60168" w:rsidR="002407E9" w:rsidRPr="002407E9" w:rsidRDefault="002407E9">
          <w:pPr>
            <w:pStyle w:val="Verzeichnis1"/>
            <w:rPr>
              <w:rFonts w:eastAsiaTheme="minorEastAsia"/>
              <w:noProof/>
              <w:kern w:val="2"/>
              <w:sz w:val="22"/>
              <w:szCs w:val="22"/>
              <w14:ligatures w14:val="standardContextual"/>
            </w:rPr>
          </w:pPr>
          <w:hyperlink w:anchor="_Toc239764955" w:history="1">
            <w:r w:rsidRPr="002407E9">
              <w:rPr>
                <w:rStyle w:val="Hyperlink"/>
                <w:noProof/>
                <w:sz w:val="22"/>
                <w:szCs w:val="22"/>
                <w:lang w:val="de-DE"/>
              </w:rPr>
              <w:t>10</w:t>
            </w:r>
            <w:r w:rsidRPr="002407E9">
              <w:rPr>
                <w:rFonts w:eastAsiaTheme="minorEastAsia"/>
                <w:noProof/>
                <w:kern w:val="2"/>
                <w:sz w:val="22"/>
                <w:szCs w:val="22"/>
                <w14:ligatures w14:val="standardContextual"/>
              </w:rPr>
              <w:tab/>
            </w:r>
            <w:r w:rsidRPr="002407E9">
              <w:rPr>
                <w:rStyle w:val="Hyperlink"/>
                <w:noProof/>
                <w:sz w:val="22"/>
                <w:szCs w:val="22"/>
                <w:lang w:val="de-DE"/>
              </w:rPr>
              <w:t>Anwendungssituationen und Praxislogik</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_Toc239764955 \h </w:instrText>
            </w:r>
            <w:r w:rsidRPr="002407E9">
              <w:rPr>
                <w:noProof/>
                <w:webHidden/>
                <w:sz w:val="22"/>
                <w:szCs w:val="22"/>
              </w:rPr>
            </w:r>
            <w:r w:rsidRPr="002407E9">
              <w:rPr>
                <w:noProof/>
                <w:webHidden/>
                <w:sz w:val="22"/>
                <w:szCs w:val="22"/>
              </w:rPr>
              <w:fldChar w:fldCharType="separate"/>
            </w:r>
            <w:r w:rsidR="00732C53">
              <w:rPr>
                <w:noProof/>
                <w:webHidden/>
                <w:sz w:val="22"/>
                <w:szCs w:val="22"/>
              </w:rPr>
              <w:t>37</w:t>
            </w:r>
            <w:r w:rsidRPr="002407E9">
              <w:rPr>
                <w:noProof/>
                <w:webHidden/>
                <w:sz w:val="22"/>
                <w:szCs w:val="22"/>
              </w:rPr>
              <w:fldChar w:fldCharType="end"/>
            </w:r>
          </w:hyperlink>
        </w:p>
        <w:p w14:paraId="57699E71" w14:textId="1A7918C7" w:rsidR="002407E9" w:rsidRPr="002407E9" w:rsidRDefault="002407E9">
          <w:pPr>
            <w:pStyle w:val="Verzeichnis2"/>
            <w:rPr>
              <w:rFonts w:eastAsiaTheme="minorEastAsia"/>
              <w:noProof/>
              <w:kern w:val="2"/>
              <w:sz w:val="22"/>
              <w:szCs w:val="22"/>
              <w14:ligatures w14:val="standardContextual"/>
            </w:rPr>
          </w:pPr>
          <w:hyperlink w:anchor="_Toc239764956" w:history="1">
            <w:r w:rsidRPr="002407E9">
              <w:rPr>
                <w:rStyle w:val="Hyperlink"/>
                <w:iCs/>
                <w:noProof/>
                <w:sz w:val="22"/>
                <w:szCs w:val="22"/>
              </w:rPr>
              <w:t>10.1</w:t>
            </w:r>
            <w:r w:rsidRPr="002407E9">
              <w:rPr>
                <w:rFonts w:eastAsiaTheme="minorEastAsia"/>
                <w:noProof/>
                <w:kern w:val="2"/>
                <w:sz w:val="22"/>
                <w:szCs w:val="22"/>
                <w14:ligatures w14:val="standardContextual"/>
              </w:rPr>
              <w:tab/>
            </w:r>
            <w:r w:rsidRPr="002407E9">
              <w:rPr>
                <w:rStyle w:val="Hyperlink"/>
                <w:noProof/>
                <w:sz w:val="22"/>
                <w:szCs w:val="22"/>
              </w:rPr>
              <w:t>Öffentliche Bauherren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_Toc239764956 \h </w:instrText>
            </w:r>
            <w:r w:rsidRPr="002407E9">
              <w:rPr>
                <w:noProof/>
                <w:webHidden/>
                <w:sz w:val="22"/>
                <w:szCs w:val="22"/>
              </w:rPr>
            </w:r>
            <w:r w:rsidRPr="002407E9">
              <w:rPr>
                <w:noProof/>
                <w:webHidden/>
                <w:sz w:val="22"/>
                <w:szCs w:val="22"/>
              </w:rPr>
              <w:fldChar w:fldCharType="separate"/>
            </w:r>
            <w:r w:rsidR="00732C53">
              <w:rPr>
                <w:noProof/>
                <w:webHidden/>
                <w:sz w:val="22"/>
                <w:szCs w:val="22"/>
              </w:rPr>
              <w:t>37</w:t>
            </w:r>
            <w:r w:rsidRPr="002407E9">
              <w:rPr>
                <w:noProof/>
                <w:webHidden/>
                <w:sz w:val="22"/>
                <w:szCs w:val="22"/>
              </w:rPr>
              <w:fldChar w:fldCharType="end"/>
            </w:r>
          </w:hyperlink>
        </w:p>
        <w:p w14:paraId="09F03C61" w14:textId="606BA8A5" w:rsidR="002407E9" w:rsidRPr="002407E9" w:rsidRDefault="002407E9">
          <w:pPr>
            <w:pStyle w:val="Verzeichnis2"/>
            <w:rPr>
              <w:rFonts w:eastAsiaTheme="minorEastAsia"/>
              <w:noProof/>
              <w:kern w:val="2"/>
              <w:sz w:val="22"/>
              <w:szCs w:val="22"/>
              <w14:ligatures w14:val="standardContextual"/>
            </w:rPr>
          </w:pPr>
          <w:hyperlink w:anchor="_Toc239764957" w:history="1">
            <w:r w:rsidRPr="002407E9">
              <w:rPr>
                <w:rStyle w:val="Hyperlink"/>
                <w:iCs/>
                <w:noProof/>
                <w:sz w:val="22"/>
                <w:szCs w:val="22"/>
              </w:rPr>
              <w:t>10.2</w:t>
            </w:r>
            <w:r w:rsidRPr="002407E9">
              <w:rPr>
                <w:rFonts w:eastAsiaTheme="minorEastAsia"/>
                <w:noProof/>
                <w:kern w:val="2"/>
                <w:sz w:val="22"/>
                <w:szCs w:val="22"/>
                <w14:ligatures w14:val="standardContextual"/>
              </w:rPr>
              <w:tab/>
            </w:r>
            <w:r w:rsidRPr="002407E9">
              <w:rPr>
                <w:rStyle w:val="Hyperlink"/>
                <w:noProof/>
                <w:sz w:val="22"/>
                <w:szCs w:val="22"/>
              </w:rPr>
              <w:t>Private und institutionelle Bauherren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_Toc239764957 \h </w:instrText>
            </w:r>
            <w:r w:rsidRPr="002407E9">
              <w:rPr>
                <w:noProof/>
                <w:webHidden/>
                <w:sz w:val="22"/>
                <w:szCs w:val="22"/>
              </w:rPr>
            </w:r>
            <w:r w:rsidRPr="002407E9">
              <w:rPr>
                <w:noProof/>
                <w:webHidden/>
                <w:sz w:val="22"/>
                <w:szCs w:val="22"/>
              </w:rPr>
              <w:fldChar w:fldCharType="separate"/>
            </w:r>
            <w:r w:rsidR="00732C53">
              <w:rPr>
                <w:noProof/>
                <w:webHidden/>
                <w:sz w:val="22"/>
                <w:szCs w:val="22"/>
              </w:rPr>
              <w:t>38</w:t>
            </w:r>
            <w:r w:rsidRPr="002407E9">
              <w:rPr>
                <w:noProof/>
                <w:webHidden/>
                <w:sz w:val="22"/>
                <w:szCs w:val="22"/>
              </w:rPr>
              <w:fldChar w:fldCharType="end"/>
            </w:r>
          </w:hyperlink>
        </w:p>
        <w:p w14:paraId="60491B38" w14:textId="1306FB45" w:rsidR="002407E9" w:rsidRPr="002407E9" w:rsidRDefault="002407E9">
          <w:pPr>
            <w:pStyle w:val="Verzeichnis2"/>
            <w:rPr>
              <w:rFonts w:eastAsiaTheme="minorEastAsia"/>
              <w:noProof/>
              <w:kern w:val="2"/>
              <w:sz w:val="22"/>
              <w:szCs w:val="22"/>
              <w14:ligatures w14:val="standardContextual"/>
            </w:rPr>
          </w:pPr>
          <w:hyperlink w:anchor="_Toc239764958" w:history="1">
            <w:r w:rsidRPr="002407E9">
              <w:rPr>
                <w:rStyle w:val="Hyperlink"/>
                <w:iCs/>
                <w:noProof/>
                <w:sz w:val="22"/>
                <w:szCs w:val="22"/>
              </w:rPr>
              <w:t>10.3</w:t>
            </w:r>
            <w:r w:rsidRPr="002407E9">
              <w:rPr>
                <w:rFonts w:eastAsiaTheme="minorEastAsia"/>
                <w:noProof/>
                <w:kern w:val="2"/>
                <w:sz w:val="22"/>
                <w:szCs w:val="22"/>
                <w14:ligatures w14:val="standardContextual"/>
              </w:rPr>
              <w:tab/>
            </w:r>
            <w:r w:rsidRPr="002407E9">
              <w:rPr>
                <w:rStyle w:val="Hyperlink"/>
                <w:noProof/>
                <w:sz w:val="22"/>
                <w:szCs w:val="22"/>
              </w:rPr>
              <w:t>Energieversorger und Infrastrukturträger</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_Toc239764958 \h </w:instrText>
            </w:r>
            <w:r w:rsidRPr="002407E9">
              <w:rPr>
                <w:noProof/>
                <w:webHidden/>
                <w:sz w:val="22"/>
                <w:szCs w:val="22"/>
              </w:rPr>
            </w:r>
            <w:r w:rsidRPr="002407E9">
              <w:rPr>
                <w:noProof/>
                <w:webHidden/>
                <w:sz w:val="22"/>
                <w:szCs w:val="22"/>
              </w:rPr>
              <w:fldChar w:fldCharType="separate"/>
            </w:r>
            <w:r w:rsidR="00732C53">
              <w:rPr>
                <w:noProof/>
                <w:webHidden/>
                <w:sz w:val="22"/>
                <w:szCs w:val="22"/>
              </w:rPr>
              <w:t>38</w:t>
            </w:r>
            <w:r w:rsidRPr="002407E9">
              <w:rPr>
                <w:noProof/>
                <w:webHidden/>
                <w:sz w:val="22"/>
                <w:szCs w:val="22"/>
              </w:rPr>
              <w:fldChar w:fldCharType="end"/>
            </w:r>
          </w:hyperlink>
        </w:p>
        <w:p w14:paraId="6FA62635" w14:textId="3E38D377" w:rsidR="002407E9" w:rsidRPr="002407E9" w:rsidRDefault="002407E9">
          <w:pPr>
            <w:pStyle w:val="Verzeichnis2"/>
            <w:rPr>
              <w:rFonts w:eastAsiaTheme="minorEastAsia"/>
              <w:noProof/>
              <w:kern w:val="2"/>
              <w:sz w:val="22"/>
              <w:szCs w:val="22"/>
              <w14:ligatures w14:val="standardContextual"/>
            </w:rPr>
          </w:pPr>
          <w:hyperlink w:anchor="_Toc239764959" w:history="1">
            <w:r w:rsidRPr="002407E9">
              <w:rPr>
                <w:rStyle w:val="Hyperlink"/>
                <w:iCs/>
                <w:noProof/>
                <w:sz w:val="22"/>
                <w:szCs w:val="22"/>
              </w:rPr>
              <w:t>10.4</w:t>
            </w:r>
            <w:r w:rsidRPr="002407E9">
              <w:rPr>
                <w:rFonts w:eastAsiaTheme="minorEastAsia"/>
                <w:noProof/>
                <w:kern w:val="2"/>
                <w:sz w:val="22"/>
                <w:szCs w:val="22"/>
                <w14:ligatures w14:val="standardContextual"/>
              </w:rPr>
              <w:tab/>
            </w:r>
            <w:r w:rsidRPr="002407E9">
              <w:rPr>
                <w:rStyle w:val="Hyperlink"/>
                <w:noProof/>
                <w:sz w:val="22"/>
                <w:szCs w:val="22"/>
              </w:rPr>
              <w:t>Projekte mit schleichendem Steuerungsverlust und MVG-Neuinitialisierung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_Toc239764959 \h </w:instrText>
            </w:r>
            <w:r w:rsidRPr="002407E9">
              <w:rPr>
                <w:noProof/>
                <w:webHidden/>
                <w:sz w:val="22"/>
                <w:szCs w:val="22"/>
              </w:rPr>
            </w:r>
            <w:r w:rsidRPr="002407E9">
              <w:rPr>
                <w:noProof/>
                <w:webHidden/>
                <w:sz w:val="22"/>
                <w:szCs w:val="22"/>
              </w:rPr>
              <w:fldChar w:fldCharType="separate"/>
            </w:r>
            <w:r w:rsidR="00732C53">
              <w:rPr>
                <w:noProof/>
                <w:webHidden/>
                <w:sz w:val="22"/>
                <w:szCs w:val="22"/>
              </w:rPr>
              <w:t>38</w:t>
            </w:r>
            <w:r w:rsidRPr="002407E9">
              <w:rPr>
                <w:noProof/>
                <w:webHidden/>
                <w:sz w:val="22"/>
                <w:szCs w:val="22"/>
              </w:rPr>
              <w:fldChar w:fldCharType="end"/>
            </w:r>
          </w:hyperlink>
        </w:p>
        <w:p w14:paraId="5414AA8D" w14:textId="3EA22191" w:rsidR="002407E9" w:rsidRPr="002407E9" w:rsidRDefault="002407E9">
          <w:pPr>
            <w:pStyle w:val="Verzeichnis2"/>
            <w:rPr>
              <w:rFonts w:eastAsiaTheme="minorEastAsia"/>
              <w:noProof/>
              <w:kern w:val="2"/>
              <w:sz w:val="22"/>
              <w:szCs w:val="22"/>
              <w14:ligatures w14:val="standardContextual"/>
            </w:rPr>
          </w:pPr>
          <w:hyperlink w:anchor="_Toc239764960" w:history="1">
            <w:r w:rsidRPr="002407E9">
              <w:rPr>
                <w:rStyle w:val="Hyperlink"/>
                <w:iCs/>
                <w:noProof/>
                <w:sz w:val="22"/>
                <w:szCs w:val="22"/>
              </w:rPr>
              <w:t>10.5</w:t>
            </w:r>
            <w:r w:rsidRPr="002407E9">
              <w:rPr>
                <w:rFonts w:eastAsiaTheme="minorEastAsia"/>
                <w:noProof/>
                <w:kern w:val="2"/>
                <w:sz w:val="22"/>
                <w:szCs w:val="22"/>
                <w14:ligatures w14:val="standardContextual"/>
              </w:rPr>
              <w:tab/>
            </w:r>
            <w:r w:rsidRPr="002407E9">
              <w:rPr>
                <w:rStyle w:val="Hyperlink"/>
                <w:noProof/>
                <w:sz w:val="22"/>
                <w:szCs w:val="22"/>
              </w:rPr>
              <w:t>Typische Entscheidungsprobleme</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_Toc239764960 \h </w:instrText>
            </w:r>
            <w:r w:rsidRPr="002407E9">
              <w:rPr>
                <w:noProof/>
                <w:webHidden/>
                <w:sz w:val="22"/>
                <w:szCs w:val="22"/>
              </w:rPr>
            </w:r>
            <w:r w:rsidRPr="002407E9">
              <w:rPr>
                <w:noProof/>
                <w:webHidden/>
                <w:sz w:val="22"/>
                <w:szCs w:val="22"/>
              </w:rPr>
              <w:fldChar w:fldCharType="separate"/>
            </w:r>
            <w:r w:rsidR="00732C53">
              <w:rPr>
                <w:noProof/>
                <w:webHidden/>
                <w:sz w:val="22"/>
                <w:szCs w:val="22"/>
              </w:rPr>
              <w:t>38</w:t>
            </w:r>
            <w:r w:rsidRPr="002407E9">
              <w:rPr>
                <w:noProof/>
                <w:webHidden/>
                <w:sz w:val="22"/>
                <w:szCs w:val="22"/>
              </w:rPr>
              <w:fldChar w:fldCharType="end"/>
            </w:r>
          </w:hyperlink>
        </w:p>
        <w:p w14:paraId="37DFC142" w14:textId="14298AF8" w:rsidR="002407E9" w:rsidRPr="002407E9" w:rsidRDefault="002407E9">
          <w:pPr>
            <w:pStyle w:val="Verzeichnis1"/>
            <w:rPr>
              <w:rFonts w:eastAsiaTheme="minorEastAsia"/>
              <w:noProof/>
              <w:kern w:val="2"/>
              <w:sz w:val="22"/>
              <w:szCs w:val="22"/>
              <w14:ligatures w14:val="standardContextual"/>
            </w:rPr>
          </w:pPr>
          <w:hyperlink w:anchor="_Toc239764961" w:history="1">
            <w:r w:rsidRPr="002407E9">
              <w:rPr>
                <w:rStyle w:val="Hyperlink"/>
                <w:noProof/>
                <w:sz w:val="22"/>
                <w:szCs w:val="22"/>
                <w:lang w:val="de-DE"/>
              </w:rPr>
              <w:t>11</w:t>
            </w:r>
            <w:r w:rsidRPr="002407E9">
              <w:rPr>
                <w:rFonts w:eastAsiaTheme="minorEastAsia"/>
                <w:noProof/>
                <w:kern w:val="2"/>
                <w:sz w:val="22"/>
                <w:szCs w:val="22"/>
                <w14:ligatures w14:val="standardContextual"/>
              </w:rPr>
              <w:tab/>
            </w:r>
            <w:r w:rsidRPr="002407E9">
              <w:rPr>
                <w:rStyle w:val="Hyperlink"/>
                <w:noProof/>
                <w:sz w:val="22"/>
                <w:szCs w:val="22"/>
                <w:lang w:val="de-DE"/>
              </w:rPr>
              <w:t>MVG-Neuinitialisierung als Vertiefungsformat</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_Toc239764961 \h </w:instrText>
            </w:r>
            <w:r w:rsidRPr="002407E9">
              <w:rPr>
                <w:noProof/>
                <w:webHidden/>
                <w:sz w:val="22"/>
                <w:szCs w:val="22"/>
              </w:rPr>
            </w:r>
            <w:r w:rsidRPr="002407E9">
              <w:rPr>
                <w:noProof/>
                <w:webHidden/>
                <w:sz w:val="22"/>
                <w:szCs w:val="22"/>
              </w:rPr>
              <w:fldChar w:fldCharType="separate"/>
            </w:r>
            <w:r w:rsidR="00732C53">
              <w:rPr>
                <w:noProof/>
                <w:webHidden/>
                <w:sz w:val="22"/>
                <w:szCs w:val="22"/>
              </w:rPr>
              <w:t>39</w:t>
            </w:r>
            <w:r w:rsidRPr="002407E9">
              <w:rPr>
                <w:noProof/>
                <w:webHidden/>
                <w:sz w:val="22"/>
                <w:szCs w:val="22"/>
              </w:rPr>
              <w:fldChar w:fldCharType="end"/>
            </w:r>
          </w:hyperlink>
        </w:p>
        <w:p w14:paraId="1E05D93F" w14:textId="59900A12" w:rsidR="002407E9" w:rsidRPr="002407E9" w:rsidRDefault="002407E9">
          <w:pPr>
            <w:pStyle w:val="Verzeichnis2"/>
            <w:rPr>
              <w:rFonts w:eastAsiaTheme="minorEastAsia"/>
              <w:noProof/>
              <w:kern w:val="2"/>
              <w:sz w:val="22"/>
              <w:szCs w:val="22"/>
              <w14:ligatures w14:val="standardContextual"/>
            </w:rPr>
          </w:pPr>
          <w:hyperlink w:anchor="_Toc239764962" w:history="1">
            <w:r w:rsidRPr="002407E9">
              <w:rPr>
                <w:rStyle w:val="Hyperlink"/>
                <w:iCs/>
                <w:noProof/>
                <w:sz w:val="22"/>
                <w:szCs w:val="22"/>
              </w:rPr>
              <w:t>11.1</w:t>
            </w:r>
            <w:r w:rsidRPr="002407E9">
              <w:rPr>
                <w:rFonts w:eastAsiaTheme="minorEastAsia"/>
                <w:noProof/>
                <w:kern w:val="2"/>
                <w:sz w:val="22"/>
                <w:szCs w:val="22"/>
                <w14:ligatures w14:val="standardContextual"/>
              </w:rPr>
              <w:tab/>
            </w:r>
            <w:r w:rsidRPr="002407E9">
              <w:rPr>
                <w:rStyle w:val="Hyperlink"/>
                <w:noProof/>
                <w:sz w:val="22"/>
                <w:szCs w:val="22"/>
              </w:rPr>
              <w:t>Wann eine MVG-Neuinitialisierung erforderlich wird</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_Toc239764962 \h </w:instrText>
            </w:r>
            <w:r w:rsidRPr="002407E9">
              <w:rPr>
                <w:noProof/>
                <w:webHidden/>
                <w:sz w:val="22"/>
                <w:szCs w:val="22"/>
              </w:rPr>
            </w:r>
            <w:r w:rsidRPr="002407E9">
              <w:rPr>
                <w:noProof/>
                <w:webHidden/>
                <w:sz w:val="22"/>
                <w:szCs w:val="22"/>
              </w:rPr>
              <w:fldChar w:fldCharType="separate"/>
            </w:r>
            <w:r w:rsidR="00732C53">
              <w:rPr>
                <w:noProof/>
                <w:webHidden/>
                <w:sz w:val="22"/>
                <w:szCs w:val="22"/>
              </w:rPr>
              <w:t>39</w:t>
            </w:r>
            <w:r w:rsidRPr="002407E9">
              <w:rPr>
                <w:noProof/>
                <w:webHidden/>
                <w:sz w:val="22"/>
                <w:szCs w:val="22"/>
              </w:rPr>
              <w:fldChar w:fldCharType="end"/>
            </w:r>
          </w:hyperlink>
        </w:p>
        <w:p w14:paraId="616BF850" w14:textId="5FDA7BB3" w:rsidR="002407E9" w:rsidRPr="002407E9" w:rsidRDefault="002407E9">
          <w:pPr>
            <w:pStyle w:val="Verzeichnis2"/>
            <w:rPr>
              <w:rFonts w:eastAsiaTheme="minorEastAsia"/>
              <w:noProof/>
              <w:kern w:val="2"/>
              <w:sz w:val="22"/>
              <w:szCs w:val="22"/>
              <w14:ligatures w14:val="standardContextual"/>
            </w:rPr>
          </w:pPr>
          <w:hyperlink w:anchor="_Toc239764963" w:history="1">
            <w:r w:rsidRPr="002407E9">
              <w:rPr>
                <w:rStyle w:val="Hyperlink"/>
                <w:iCs/>
                <w:noProof/>
                <w:sz w:val="22"/>
                <w:szCs w:val="22"/>
              </w:rPr>
              <w:t>11.2</w:t>
            </w:r>
            <w:r w:rsidRPr="002407E9">
              <w:rPr>
                <w:rFonts w:eastAsiaTheme="minorEastAsia"/>
                <w:noProof/>
                <w:kern w:val="2"/>
                <w:sz w:val="22"/>
                <w:szCs w:val="22"/>
                <w14:ligatures w14:val="standardContextual"/>
              </w:rPr>
              <w:tab/>
            </w:r>
            <w:r w:rsidRPr="002407E9">
              <w:rPr>
                <w:rStyle w:val="Hyperlink"/>
                <w:noProof/>
                <w:sz w:val="22"/>
                <w:szCs w:val="22"/>
              </w:rPr>
              <w:t>Was bei der MVG-Neuinitialisierung neu geordnet wird</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_Toc239764963 \h </w:instrText>
            </w:r>
            <w:r w:rsidRPr="002407E9">
              <w:rPr>
                <w:noProof/>
                <w:webHidden/>
                <w:sz w:val="22"/>
                <w:szCs w:val="22"/>
              </w:rPr>
            </w:r>
            <w:r w:rsidRPr="002407E9">
              <w:rPr>
                <w:noProof/>
                <w:webHidden/>
                <w:sz w:val="22"/>
                <w:szCs w:val="22"/>
              </w:rPr>
              <w:fldChar w:fldCharType="separate"/>
            </w:r>
            <w:r w:rsidR="00732C53">
              <w:rPr>
                <w:noProof/>
                <w:webHidden/>
                <w:sz w:val="22"/>
                <w:szCs w:val="22"/>
              </w:rPr>
              <w:t>39</w:t>
            </w:r>
            <w:r w:rsidRPr="002407E9">
              <w:rPr>
                <w:noProof/>
                <w:webHidden/>
                <w:sz w:val="22"/>
                <w:szCs w:val="22"/>
              </w:rPr>
              <w:fldChar w:fldCharType="end"/>
            </w:r>
          </w:hyperlink>
        </w:p>
        <w:p w14:paraId="0621F845" w14:textId="329B4CC0" w:rsidR="002407E9" w:rsidRPr="002407E9" w:rsidRDefault="002407E9">
          <w:pPr>
            <w:pStyle w:val="Verzeichnis2"/>
            <w:rPr>
              <w:rFonts w:eastAsiaTheme="minorEastAsia"/>
              <w:noProof/>
              <w:kern w:val="2"/>
              <w:sz w:val="22"/>
              <w:szCs w:val="22"/>
              <w14:ligatures w14:val="standardContextual"/>
            </w:rPr>
          </w:pPr>
          <w:hyperlink w:anchor="_Toc239764964" w:history="1">
            <w:r w:rsidRPr="002407E9">
              <w:rPr>
                <w:rStyle w:val="Hyperlink"/>
                <w:iCs/>
                <w:noProof/>
                <w:sz w:val="22"/>
                <w:szCs w:val="22"/>
              </w:rPr>
              <w:t>11.3</w:t>
            </w:r>
            <w:r w:rsidRPr="002407E9">
              <w:rPr>
                <w:rFonts w:eastAsiaTheme="minorEastAsia"/>
                <w:noProof/>
                <w:kern w:val="2"/>
                <w:sz w:val="22"/>
                <w:szCs w:val="22"/>
                <w14:ligatures w14:val="standardContextual"/>
              </w:rPr>
              <w:tab/>
            </w:r>
            <w:r w:rsidRPr="002407E9">
              <w:rPr>
                <w:rStyle w:val="Hyperlink"/>
                <w:noProof/>
                <w:sz w:val="22"/>
                <w:szCs w:val="22"/>
              </w:rPr>
              <w:t>Ergebnisbild einer MVG-Neuinitialisierung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_Toc239764964 \h </w:instrText>
            </w:r>
            <w:r w:rsidRPr="002407E9">
              <w:rPr>
                <w:noProof/>
                <w:webHidden/>
                <w:sz w:val="22"/>
                <w:szCs w:val="22"/>
              </w:rPr>
            </w:r>
            <w:r w:rsidRPr="002407E9">
              <w:rPr>
                <w:noProof/>
                <w:webHidden/>
                <w:sz w:val="22"/>
                <w:szCs w:val="22"/>
              </w:rPr>
              <w:fldChar w:fldCharType="separate"/>
            </w:r>
            <w:r w:rsidR="00732C53">
              <w:rPr>
                <w:noProof/>
                <w:webHidden/>
                <w:sz w:val="22"/>
                <w:szCs w:val="22"/>
              </w:rPr>
              <w:t>40</w:t>
            </w:r>
            <w:r w:rsidRPr="002407E9">
              <w:rPr>
                <w:noProof/>
                <w:webHidden/>
                <w:sz w:val="22"/>
                <w:szCs w:val="22"/>
              </w:rPr>
              <w:fldChar w:fldCharType="end"/>
            </w:r>
          </w:hyperlink>
        </w:p>
        <w:p w14:paraId="603E356C" w14:textId="3B79FD76" w:rsidR="002407E9" w:rsidRPr="002407E9" w:rsidRDefault="002407E9">
          <w:pPr>
            <w:pStyle w:val="Verzeichnis1"/>
            <w:rPr>
              <w:rFonts w:eastAsiaTheme="minorEastAsia"/>
              <w:noProof/>
              <w:kern w:val="2"/>
              <w:sz w:val="22"/>
              <w:szCs w:val="22"/>
              <w14:ligatures w14:val="standardContextual"/>
            </w:rPr>
          </w:pPr>
          <w:hyperlink w:anchor="_Toc239764965" w:history="1">
            <w:r w:rsidRPr="002407E9">
              <w:rPr>
                <w:rStyle w:val="Hyperlink"/>
                <w:noProof/>
                <w:sz w:val="22"/>
                <w:szCs w:val="22"/>
                <w:lang w:val="de-DE"/>
              </w:rPr>
              <w:t>12</w:t>
            </w:r>
            <w:r w:rsidRPr="002407E9">
              <w:rPr>
                <w:rFonts w:eastAsiaTheme="minorEastAsia"/>
                <w:noProof/>
                <w:kern w:val="2"/>
                <w:sz w:val="22"/>
                <w:szCs w:val="22"/>
                <w14:ligatures w14:val="standardContextual"/>
              </w:rPr>
              <w:tab/>
            </w:r>
            <w:r w:rsidRPr="002407E9">
              <w:rPr>
                <w:rStyle w:val="Hyperlink"/>
                <w:noProof/>
                <w:sz w:val="22"/>
                <w:szCs w:val="22"/>
                <w:lang w:val="de-DE"/>
              </w:rPr>
              <w:t>Was Bauherren mit MVG und MVG Companion gewinnen</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_Toc239764965 \h </w:instrText>
            </w:r>
            <w:r w:rsidRPr="002407E9">
              <w:rPr>
                <w:noProof/>
                <w:webHidden/>
                <w:sz w:val="22"/>
                <w:szCs w:val="22"/>
              </w:rPr>
            </w:r>
            <w:r w:rsidRPr="002407E9">
              <w:rPr>
                <w:noProof/>
                <w:webHidden/>
                <w:sz w:val="22"/>
                <w:szCs w:val="22"/>
              </w:rPr>
              <w:fldChar w:fldCharType="separate"/>
            </w:r>
            <w:r w:rsidR="00732C53">
              <w:rPr>
                <w:noProof/>
                <w:webHidden/>
                <w:sz w:val="22"/>
                <w:szCs w:val="22"/>
              </w:rPr>
              <w:t>41</w:t>
            </w:r>
            <w:r w:rsidRPr="002407E9">
              <w:rPr>
                <w:noProof/>
                <w:webHidden/>
                <w:sz w:val="22"/>
                <w:szCs w:val="22"/>
              </w:rPr>
              <w:fldChar w:fldCharType="end"/>
            </w:r>
          </w:hyperlink>
        </w:p>
        <w:p w14:paraId="4D945F94" w14:textId="0419B1C1" w:rsidR="002407E9" w:rsidRPr="002407E9" w:rsidRDefault="002407E9">
          <w:pPr>
            <w:pStyle w:val="Verzeichnis2"/>
            <w:rPr>
              <w:rFonts w:eastAsiaTheme="minorEastAsia"/>
              <w:noProof/>
              <w:kern w:val="2"/>
              <w:sz w:val="22"/>
              <w:szCs w:val="22"/>
              <w14:ligatures w14:val="standardContextual"/>
            </w:rPr>
          </w:pPr>
          <w:hyperlink w:anchor="_Toc239764966" w:history="1">
            <w:r w:rsidRPr="002407E9">
              <w:rPr>
                <w:rStyle w:val="Hyperlink"/>
                <w:iCs/>
                <w:noProof/>
                <w:sz w:val="22"/>
                <w:szCs w:val="22"/>
              </w:rPr>
              <w:t>12.1</w:t>
            </w:r>
            <w:r w:rsidRPr="002407E9">
              <w:rPr>
                <w:rFonts w:eastAsiaTheme="minorEastAsia"/>
                <w:noProof/>
                <w:kern w:val="2"/>
                <w:sz w:val="22"/>
                <w:szCs w:val="22"/>
                <w14:ligatures w14:val="standardContextual"/>
              </w:rPr>
              <w:tab/>
            </w:r>
            <w:r w:rsidRPr="002407E9">
              <w:rPr>
                <w:rStyle w:val="Hyperlink"/>
                <w:noProof/>
                <w:sz w:val="22"/>
                <w:szCs w:val="22"/>
              </w:rPr>
              <w:t>Pragmatischer Einstieg</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_Toc239764966 \h </w:instrText>
            </w:r>
            <w:r w:rsidRPr="002407E9">
              <w:rPr>
                <w:noProof/>
                <w:webHidden/>
                <w:sz w:val="22"/>
                <w:szCs w:val="22"/>
              </w:rPr>
            </w:r>
            <w:r w:rsidRPr="002407E9">
              <w:rPr>
                <w:noProof/>
                <w:webHidden/>
                <w:sz w:val="22"/>
                <w:szCs w:val="22"/>
              </w:rPr>
              <w:fldChar w:fldCharType="separate"/>
            </w:r>
            <w:r w:rsidR="00732C53">
              <w:rPr>
                <w:noProof/>
                <w:webHidden/>
                <w:sz w:val="22"/>
                <w:szCs w:val="22"/>
              </w:rPr>
              <w:t>41</w:t>
            </w:r>
            <w:r w:rsidRPr="002407E9">
              <w:rPr>
                <w:noProof/>
                <w:webHidden/>
                <w:sz w:val="22"/>
                <w:szCs w:val="22"/>
              </w:rPr>
              <w:fldChar w:fldCharType="end"/>
            </w:r>
          </w:hyperlink>
        </w:p>
        <w:p w14:paraId="50238775" w14:textId="685B9001" w:rsidR="002407E9" w:rsidRPr="002407E9" w:rsidRDefault="002407E9">
          <w:pPr>
            <w:pStyle w:val="Verzeichnis1"/>
            <w:rPr>
              <w:rFonts w:eastAsiaTheme="minorEastAsia"/>
              <w:noProof/>
              <w:kern w:val="2"/>
              <w:sz w:val="22"/>
              <w:szCs w:val="22"/>
              <w14:ligatures w14:val="standardContextual"/>
            </w:rPr>
          </w:pPr>
          <w:hyperlink w:anchor="_Toc239764967" w:history="1">
            <w:r w:rsidRPr="002407E9">
              <w:rPr>
                <w:rStyle w:val="Hyperlink"/>
                <w:noProof/>
                <w:sz w:val="22"/>
                <w:szCs w:val="22"/>
                <w:lang w:val="de-DE"/>
              </w:rPr>
              <w:t>13</w:t>
            </w:r>
            <w:r w:rsidRPr="002407E9">
              <w:rPr>
                <w:rFonts w:eastAsiaTheme="minorEastAsia"/>
                <w:noProof/>
                <w:kern w:val="2"/>
                <w:sz w:val="22"/>
                <w:szCs w:val="22"/>
                <w14:ligatures w14:val="standardContextual"/>
              </w:rPr>
              <w:tab/>
            </w:r>
            <w:r w:rsidRPr="002407E9">
              <w:rPr>
                <w:rStyle w:val="Hyperlink"/>
                <w:noProof/>
                <w:sz w:val="22"/>
                <w:szCs w:val="22"/>
                <w:lang w:val="de-DE"/>
              </w:rPr>
              <w:t>Anhang: Glossar</w:t>
            </w:r>
            <w:r w:rsidRPr="002407E9">
              <w:rPr>
                <w:noProof/>
                <w:webHidden/>
                <w:sz w:val="22"/>
                <w:szCs w:val="22"/>
              </w:rPr>
              <w:tab/>
            </w:r>
            <w:r w:rsidRPr="002407E9">
              <w:rPr>
                <w:noProof/>
                <w:webHidden/>
                <w:sz w:val="22"/>
                <w:szCs w:val="22"/>
              </w:rPr>
              <w:fldChar w:fldCharType="begin"/>
            </w:r>
            <w:r w:rsidRPr="002407E9">
              <w:rPr>
                <w:noProof/>
                <w:webHidden/>
                <w:sz w:val="22"/>
                <w:szCs w:val="22"/>
              </w:rPr>
              <w:instrText xml:space="preserve"> PAGEREF _Toc239764967 \h </w:instrText>
            </w:r>
            <w:r w:rsidRPr="002407E9">
              <w:rPr>
                <w:noProof/>
                <w:webHidden/>
                <w:sz w:val="22"/>
                <w:szCs w:val="22"/>
              </w:rPr>
            </w:r>
            <w:r w:rsidRPr="002407E9">
              <w:rPr>
                <w:noProof/>
                <w:webHidden/>
                <w:sz w:val="22"/>
                <w:szCs w:val="22"/>
              </w:rPr>
              <w:fldChar w:fldCharType="separate"/>
            </w:r>
            <w:r w:rsidR="00732C53">
              <w:rPr>
                <w:noProof/>
                <w:webHidden/>
                <w:sz w:val="22"/>
                <w:szCs w:val="22"/>
              </w:rPr>
              <w:t>42</w:t>
            </w:r>
            <w:r w:rsidRPr="002407E9">
              <w:rPr>
                <w:noProof/>
                <w:webHidden/>
                <w:sz w:val="22"/>
                <w:szCs w:val="22"/>
              </w:rPr>
              <w:fldChar w:fldCharType="end"/>
            </w:r>
          </w:hyperlink>
        </w:p>
        <w:p w14:paraId="5FD2C544" w14:textId="7E107369" w:rsidR="00953B6D" w:rsidRPr="00325CBE" w:rsidRDefault="00953B6D" w:rsidP="00340518">
          <w:pPr>
            <w:rPr>
              <w:sz w:val="22"/>
              <w:szCs w:val="22"/>
              <w:lang w:val="de-DE"/>
            </w:rPr>
          </w:pPr>
          <w:r w:rsidRPr="002407E9">
            <w:rPr>
              <w:b/>
              <w:bCs/>
              <w:sz w:val="22"/>
              <w:szCs w:val="22"/>
              <w:lang w:val="de-DE"/>
            </w:rPr>
            <w:fldChar w:fldCharType="end"/>
          </w:r>
        </w:p>
      </w:sdtContent>
    </w:sdt>
    <w:p w14:paraId="0BAA8B27" w14:textId="77777777" w:rsidR="00A4494E" w:rsidRPr="00325CBE" w:rsidRDefault="00A038EC">
      <w:pPr>
        <w:pStyle w:val="berschrift1"/>
        <w:rPr>
          <w:lang w:val="de-DE"/>
        </w:rPr>
      </w:pPr>
      <w:bookmarkStart w:id="1" w:name="whitepaper"/>
      <w:bookmarkStart w:id="2" w:name="_Toc234746051"/>
      <w:bookmarkStart w:id="3" w:name="_Toc239764900"/>
      <w:bookmarkEnd w:id="1"/>
      <w:r w:rsidRPr="00325CBE">
        <w:rPr>
          <w:lang w:val="de-DE"/>
        </w:rPr>
        <w:lastRenderedPageBreak/>
        <w:t>Kurzfassung</w:t>
      </w:r>
      <w:bookmarkEnd w:id="2"/>
      <w:bookmarkEnd w:id="3"/>
    </w:p>
    <w:p w14:paraId="28A9010E" w14:textId="7850C1BF" w:rsidR="00A4494E" w:rsidRPr="00325CBE" w:rsidRDefault="00862EBD">
      <w:pPr>
        <w:pStyle w:val="Textkrper"/>
        <w:jc w:val="center"/>
        <w:rPr>
          <w:lang w:val="de-DE"/>
        </w:rPr>
      </w:pPr>
      <w:r w:rsidRPr="00325CBE">
        <w:rPr>
          <w:noProof/>
          <w:lang w:val="de-DE"/>
        </w:rPr>
        <w:drawing>
          <wp:inline distT="0" distB="0" distL="0" distR="0" wp14:anchorId="1AB2C7D4" wp14:editId="7ECA51B3">
            <wp:extent cx="5971540" cy="4003675"/>
            <wp:effectExtent l="0" t="0" r="0" b="0"/>
            <wp:docPr id="19035294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1540" cy="4003675"/>
                    </a:xfrm>
                    <a:prstGeom prst="rect">
                      <a:avLst/>
                    </a:prstGeom>
                    <a:noFill/>
                    <a:ln>
                      <a:noFill/>
                    </a:ln>
                  </pic:spPr>
                </pic:pic>
              </a:graphicData>
            </a:graphic>
          </wp:inline>
        </w:drawing>
      </w:r>
      <w:r w:rsidR="00D64309" w:rsidRPr="00325CBE">
        <w:rPr>
          <w:lang w:val="de-DE"/>
        </w:rPr>
        <w:t xml:space="preserve"> </w:t>
      </w:r>
    </w:p>
    <w:p w14:paraId="164FC76C" w14:textId="19F60D7B" w:rsidR="00A4494E" w:rsidRPr="00325CBE" w:rsidRDefault="00A038EC">
      <w:pPr>
        <w:pStyle w:val="Textkrper"/>
        <w:rPr>
          <w:kern w:val="2"/>
          <w:lang w:val="de-DE"/>
        </w:rPr>
      </w:pPr>
      <w:r w:rsidRPr="00325CBE">
        <w:rPr>
          <w:lang w:val="de-DE"/>
        </w:rPr>
        <w:br/>
      </w:r>
      <w:bookmarkStart w:id="4" w:name="OLE_LINK2"/>
      <w:r w:rsidRPr="00325CBE">
        <w:rPr>
          <w:lang w:val="de-DE"/>
        </w:rPr>
        <w:t>Arbeit kann delegiert werden; bauherrenseitige Legitimation nicht. Planer, Projektsteuerer, Gutachter, Projektmanagementbüro (PMO) und Berater können analysieren, vorbereiten, koordinieren und dokumentieren. Zielpriorisierung, Mandat, wesentliche Freigabe, Risikoannahme und Nachweisfähigkeit bleiben jedoch beim Bauherrn.</w:t>
      </w:r>
    </w:p>
    <w:p w14:paraId="0DA23EF2" w14:textId="77777777" w:rsidR="00A4494E" w:rsidRPr="00325CBE" w:rsidRDefault="00A038EC">
      <w:pPr>
        <w:pStyle w:val="Textkrper"/>
        <w:rPr>
          <w:kern w:val="2"/>
          <w:lang w:val="de-DE"/>
        </w:rPr>
      </w:pPr>
      <w:r w:rsidRPr="00325CBE">
        <w:rPr>
          <w:lang w:val="de-DE"/>
        </w:rPr>
        <w:t>Minimum Viable Governance (MVG) bildet dafür den kleinsten funktionsfähigen Governance-Standard. Es verbindet Zielsystem, Rollen, Mandate, Freigaben, Entscheidungs-IDs, Datenstandslogik, Risiko- und Änderungssteuerung, Nachweisführung, Betriebshandbuch und Befähigung zu einem handhabbaren Führungsmodell. Der Nutzen liegt nicht in mehr Bürokratie, sondern in weniger Entscheidungsstau, klareren Eskalationswegen, belastbarer Gremienfähigkeit und einer nachvollziehbaren Nachweiskette.</w:t>
      </w:r>
    </w:p>
    <w:p w14:paraId="7E704B22" w14:textId="5FCB00A9" w:rsidR="00A4494E" w:rsidRPr="00325CBE" w:rsidRDefault="00A038EC">
      <w:pPr>
        <w:pStyle w:val="Textkrper"/>
        <w:rPr>
          <w:kern w:val="2"/>
          <w:lang w:val="de-DE"/>
        </w:rPr>
      </w:pPr>
      <w:r w:rsidRPr="00325CBE">
        <w:rPr>
          <w:lang w:val="de-DE"/>
        </w:rPr>
        <w:t>Bauherr Mentoren übernimmt dabei keine Bauherrenrolle. BM stellt Struktur, Entscheidungsreife, Mandatsklarheit und Befähigung her, damit die Bauherrenorganisation ihre Verantwortung selbst wirksam ausüben kann. Der Ansatz richtet sich an Organisationen, die komplexe Vorhaben nicht nur berichten, sondern aktiv, nachweisbar und entscheidungsfähig führen müssen.</w:t>
      </w:r>
    </w:p>
    <w:p w14:paraId="01F6F1A1" w14:textId="77777777" w:rsidR="00A4494E" w:rsidRPr="00325CBE" w:rsidRDefault="00A038EC">
      <w:pPr>
        <w:pStyle w:val="berschrift2"/>
      </w:pPr>
      <w:bookmarkStart w:id="5" w:name="leitthese"/>
      <w:bookmarkStart w:id="6" w:name="_Toc234746052"/>
      <w:bookmarkStart w:id="7" w:name="_Toc239764901"/>
      <w:bookmarkEnd w:id="4"/>
      <w:r w:rsidRPr="00325CBE">
        <w:t>Leitthese</w:t>
      </w:r>
      <w:bookmarkEnd w:id="5"/>
      <w:bookmarkEnd w:id="6"/>
      <w:bookmarkEnd w:id="7"/>
    </w:p>
    <w:p w14:paraId="79A05ECA" w14:textId="597186A2" w:rsidR="00A4494E" w:rsidRPr="00325CBE" w:rsidRDefault="00A038EC">
      <w:pPr>
        <w:pStyle w:val="Textkrper"/>
        <w:rPr>
          <w:lang w:val="de-DE"/>
        </w:rPr>
      </w:pPr>
      <w:r w:rsidRPr="00325CBE">
        <w:rPr>
          <w:lang w:val="de-DE"/>
        </w:rPr>
        <w:t>Bauherren können Arbeit, Analyse, Koordination und Dokumentation delegieren. Nicht delegierbar bleibt die Legitimation von Ziel, Mandat, wesentlicher Entscheidung, Risikoannahme, Freigabe und Nachweis. MVG macht diese Verantwortung praktisch handhabbar.</w:t>
      </w:r>
    </w:p>
    <w:p w14:paraId="18615928" w14:textId="77777777" w:rsidR="00A4494E" w:rsidRPr="00325CBE" w:rsidRDefault="00A038EC">
      <w:pPr>
        <w:pStyle w:val="berschrift2"/>
      </w:pPr>
      <w:bookmarkStart w:id="8" w:name="_Toc234746053"/>
      <w:bookmarkStart w:id="9" w:name="_Toc239764902"/>
      <w:r w:rsidRPr="00325CBE">
        <w:lastRenderedPageBreak/>
        <w:t>Managementaussagen</w:t>
      </w:r>
      <w:bookmarkEnd w:id="8"/>
      <w:bookmarkEnd w:id="9"/>
    </w:p>
    <w:p w14:paraId="69A621FB" w14:textId="77777777" w:rsidR="00A4494E" w:rsidRPr="00325CBE" w:rsidRDefault="00A038EC">
      <w:pPr>
        <w:pStyle w:val="Textkrper"/>
        <w:numPr>
          <w:ilvl w:val="0"/>
          <w:numId w:val="5"/>
        </w:numPr>
        <w:rPr>
          <w:kern w:val="2"/>
          <w:lang w:val="de-DE"/>
        </w:rPr>
      </w:pPr>
      <w:r w:rsidRPr="00325CBE">
        <w:rPr>
          <w:lang w:val="de-DE"/>
        </w:rPr>
        <w:t>Projektsteuerung unterstützt Kosten, Termine, Qualität, Koordination und Berichterstattung; sie ersetzt keine bauherrenseitige Entscheidung.</w:t>
      </w:r>
    </w:p>
    <w:p w14:paraId="25727AD8" w14:textId="77777777" w:rsidR="00A4494E" w:rsidRPr="00325CBE" w:rsidRDefault="00A038EC">
      <w:pPr>
        <w:pStyle w:val="Textkrper"/>
        <w:numPr>
          <w:ilvl w:val="0"/>
          <w:numId w:val="5"/>
        </w:numPr>
        <w:rPr>
          <w:lang w:val="de-DE"/>
        </w:rPr>
      </w:pPr>
      <w:r w:rsidRPr="00325CBE">
        <w:rPr>
          <w:lang w:val="de-DE"/>
        </w:rPr>
        <w:t>MVG übersetzt Bauherrenverantwortung in Rollen, Mandate, Freigaben, Entscheidungs-IDs, Datenstandslogik, Eskalation, Betriebshandbuch und Befähigung.</w:t>
      </w:r>
    </w:p>
    <w:p w14:paraId="33DF7015" w14:textId="77777777" w:rsidR="00A4494E" w:rsidRPr="00325CBE" w:rsidRDefault="00A038EC">
      <w:pPr>
        <w:pStyle w:val="Textkrper"/>
        <w:numPr>
          <w:ilvl w:val="0"/>
          <w:numId w:val="5"/>
        </w:numPr>
        <w:rPr>
          <w:lang w:val="de-DE"/>
        </w:rPr>
      </w:pPr>
      <w:r w:rsidRPr="00325CBE">
        <w:rPr>
          <w:lang w:val="de-DE"/>
        </w:rPr>
        <w:t>Entscheidungssicherheit entsteht durch den verbindlichen Zusammenhang von Zielsystem, Mandat, Datenstand, Risiko, Freigabe und Nachweis.</w:t>
      </w:r>
    </w:p>
    <w:p w14:paraId="1DDBB7A3" w14:textId="77777777" w:rsidR="00A4494E" w:rsidRPr="00325CBE" w:rsidRDefault="00A038EC">
      <w:pPr>
        <w:pStyle w:val="Textkrper"/>
        <w:numPr>
          <w:ilvl w:val="0"/>
          <w:numId w:val="5"/>
        </w:numPr>
        <w:rPr>
          <w:lang w:val="de-DE"/>
        </w:rPr>
      </w:pPr>
      <w:r w:rsidRPr="00325CBE">
        <w:rPr>
          <w:lang w:val="de-DE"/>
        </w:rPr>
        <w:t>Befähigung ist Pflichtbestandteil, weil der Bauherr das Modell nach Übergabe selbst anwenden können muss.</w:t>
      </w:r>
    </w:p>
    <w:p w14:paraId="1120B22C" w14:textId="77777777" w:rsidR="00A4494E" w:rsidRPr="00325CBE" w:rsidRDefault="00A038EC">
      <w:pPr>
        <w:pStyle w:val="Textkrper"/>
        <w:numPr>
          <w:ilvl w:val="0"/>
          <w:numId w:val="5"/>
        </w:numPr>
        <w:rPr>
          <w:lang w:val="de-DE"/>
        </w:rPr>
      </w:pPr>
      <w:r w:rsidRPr="00325CBE">
        <w:rPr>
          <w:lang w:val="de-DE"/>
        </w:rPr>
        <w:t>LPH 0 ist ein wichtiger früher Hebel; maßgeblich ist jedoch die Entscheidungs- und Nachweisfähigkeit über den gesamten kritischen Projektverlauf.</w:t>
      </w:r>
    </w:p>
    <w:p w14:paraId="2E60002D" w14:textId="77777777" w:rsidR="00A4494E" w:rsidRPr="00325CBE" w:rsidRDefault="00A038EC">
      <w:pPr>
        <w:pStyle w:val="berschrift2"/>
      </w:pPr>
      <w:bookmarkStart w:id="10" w:name="_Toc234746054"/>
      <w:bookmarkStart w:id="11" w:name="_Toc239764903"/>
      <w:r w:rsidRPr="00325CBE">
        <w:t>Ergebnisbild</w:t>
      </w:r>
      <w:bookmarkEnd w:id="10"/>
      <w:bookmarkEnd w:id="11"/>
    </w:p>
    <w:p w14:paraId="33F38F0C" w14:textId="77777777" w:rsidR="00A4494E" w:rsidRPr="00325CBE" w:rsidRDefault="00A038EC">
      <w:pPr>
        <w:pStyle w:val="Textkrper"/>
        <w:rPr>
          <w:kern w:val="2"/>
          <w:lang w:val="de-DE"/>
        </w:rPr>
      </w:pPr>
      <w:r w:rsidRPr="00325CBE">
        <w:rPr>
          <w:lang w:val="de-DE"/>
        </w:rPr>
        <w:t>Nach Umsetzung eines MVG-Ansatzes verfügt der Bauherr nicht über eine lose Sammlung einzelner Methoden, sondern über ein belastbares Führungs- und Entscheidungsmodell. Dieses Modell zeigt, welche Entscheidungen beim Bauherrn verbleiben, welche Vorbereitungsleistungen delegierbar sind, welche Mandate und Schwellen gelten, welche Unterlagen entscheidungsreif sein müssen und wie Entscheidungen nachvollziehbar in der Nachweiskette verankert werden.</w:t>
      </w:r>
    </w:p>
    <w:tbl>
      <w:tblPr>
        <w:tblStyle w:val="Gitternetztabelle4Akzent1"/>
        <w:tblW w:w="5000" w:type="pct"/>
        <w:tblLayout w:type="fixed"/>
        <w:tblLook w:val="04A0" w:firstRow="1" w:lastRow="0" w:firstColumn="1" w:lastColumn="0" w:noHBand="0" w:noVBand="1"/>
      </w:tblPr>
      <w:tblGrid>
        <w:gridCol w:w="2659"/>
        <w:gridCol w:w="6961"/>
      </w:tblGrid>
      <w:tr w:rsidR="00A4494E" w:rsidRPr="00325CBE" w14:paraId="46067BCD"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9" w:type="dxa"/>
            <w:tcBorders>
              <w:top w:val="single" w:sz="4" w:space="0" w:color="4F81BD"/>
              <w:left w:val="single" w:sz="4" w:space="0" w:color="4F81BD"/>
              <w:bottom w:val="single" w:sz="4" w:space="0" w:color="4F81BD"/>
              <w:right w:val="single" w:sz="4" w:space="0" w:color="4F81BD"/>
            </w:tcBorders>
          </w:tcPr>
          <w:p w14:paraId="21C38AE4" w14:textId="77777777" w:rsidR="00A4494E" w:rsidRPr="00325CBE" w:rsidRDefault="00A038EC">
            <w:pPr>
              <w:pStyle w:val="Compact"/>
              <w:spacing w:before="0" w:after="40"/>
              <w:rPr>
                <w:lang w:val="de-DE"/>
              </w:rPr>
            </w:pPr>
            <w:r w:rsidRPr="00325CBE">
              <w:rPr>
                <w:rFonts w:eastAsia="Cambria"/>
                <w:lang w:val="de-DE"/>
              </w:rPr>
              <w:t>Element</w:t>
            </w:r>
          </w:p>
        </w:tc>
        <w:tc>
          <w:tcPr>
            <w:tcW w:w="6804" w:type="dxa"/>
            <w:tcBorders>
              <w:top w:val="single" w:sz="4" w:space="0" w:color="4F81BD"/>
              <w:left w:val="single" w:sz="4" w:space="0" w:color="4F81BD"/>
              <w:bottom w:val="single" w:sz="4" w:space="0" w:color="4F81BD"/>
              <w:right w:val="single" w:sz="4" w:space="0" w:color="4F81BD"/>
            </w:tcBorders>
          </w:tcPr>
          <w:p w14:paraId="65B403E6"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Ergebnis</w:t>
            </w:r>
          </w:p>
        </w:tc>
      </w:tr>
      <w:tr w:rsidR="00A4494E" w:rsidRPr="00325CBE" w14:paraId="53505217"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9" w:type="dxa"/>
          </w:tcPr>
          <w:p w14:paraId="01C83ADF" w14:textId="77777777" w:rsidR="00A4494E" w:rsidRPr="00325CBE" w:rsidRDefault="00A038EC">
            <w:pPr>
              <w:pStyle w:val="Compact"/>
              <w:spacing w:before="0" w:after="40"/>
              <w:rPr>
                <w:lang w:val="de-DE"/>
              </w:rPr>
            </w:pPr>
            <w:r w:rsidRPr="00325CBE">
              <w:rPr>
                <w:rFonts w:eastAsia="Cambria"/>
                <w:lang w:val="de-DE"/>
              </w:rPr>
              <w:t>Bauherren-Mandats- und Verantwortungs­modell</w:t>
            </w:r>
          </w:p>
        </w:tc>
        <w:tc>
          <w:tcPr>
            <w:tcW w:w="6804" w:type="dxa"/>
          </w:tcPr>
          <w:p w14:paraId="798736DA"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Klärt Verantwortungsfelder, nichtdelegierbaren Kern, delegierbare Vorbereitung, Rollen, Schwellen und Eskalations­wege.</w:t>
            </w:r>
          </w:p>
        </w:tc>
      </w:tr>
      <w:tr w:rsidR="00A4494E" w:rsidRPr="00325CBE" w14:paraId="342DAE8C"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599" w:type="dxa"/>
          </w:tcPr>
          <w:p w14:paraId="4B6A27BA" w14:textId="77777777" w:rsidR="00A4494E" w:rsidRPr="00325CBE" w:rsidRDefault="00A038EC">
            <w:pPr>
              <w:pStyle w:val="Compact"/>
              <w:spacing w:before="0" w:after="40"/>
              <w:rPr>
                <w:lang w:val="de-DE"/>
              </w:rPr>
            </w:pPr>
            <w:r w:rsidRPr="00325CBE">
              <w:rPr>
                <w:rFonts w:eastAsia="Cambria"/>
                <w:lang w:val="de-DE"/>
              </w:rPr>
              <w:t>System der Entscheidungs-IDs</w:t>
            </w:r>
          </w:p>
        </w:tc>
        <w:tc>
          <w:tcPr>
            <w:tcW w:w="6804" w:type="dxa"/>
          </w:tcPr>
          <w:p w14:paraId="4282EF93"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Gibt jeder wesentlichen Bauherrenentscheidung eine eindeutige Kennung, einen Datenstand, ein Mandat, einen Freigabeweg und einen Nachverfolgungsstatus.</w:t>
            </w:r>
          </w:p>
        </w:tc>
      </w:tr>
      <w:tr w:rsidR="00A4494E" w:rsidRPr="00325CBE" w14:paraId="0C546168"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9" w:type="dxa"/>
          </w:tcPr>
          <w:p w14:paraId="578E0A06" w14:textId="50400D14" w:rsidR="00A4494E" w:rsidRPr="00325CBE" w:rsidRDefault="00A038EC">
            <w:pPr>
              <w:pStyle w:val="Compact"/>
              <w:spacing w:before="0" w:after="40"/>
              <w:rPr>
                <w:lang w:val="de-DE"/>
              </w:rPr>
            </w:pPr>
            <w:r w:rsidRPr="00325CBE">
              <w:rPr>
                <w:rFonts w:eastAsia="Cambria"/>
                <w:lang w:val="de-DE"/>
              </w:rPr>
              <w:t>Leistungsphasen- und Freigabemodell LPH 0–9</w:t>
            </w:r>
          </w:p>
        </w:tc>
        <w:tc>
          <w:tcPr>
            <w:tcW w:w="6804" w:type="dxa"/>
          </w:tcPr>
          <w:p w14:paraId="7F2367DC"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Verbindet Projektfortschritt mit Entscheidungsvorbereitung, Freigabereife, Risikoannahme und Nachweisführung.</w:t>
            </w:r>
          </w:p>
        </w:tc>
      </w:tr>
      <w:tr w:rsidR="00A4494E" w:rsidRPr="00325CBE" w14:paraId="68C8F68F"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599" w:type="dxa"/>
          </w:tcPr>
          <w:p w14:paraId="1C297746" w14:textId="77777777" w:rsidR="00A4494E" w:rsidRPr="00325CBE" w:rsidRDefault="00A038EC">
            <w:pPr>
              <w:pStyle w:val="Compact"/>
              <w:spacing w:before="0" w:after="40"/>
              <w:rPr>
                <w:lang w:val="de-DE"/>
              </w:rPr>
            </w:pPr>
            <w:r w:rsidRPr="00325CBE">
              <w:rPr>
                <w:rFonts w:eastAsia="Cambria"/>
                <w:lang w:val="de-DE"/>
              </w:rPr>
              <w:t>Standard für Entscheidungs­vorlagen</w:t>
            </w:r>
          </w:p>
        </w:tc>
        <w:tc>
          <w:tcPr>
            <w:tcW w:w="6804" w:type="dxa"/>
          </w:tcPr>
          <w:p w14:paraId="7DD17D83"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Sichert die Nachvollziehbarkeit von Entscheidungs­frage, Alternativen, Annahmen, Risiken, Datenstand, Empfehlung, Freigabe und Beschlusslage.</w:t>
            </w:r>
          </w:p>
        </w:tc>
      </w:tr>
      <w:tr w:rsidR="00A4494E" w:rsidRPr="00325CBE" w14:paraId="4FA3DCB6"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9" w:type="dxa"/>
          </w:tcPr>
          <w:p w14:paraId="00A7C26A" w14:textId="77777777" w:rsidR="00A4494E" w:rsidRPr="00325CBE" w:rsidRDefault="00A038EC">
            <w:pPr>
              <w:pStyle w:val="Compact"/>
              <w:spacing w:before="0" w:after="40"/>
              <w:rPr>
                <w:lang w:val="de-DE"/>
              </w:rPr>
            </w:pPr>
            <w:r w:rsidRPr="00325CBE">
              <w:rPr>
                <w:rFonts w:eastAsia="Cambria"/>
                <w:lang w:val="de-DE"/>
              </w:rPr>
              <w:t>Betriebshandbuch</w:t>
            </w:r>
          </w:p>
        </w:tc>
        <w:tc>
          <w:tcPr>
            <w:tcW w:w="6804" w:type="dxa"/>
          </w:tcPr>
          <w:p w14:paraId="3EDA16A7"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Übergibt Routinen, Rollen, Taktung, Fristen, Eskalations­wege und Betriebslogik in den Regelbetrieb.</w:t>
            </w:r>
          </w:p>
        </w:tc>
      </w:tr>
      <w:tr w:rsidR="00A4494E" w:rsidRPr="00325CBE" w14:paraId="0049E88C"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599" w:type="dxa"/>
          </w:tcPr>
          <w:p w14:paraId="5C570177" w14:textId="77777777" w:rsidR="00A4494E" w:rsidRPr="00325CBE" w:rsidRDefault="00A038EC">
            <w:pPr>
              <w:pStyle w:val="Compact"/>
              <w:spacing w:before="0" w:after="40"/>
              <w:rPr>
                <w:lang w:val="de-DE"/>
              </w:rPr>
            </w:pPr>
            <w:r w:rsidRPr="00325CBE">
              <w:rPr>
                <w:rFonts w:eastAsia="Cambria"/>
                <w:lang w:val="de-DE"/>
              </w:rPr>
              <w:t>Befähigung</w:t>
            </w:r>
          </w:p>
        </w:tc>
        <w:tc>
          <w:tcPr>
            <w:tcW w:w="6804" w:type="dxa"/>
          </w:tcPr>
          <w:p w14:paraId="10E019C9" w14:textId="36250580"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 xml:space="preserve">Stellt sicher, dass Bauherren-Projektleitung, </w:t>
            </w:r>
            <w:r w:rsidR="00186BFF" w:rsidRPr="00325CBE">
              <w:rPr>
                <w:rFonts w:eastAsia="Cambria"/>
                <w:lang w:val="de-DE"/>
              </w:rPr>
              <w:t>Auftraggeber Logik</w:t>
            </w:r>
            <w:r w:rsidRPr="00325CBE">
              <w:rPr>
                <w:rFonts w:eastAsia="Cambria"/>
                <w:lang w:val="de-DE"/>
              </w:rPr>
              <w:t>, PMO, Gremienrollen und Fachrollen das Modell selbst anwenden können.</w:t>
            </w:r>
            <w:bookmarkStart w:id="12" w:name="ergebnisbild"/>
            <w:bookmarkStart w:id="13" w:name="executive-summary"/>
            <w:bookmarkEnd w:id="12"/>
            <w:bookmarkEnd w:id="13"/>
          </w:p>
        </w:tc>
      </w:tr>
    </w:tbl>
    <w:p w14:paraId="2E6B0300" w14:textId="77777777" w:rsidR="00A4494E" w:rsidRPr="00325CBE" w:rsidRDefault="00A4494E">
      <w:pPr>
        <w:rPr>
          <w:kern w:val="2"/>
          <w:lang w:val="de-DE"/>
        </w:rPr>
      </w:pPr>
    </w:p>
    <w:p w14:paraId="5A5EDD0F" w14:textId="77777777" w:rsidR="00A4494E" w:rsidRPr="00325CBE" w:rsidRDefault="00A038EC">
      <w:pPr>
        <w:pStyle w:val="berschrift1"/>
        <w:rPr>
          <w:lang w:val="de-DE"/>
        </w:rPr>
      </w:pPr>
      <w:bookmarkStart w:id="14" w:name="_Toc234746055"/>
      <w:bookmarkStart w:id="15" w:name="OLE_LINK3"/>
      <w:bookmarkStart w:id="16" w:name="_Toc239764904"/>
      <w:r w:rsidRPr="00325CBE">
        <w:rPr>
          <w:lang w:val="de-DE"/>
        </w:rPr>
        <w:lastRenderedPageBreak/>
        <w:t>Ausgangslage und Kernproblem</w:t>
      </w:r>
      <w:bookmarkEnd w:id="14"/>
      <w:bookmarkEnd w:id="16"/>
    </w:p>
    <w:p w14:paraId="04536A4F" w14:textId="0FE95313" w:rsidR="00A4494E" w:rsidRPr="00325CBE" w:rsidRDefault="000C4ACC">
      <w:pPr>
        <w:pStyle w:val="Textkrper"/>
        <w:jc w:val="center"/>
        <w:rPr>
          <w:lang w:val="de-DE"/>
        </w:rPr>
      </w:pPr>
      <w:r w:rsidRPr="00325CBE">
        <w:rPr>
          <w:lang w:val="de-DE"/>
        </w:rPr>
        <w:drawing>
          <wp:inline distT="0" distB="0" distL="0" distR="0" wp14:anchorId="0524A78B" wp14:editId="1EE6ECE3">
            <wp:extent cx="5971540" cy="4478655"/>
            <wp:effectExtent l="0" t="0" r="0" b="0"/>
            <wp:docPr id="4" name="Grafik 3">
              <a:extLst xmlns:a="http://schemas.openxmlformats.org/drawingml/2006/main">
                <a:ext uri="{FF2B5EF4-FFF2-40B4-BE49-F238E27FC236}">
                  <a16:creationId xmlns:a16="http://schemas.microsoft.com/office/drawing/2014/main" id="{8B8E703C-253D-394F-5A47-FEB31D2196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8B8E703C-253D-394F-5A47-FEB31D21961A}"/>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1540" cy="4478655"/>
                    </a:xfrm>
                    <a:prstGeom prst="rect">
                      <a:avLst/>
                    </a:prstGeom>
                  </pic:spPr>
                </pic:pic>
              </a:graphicData>
            </a:graphic>
          </wp:inline>
        </w:drawing>
      </w:r>
    </w:p>
    <w:p w14:paraId="0F2214B8" w14:textId="737351E2" w:rsidR="00A4494E" w:rsidRPr="00325CBE" w:rsidRDefault="00A038EC">
      <w:pPr>
        <w:pStyle w:val="Textkrper"/>
        <w:rPr>
          <w:kern w:val="2"/>
          <w:lang w:val="de-DE"/>
        </w:rPr>
      </w:pPr>
      <w:bookmarkStart w:id="17" w:name="OLE_LINK1"/>
      <w:r w:rsidRPr="00325CBE">
        <w:rPr>
          <w:lang w:val="de-DE"/>
        </w:rPr>
        <w:t xml:space="preserve">Komplexe Bauvorhaben stehen </w:t>
      </w:r>
      <w:r w:rsidR="00186BFF" w:rsidRPr="00325CBE">
        <w:rPr>
          <w:lang w:val="de-DE"/>
        </w:rPr>
        <w:t>unterzunehmendem</w:t>
      </w:r>
      <w:r w:rsidRPr="00325CBE">
        <w:rPr>
          <w:lang w:val="de-DE"/>
        </w:rPr>
        <w:t xml:space="preserve"> Entscheidungsdruck. Kosten, Termine, Qualität, Risiken, Umwelt-, Sozial- und Governance-Anforderungen (ESG), Lebenszykluskosten (LCC), Nutzerbedarfe, Beschaffungslogik, Gremienfähigkeit und Nachweisführung wirken nicht isoliert. Sie verdichten sich in konkreten Entscheidungssituationen: Was soll gebaut werden? Welche Variante trägt den Business Case – also die wirtschaftliche und strategische Entscheidungsgrundlage? Welche Risiken werden akzeptiert? Welche Änderung ist wesentlich? Welche Freigabe kann auf welchem Datenstand erteilt werden? Welche Entscheidung darf auf Projektebene getroffen werden, und für welche ist die Beschlussfassung durch den Bauherrn im Lenkungskreis oder die Rückkopplung an den Eigentümer erforderlich?</w:t>
      </w:r>
    </w:p>
    <w:bookmarkEnd w:id="17"/>
    <w:p w14:paraId="29819D47" w14:textId="44429E9E" w:rsidR="00A4494E" w:rsidRPr="00325CBE" w:rsidRDefault="00A038EC">
      <w:pPr>
        <w:pStyle w:val="Textkrper"/>
        <w:rPr>
          <w:lang w:val="de-DE"/>
        </w:rPr>
      </w:pPr>
      <w:r w:rsidRPr="00325CBE">
        <w:rPr>
          <w:lang w:val="de-DE"/>
        </w:rPr>
        <w:t>Je komplexer ein Vorhaben wird, desto weniger genügt es, Berichte zu sammeln und Abstimmungsrunden zu verdichten. Entscheidend ist, ob der Bauherr eine klare Führungs- und Entscheidungsarchitektur besitzt. Ohne diese Architektur entstehen Grauzonen: Rollen sind beschrieben, aber nicht mandatiert. Risiken sind bekannt, aber nicht entscheidungsreif. Änderungen werden bearbeitet, aber nicht mit Freigabeschwellen verbunden. Datenstände existieren parallel. Gremien erhalten Statusinformationen, aber keine klaren Entscheidungsfragen. Damit bleibt die Verantwortung formal beim Bauherrn – praktisch wird sie aber diffus.</w:t>
      </w:r>
    </w:p>
    <w:p w14:paraId="40023646" w14:textId="77777777" w:rsidR="0045305F" w:rsidRPr="00325CBE" w:rsidRDefault="0045305F" w:rsidP="0045305F">
      <w:pPr>
        <w:pStyle w:val="berschrift2"/>
      </w:pPr>
      <w:bookmarkStart w:id="18" w:name="_Toc230094074"/>
      <w:bookmarkStart w:id="19" w:name="_Toc234746058"/>
      <w:bookmarkStart w:id="20" w:name="_Toc239764905"/>
      <w:r w:rsidRPr="00325CBE">
        <w:lastRenderedPageBreak/>
        <w:t>Volatile Märkte und Infrastrukturprogramme</w:t>
      </w:r>
      <w:bookmarkEnd w:id="18"/>
      <w:bookmarkEnd w:id="19"/>
      <w:bookmarkEnd w:id="20"/>
    </w:p>
    <w:p w14:paraId="2FE8FF9C" w14:textId="77777777" w:rsidR="0045305F" w:rsidRPr="00325CBE" w:rsidRDefault="0045305F" w:rsidP="0045305F">
      <w:pPr>
        <w:pStyle w:val="Textkrper"/>
        <w:rPr>
          <w:lang w:val="de-DE"/>
        </w:rPr>
      </w:pPr>
      <w:r w:rsidRPr="00325CBE">
        <w:rPr>
          <w:lang w:val="de-DE"/>
        </w:rPr>
        <w:t>Volatile Märkte treffen Bauprojekte über mehrere Kanäle: Preisannahmen, Lieferzeiten, Angebotsgültigkeiten, Komponenten mit langer Lieferzeit, Finanzierungspuffer, Vergabestrategie und Priorisierung im Projektportfolio. Besonders exponiert sind Vorhaben vor der finalen Investitionsentscheidung (FID) sowie im Zeitraum von Ausschreibung, Vergabe und Beschaffung von Komponenten mit langer Lieferzeit. Dort kippen Annahmen schnell, während Entscheidungsprozesse oft noch auf stabilere Umfelder ausgelegt sind.</w:t>
      </w:r>
    </w:p>
    <w:p w14:paraId="18A2D7E5" w14:textId="77777777" w:rsidR="0045305F" w:rsidRPr="00325CBE" w:rsidRDefault="0045305F" w:rsidP="0045305F">
      <w:pPr>
        <w:pStyle w:val="Textkrper"/>
        <w:rPr>
          <w:kern w:val="2"/>
          <w:lang w:val="de-DE"/>
        </w:rPr>
      </w:pPr>
      <w:r w:rsidRPr="00325CBE">
        <w:rPr>
          <w:lang w:val="de-DE"/>
        </w:rPr>
        <w:t>Für Energieversorger, Netzbetreiber, Stadtwerkegruppen und andere Infrastrukturträger entsteht daraus ein spezifischer Governance-Bedarf: Freigabereife, Priorisierungsregeln, eine Logik für Fortführung oder Stopp, Frühwarnungen, eine konsequente Restkostenprognose (CTC), Nachtrags- und Änderungssteuerung sowie klare Eskalationsroutinen. Diese Elemente gehören zum Kern des Modells von Bauherr Mentoren.</w:t>
      </w:r>
    </w:p>
    <w:p w14:paraId="6C7B7CBD" w14:textId="77777777" w:rsidR="00A4494E" w:rsidRPr="00325CBE" w:rsidRDefault="00A038EC">
      <w:pPr>
        <w:pStyle w:val="berschrift2"/>
      </w:pPr>
      <w:bookmarkStart w:id="21" w:name="_Toc230094072"/>
      <w:bookmarkStart w:id="22" w:name="_Toc234746056"/>
      <w:bookmarkStart w:id="23" w:name="_Toc239764906"/>
      <w:r w:rsidRPr="00325CBE">
        <w:t>Steigende Komplexität durch ESG, LCC und Nachweislogik</w:t>
      </w:r>
      <w:bookmarkEnd w:id="21"/>
      <w:bookmarkEnd w:id="22"/>
      <w:bookmarkEnd w:id="23"/>
    </w:p>
    <w:p w14:paraId="586D5798" w14:textId="4ACBF1E2" w:rsidR="00A4494E" w:rsidRPr="00325CBE" w:rsidRDefault="00A038EC">
      <w:pPr>
        <w:pStyle w:val="Textkrper"/>
        <w:rPr>
          <w:lang w:val="de-DE"/>
        </w:rPr>
      </w:pPr>
      <w:r w:rsidRPr="00325CBE">
        <w:rPr>
          <w:lang w:val="de-DE"/>
        </w:rPr>
        <w:t xml:space="preserve">Nachhaltigkeits-, Energie- und Klimaziele werden für Bauherren zunehmend zu Entscheidungsparametern. Lebenszykluskosten, Zertifizierungslogiken und das regulatorische Umfeld aus EU-Taxonomie, CSRD und EPBD erhöhen die Anforderungen an Zieldefinition, Variantenvergleich und Nachweisführung. </w:t>
      </w:r>
    </w:p>
    <w:p w14:paraId="75C642A6" w14:textId="0D0B46D1" w:rsidR="00A4494E" w:rsidRPr="00325CBE" w:rsidRDefault="00A038EC">
      <w:pPr>
        <w:pStyle w:val="Textkrper"/>
        <w:rPr>
          <w:kern w:val="2"/>
          <w:lang w:val="de-DE"/>
        </w:rPr>
      </w:pPr>
      <w:r w:rsidRPr="00325CBE">
        <w:rPr>
          <w:lang w:val="de-DE"/>
        </w:rPr>
        <w:t>Für die Projektsteuerbarkeit bedeutet das: ESG und LCC dürfen nicht erst als späte Nachweise behandelt werden. Sie müssen früh in Zielsystem, Abwägungsregeln, Variantenentscheidungen und Freigaben – die verbindlichen Entscheidungspunkte des Projekts – integriert werden. Andernfalls werden Zielkonflikte erst sichtbar, wenn Planungsstände bereits weit fortgeschritten sind und Änderungen teuer werden.</w:t>
      </w:r>
    </w:p>
    <w:p w14:paraId="51F7D1BD" w14:textId="77777777" w:rsidR="00A4494E" w:rsidRPr="00325CBE" w:rsidRDefault="00A038EC">
      <w:pPr>
        <w:pStyle w:val="berschrift2"/>
      </w:pPr>
      <w:bookmarkStart w:id="24" w:name="_Toc230094073"/>
      <w:bookmarkStart w:id="25" w:name="_Toc234746057"/>
      <w:bookmarkStart w:id="26" w:name="_Toc239764907"/>
      <w:r w:rsidRPr="00325CBE">
        <w:t>Wissensverlust und Schlüsselrollen</w:t>
      </w:r>
      <w:bookmarkEnd w:id="24"/>
      <w:bookmarkEnd w:id="25"/>
      <w:bookmarkEnd w:id="26"/>
    </w:p>
    <w:p w14:paraId="2B362E2E" w14:textId="77777777" w:rsidR="00A4494E" w:rsidRPr="00325CBE" w:rsidRDefault="00A038EC">
      <w:pPr>
        <w:pStyle w:val="Textkrper"/>
        <w:rPr>
          <w:kern w:val="2"/>
          <w:lang w:val="de-DE"/>
        </w:rPr>
      </w:pPr>
      <w:r w:rsidRPr="00325CBE">
        <w:rPr>
          <w:lang w:val="de-DE"/>
        </w:rPr>
        <w:t>Komplexe Bauherrenorganisationen hängen in kritischen Momenten oft von wenigen erfahrenen Personen ab. Sind diese Personen nicht verfügbar, wurden Rollen nicht sauber delegiert oder ist Wissen nicht in Artefakte und Routinen übersetzt, steigt die organisatorische Verletzlichkeit. Der Engpass liegt dann in der fehlenden Wiederholbarkeit von Entscheidungen.</w:t>
      </w:r>
    </w:p>
    <w:p w14:paraId="5896717A" w14:textId="77777777" w:rsidR="00A4494E" w:rsidRPr="00325CBE" w:rsidRDefault="00A038EC">
      <w:pPr>
        <w:pStyle w:val="Textkrper"/>
        <w:rPr>
          <w:kern w:val="2"/>
          <w:lang w:val="de-DE"/>
        </w:rPr>
      </w:pPr>
      <w:r w:rsidRPr="00325CBE">
        <w:rPr>
          <w:lang w:val="de-DE"/>
        </w:rPr>
        <w:t>Ein belastbares Bauherren-Führungsmodell reduziert diese Abhängigkeit. Es macht nicht jede Organisation automatisch leistungsfähig, schafft aber einen gemeinsamen Standard: Wer entscheidet? Welche Unterlagen sind erforderlich? Welche Annahmen gelten? Welche Schwellen lösen eine Eskalation aus? Welche Entscheidungen müssen dokumentiert werden? So wird Erfahrung nicht ersetzt, aber in wiederholbare Führungslogik überführt.</w:t>
      </w:r>
    </w:p>
    <w:p w14:paraId="7C6BB2AE" w14:textId="77777777" w:rsidR="00A4494E" w:rsidRPr="00325CBE" w:rsidRDefault="00A038EC">
      <w:pPr>
        <w:pStyle w:val="berschrift2"/>
      </w:pPr>
      <w:bookmarkStart w:id="27" w:name="_Toc234746059"/>
      <w:bookmarkStart w:id="28" w:name="_Toc239764908"/>
      <w:r w:rsidRPr="00325CBE">
        <w:t>Warum Berichterstattung das Kernproblem nicht löst</w:t>
      </w:r>
      <w:bookmarkEnd w:id="27"/>
      <w:bookmarkEnd w:id="28"/>
    </w:p>
    <w:p w14:paraId="4AB2B060" w14:textId="77777777" w:rsidR="00A4494E" w:rsidRPr="00325CBE" w:rsidRDefault="00A038EC">
      <w:pPr>
        <w:pStyle w:val="Textkrper"/>
        <w:rPr>
          <w:kern w:val="2"/>
          <w:lang w:val="de-DE"/>
        </w:rPr>
      </w:pPr>
      <w:r w:rsidRPr="00325CBE">
        <w:rPr>
          <w:lang w:val="de-DE"/>
        </w:rPr>
        <w:t>Die naheliegende Reaktion auf Projektprobleme lautet oft: mehr Berichterstattung, mehr Abstimmung, mehr Gremienvorlagen, mehr Eskalationsrunden. Das kann in einzelnen Situationen helfen. Es löst aber nicht automatisch die Frage, wer was auf welcher Grundlage entscheiden darf und muss.</w:t>
      </w:r>
    </w:p>
    <w:p w14:paraId="442533C2" w14:textId="77777777" w:rsidR="00A4494E" w:rsidRPr="00325CBE" w:rsidRDefault="00A038EC">
      <w:pPr>
        <w:pStyle w:val="Textkrper"/>
        <w:rPr>
          <w:lang w:val="de-DE"/>
        </w:rPr>
      </w:pPr>
      <w:r w:rsidRPr="00325CBE">
        <w:rPr>
          <w:lang w:val="de-DE"/>
        </w:rPr>
        <w:t>Berichterstattung erzeugt Information. Führung entsteht erst, wenn Information mit Mandat, Entscheidung, Schwelle, Risikoannahme, Datenstand, Freigabe und Nachweis verbunden wird. Ein Ampelbericht ohne Entscheidungsfrage bleibt Beobachtung. Ein Änderungsregister ohne Schwellenlogik bleibt Verwaltung. Eine Risikoübersicht ohne Risikoannahme bleibt Warnsignal. Eine Gremienvorlage ohne klare Entscheidungssituation bleibt Beschlussformalismus.</w:t>
      </w:r>
    </w:p>
    <w:p w14:paraId="623F6DFE" w14:textId="77777777" w:rsidR="00A4494E" w:rsidRPr="00325CBE" w:rsidRDefault="00A038EC">
      <w:pPr>
        <w:pStyle w:val="Textkrper"/>
        <w:rPr>
          <w:lang w:val="de-DE"/>
        </w:rPr>
      </w:pPr>
      <w:r w:rsidRPr="00325CBE">
        <w:rPr>
          <w:lang w:val="de-DE"/>
        </w:rPr>
        <w:lastRenderedPageBreak/>
        <w:t>MVG setzt deshalb eine Stufe früher an. Es fragt nicht zuerst: Welche Berichte fehlen? Sondern: Welche nichtdelegierbaren Bauherrenentscheidungen müssen getroffen werden? Wer ist dafür letztverantwortlich? Welche Vorbereitung kann delegiert werden? Welche Mindestgrundlagen sind erforderlich? Welche Schwellen lösen Eskalation aus? Welcher Datenstand gilt? Wie wird der Beschluss später nachvollzogen?</w:t>
      </w:r>
    </w:p>
    <w:p w14:paraId="366BA548" w14:textId="77777777" w:rsidR="00A4494E" w:rsidRPr="00325CBE" w:rsidRDefault="00A038EC">
      <w:pPr>
        <w:pStyle w:val="berschrift2"/>
      </w:pPr>
      <w:bookmarkStart w:id="29" w:name="X78af438a0f062863b9a7e6783487dbaffe215b9"/>
      <w:bookmarkStart w:id="30" w:name="_Toc234746060"/>
      <w:bookmarkStart w:id="31" w:name="_Toc239764909"/>
      <w:bookmarkEnd w:id="29"/>
      <w:r w:rsidRPr="00325CBE">
        <w:t>Symptome fehlender Ausübungsfähigkeit</w:t>
      </w:r>
      <w:bookmarkEnd w:id="30"/>
      <w:bookmarkEnd w:id="31"/>
    </w:p>
    <w:p w14:paraId="5AB0863C" w14:textId="77777777" w:rsidR="00A4494E" w:rsidRPr="00325CBE" w:rsidRDefault="00A4494E">
      <w:pPr>
        <w:pStyle w:val="Textkrper"/>
        <w:rPr>
          <w:lang w:val="de-DE"/>
        </w:rPr>
      </w:pPr>
    </w:p>
    <w:tbl>
      <w:tblPr>
        <w:tblStyle w:val="Gitternetztabelle4Akzent1"/>
        <w:tblW w:w="5000" w:type="pct"/>
        <w:tblLayout w:type="fixed"/>
        <w:tblLook w:val="04A0" w:firstRow="1" w:lastRow="0" w:firstColumn="1" w:lastColumn="0" w:noHBand="0" w:noVBand="1"/>
      </w:tblPr>
      <w:tblGrid>
        <w:gridCol w:w="1951"/>
        <w:gridCol w:w="2693"/>
        <w:gridCol w:w="2199"/>
        <w:gridCol w:w="2777"/>
      </w:tblGrid>
      <w:tr w:rsidR="00A4494E" w:rsidRPr="00325CBE" w14:paraId="4DE1AC82" w14:textId="77777777" w:rsidTr="00902DB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4F81BD"/>
              <w:left w:val="single" w:sz="4" w:space="0" w:color="4F81BD"/>
              <w:bottom w:val="single" w:sz="4" w:space="0" w:color="4F81BD"/>
              <w:right w:val="single" w:sz="4" w:space="0" w:color="4F81BD"/>
            </w:tcBorders>
          </w:tcPr>
          <w:p w14:paraId="411A85C9" w14:textId="77777777" w:rsidR="00A4494E" w:rsidRPr="00325CBE" w:rsidRDefault="00A038EC">
            <w:pPr>
              <w:pStyle w:val="Compact"/>
              <w:spacing w:before="0" w:after="40"/>
              <w:rPr>
                <w:lang w:val="de-DE"/>
              </w:rPr>
            </w:pPr>
            <w:r w:rsidRPr="00325CBE">
              <w:rPr>
                <w:rFonts w:eastAsia="Cambria"/>
                <w:lang w:val="de-DE"/>
              </w:rPr>
              <w:t>Symptom</w:t>
            </w:r>
          </w:p>
        </w:tc>
        <w:tc>
          <w:tcPr>
            <w:tcW w:w="2693" w:type="dxa"/>
            <w:tcBorders>
              <w:top w:val="single" w:sz="4" w:space="0" w:color="4F81BD"/>
              <w:left w:val="single" w:sz="4" w:space="0" w:color="4F81BD"/>
              <w:bottom w:val="single" w:sz="4" w:space="0" w:color="4F81BD"/>
              <w:right w:val="single" w:sz="4" w:space="0" w:color="4F81BD"/>
            </w:tcBorders>
          </w:tcPr>
          <w:p w14:paraId="318B4FA1"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Typisches Muster</w:t>
            </w:r>
          </w:p>
        </w:tc>
        <w:tc>
          <w:tcPr>
            <w:tcW w:w="2199" w:type="dxa"/>
            <w:tcBorders>
              <w:top w:val="single" w:sz="4" w:space="0" w:color="4F81BD"/>
              <w:left w:val="single" w:sz="4" w:space="0" w:color="4F81BD"/>
              <w:bottom w:val="single" w:sz="4" w:space="0" w:color="4F81BD"/>
              <w:right w:val="single" w:sz="4" w:space="0" w:color="4F81BD"/>
            </w:tcBorders>
          </w:tcPr>
          <w:p w14:paraId="487AA4A3"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Konsequenz für den Bauherrn</w:t>
            </w:r>
          </w:p>
        </w:tc>
        <w:tc>
          <w:tcPr>
            <w:tcW w:w="2777" w:type="dxa"/>
            <w:tcBorders>
              <w:top w:val="single" w:sz="4" w:space="0" w:color="4F81BD"/>
              <w:left w:val="single" w:sz="4" w:space="0" w:color="4F81BD"/>
              <w:bottom w:val="single" w:sz="4" w:space="0" w:color="4F81BD"/>
              <w:right w:val="single" w:sz="4" w:space="0" w:color="4F81BD"/>
            </w:tcBorders>
          </w:tcPr>
          <w:p w14:paraId="240AD031"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MVG-Reaktion</w:t>
            </w:r>
          </w:p>
        </w:tc>
      </w:tr>
      <w:tr w:rsidR="00A4494E" w:rsidRPr="00325CBE" w14:paraId="4262F637" w14:textId="77777777" w:rsidTr="00902D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51" w:type="dxa"/>
          </w:tcPr>
          <w:p w14:paraId="65A3E6B8" w14:textId="77777777" w:rsidR="00A4494E" w:rsidRPr="00325CBE" w:rsidRDefault="00A038EC">
            <w:pPr>
              <w:pStyle w:val="Compact"/>
              <w:spacing w:before="0" w:after="40"/>
              <w:rPr>
                <w:lang w:val="de-DE"/>
              </w:rPr>
            </w:pPr>
            <w:r w:rsidRPr="00325CBE">
              <w:rPr>
                <w:rFonts w:eastAsia="Cambria"/>
                <w:lang w:val="de-DE"/>
              </w:rPr>
              <w:t>Unklare Zielprioritäten</w:t>
            </w:r>
          </w:p>
        </w:tc>
        <w:tc>
          <w:tcPr>
            <w:tcW w:w="2693" w:type="dxa"/>
          </w:tcPr>
          <w:p w14:paraId="5BD70579"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Kosten, Termine, Qualität, ESG, Nutzeranforderungen und Risiko werden situativ gegeneinander ausgespielt.</w:t>
            </w:r>
          </w:p>
        </w:tc>
        <w:tc>
          <w:tcPr>
            <w:tcW w:w="2199" w:type="dxa"/>
          </w:tcPr>
          <w:p w14:paraId="62F9CA9F"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Entscheidungen werden inkonsistent; spätere Korrekturen werden wahrscheinlicher.</w:t>
            </w:r>
          </w:p>
        </w:tc>
        <w:tc>
          <w:tcPr>
            <w:tcW w:w="2777" w:type="dxa"/>
          </w:tcPr>
          <w:p w14:paraId="23DF2389"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Zielsystem, Muss-/Kann-Kriterien und Abwägungsregeln festlegen.</w:t>
            </w:r>
          </w:p>
        </w:tc>
      </w:tr>
      <w:tr w:rsidR="00A4494E" w:rsidRPr="00325CBE" w14:paraId="1FDA575F" w14:textId="77777777" w:rsidTr="00902DB4">
        <w:trPr>
          <w:cantSplit/>
        </w:trPr>
        <w:tc>
          <w:tcPr>
            <w:cnfStyle w:val="001000000000" w:firstRow="0" w:lastRow="0" w:firstColumn="1" w:lastColumn="0" w:oddVBand="0" w:evenVBand="0" w:oddHBand="0" w:evenHBand="0" w:firstRowFirstColumn="0" w:firstRowLastColumn="0" w:lastRowFirstColumn="0" w:lastRowLastColumn="0"/>
            <w:tcW w:w="1951" w:type="dxa"/>
          </w:tcPr>
          <w:p w14:paraId="698C85B4" w14:textId="77777777" w:rsidR="00A4494E" w:rsidRPr="00325CBE" w:rsidRDefault="00A038EC">
            <w:pPr>
              <w:pStyle w:val="Compact"/>
              <w:spacing w:before="0" w:after="40"/>
              <w:rPr>
                <w:lang w:val="de-DE"/>
              </w:rPr>
            </w:pPr>
            <w:r w:rsidRPr="00325CBE">
              <w:rPr>
                <w:rFonts w:eastAsia="Cambria"/>
                <w:lang w:val="de-DE"/>
              </w:rPr>
              <w:t>Rollen ohne Mandat</w:t>
            </w:r>
          </w:p>
        </w:tc>
        <w:tc>
          <w:tcPr>
            <w:tcW w:w="2693" w:type="dxa"/>
          </w:tcPr>
          <w:p w14:paraId="4EF22F8B"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RACI (Rollen- und Zuständigkeitsmatrix) oder Organigramm existieren, aber Freigabe­schwellen, Stellvertretungen und Eskalations­wege fehlen.</w:t>
            </w:r>
          </w:p>
        </w:tc>
        <w:tc>
          <w:tcPr>
            <w:tcW w:w="2199" w:type="dxa"/>
          </w:tcPr>
          <w:p w14:paraId="3C16C994"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Entscheidungen werden informell getroffen oder zu spät eskaliert.</w:t>
            </w:r>
          </w:p>
        </w:tc>
        <w:tc>
          <w:tcPr>
            <w:tcW w:w="2777" w:type="dxa"/>
          </w:tcPr>
          <w:p w14:paraId="514003B0"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RACI um Mandat, Schwelle, letztverantwortliche Rolle und Bezug zur Freigabe erweitern.</w:t>
            </w:r>
          </w:p>
        </w:tc>
      </w:tr>
      <w:tr w:rsidR="00A4494E" w:rsidRPr="00325CBE" w14:paraId="7F33E100" w14:textId="77777777" w:rsidTr="00902D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51" w:type="dxa"/>
          </w:tcPr>
          <w:p w14:paraId="1656A896" w14:textId="650E2117" w:rsidR="00A4494E" w:rsidRPr="00325CBE" w:rsidRDefault="00A038EC">
            <w:pPr>
              <w:pStyle w:val="Compact"/>
              <w:spacing w:before="0" w:after="40"/>
              <w:rPr>
                <w:lang w:val="de-DE"/>
              </w:rPr>
            </w:pPr>
            <w:r w:rsidRPr="00325CBE">
              <w:rPr>
                <w:rFonts w:eastAsia="Cambria"/>
                <w:lang w:val="de-DE"/>
              </w:rPr>
              <w:t>Gremien ohne Entscheidungs­</w:t>
            </w:r>
            <w:r w:rsidR="00902DB4">
              <w:rPr>
                <w:rFonts w:eastAsia="Cambria"/>
                <w:lang w:val="de-DE"/>
              </w:rPr>
              <w:br/>
            </w:r>
            <w:r w:rsidRPr="00325CBE">
              <w:rPr>
                <w:rFonts w:eastAsia="Cambria"/>
                <w:lang w:val="de-DE"/>
              </w:rPr>
              <w:t>reife</w:t>
            </w:r>
          </w:p>
        </w:tc>
        <w:tc>
          <w:tcPr>
            <w:tcW w:w="2693" w:type="dxa"/>
          </w:tcPr>
          <w:p w14:paraId="158E4A80"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Unterlagen sind umfangreich, aber Entscheidungs­frage, Optionen, Datenstand und Risiken sind nicht präzise genug.</w:t>
            </w:r>
          </w:p>
        </w:tc>
        <w:tc>
          <w:tcPr>
            <w:tcW w:w="2199" w:type="dxa"/>
          </w:tcPr>
          <w:p w14:paraId="0ECCD955"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Gremien vertagen, entscheiden unter Unsicherheit oder delegieren Verantwortung zurück.</w:t>
            </w:r>
          </w:p>
        </w:tc>
        <w:tc>
          <w:tcPr>
            <w:tcW w:w="2777" w:type="dxa"/>
          </w:tcPr>
          <w:p w14:paraId="63BA5AA2"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Entscheidungsreife je Freigabe definieren und mit Entscheidungs-IDs verbinden.</w:t>
            </w:r>
          </w:p>
        </w:tc>
      </w:tr>
      <w:tr w:rsidR="00A4494E" w:rsidRPr="00325CBE" w14:paraId="5BF63A33" w14:textId="77777777" w:rsidTr="00902DB4">
        <w:trPr>
          <w:cantSplit/>
        </w:trPr>
        <w:tc>
          <w:tcPr>
            <w:cnfStyle w:val="001000000000" w:firstRow="0" w:lastRow="0" w:firstColumn="1" w:lastColumn="0" w:oddVBand="0" w:evenVBand="0" w:oddHBand="0" w:evenHBand="0" w:firstRowFirstColumn="0" w:firstRowLastColumn="0" w:lastRowFirstColumn="0" w:lastRowLastColumn="0"/>
            <w:tcW w:w="1951" w:type="dxa"/>
          </w:tcPr>
          <w:p w14:paraId="044BA946" w14:textId="77777777" w:rsidR="00A4494E" w:rsidRPr="00325CBE" w:rsidRDefault="00A038EC">
            <w:pPr>
              <w:pStyle w:val="Compact"/>
              <w:spacing w:before="0" w:after="40"/>
              <w:rPr>
                <w:lang w:val="de-DE"/>
              </w:rPr>
            </w:pPr>
            <w:r w:rsidRPr="00325CBE">
              <w:rPr>
                <w:rFonts w:eastAsia="Cambria"/>
                <w:lang w:val="de-DE"/>
              </w:rPr>
              <w:t>Parallele Datenstände</w:t>
            </w:r>
          </w:p>
        </w:tc>
        <w:tc>
          <w:tcPr>
            <w:tcW w:w="2693" w:type="dxa"/>
          </w:tcPr>
          <w:p w14:paraId="65A9A809"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Kosten, Termin, Projektumfang, Risiken und Annahmen werden in unterschiedlichen Fassungen geführt.</w:t>
            </w:r>
          </w:p>
        </w:tc>
        <w:tc>
          <w:tcPr>
            <w:tcW w:w="2199" w:type="dxa"/>
          </w:tcPr>
          <w:p w14:paraId="38A057A8"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Entscheidungen beruhen auf widersprüchlichen Grundlagen.</w:t>
            </w:r>
          </w:p>
        </w:tc>
        <w:tc>
          <w:tcPr>
            <w:tcW w:w="2777" w:type="dxa"/>
          </w:tcPr>
          <w:p w14:paraId="7A4FA191"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Datenstands­logik, Versionierung und referenzierte Entscheidungs­grundlagen einführen.</w:t>
            </w:r>
          </w:p>
        </w:tc>
      </w:tr>
      <w:tr w:rsidR="00A4494E" w:rsidRPr="00325CBE" w14:paraId="3EE8B525" w14:textId="77777777" w:rsidTr="00902D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51" w:type="dxa"/>
          </w:tcPr>
          <w:p w14:paraId="1023A08E" w14:textId="77777777" w:rsidR="00A4494E" w:rsidRPr="00325CBE" w:rsidRDefault="00A038EC">
            <w:pPr>
              <w:pStyle w:val="Compact"/>
              <w:spacing w:before="0" w:after="40"/>
              <w:rPr>
                <w:lang w:val="de-DE"/>
              </w:rPr>
            </w:pPr>
            <w:r w:rsidRPr="00325CBE">
              <w:rPr>
                <w:rFonts w:eastAsia="Cambria"/>
                <w:lang w:val="de-DE"/>
              </w:rPr>
              <w:t>Schleichende Risiko- und Änderungs­entwicklung</w:t>
            </w:r>
          </w:p>
        </w:tc>
        <w:tc>
          <w:tcPr>
            <w:tcW w:w="2693" w:type="dxa"/>
          </w:tcPr>
          <w:p w14:paraId="41D31BE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Risiken und Änderungen laufen parallel, ohne gemeinsame Priorisierung, Auswirkungsbewertung und Freigabeschwelle.</w:t>
            </w:r>
          </w:p>
        </w:tc>
        <w:tc>
          <w:tcPr>
            <w:tcW w:w="2199" w:type="dxa"/>
          </w:tcPr>
          <w:p w14:paraId="5AE1A50F"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Projektumfang, Budget und Termine verschieben sich schleichend.</w:t>
            </w:r>
          </w:p>
        </w:tc>
        <w:tc>
          <w:tcPr>
            <w:tcW w:w="2777" w:type="dxa"/>
          </w:tcPr>
          <w:p w14:paraId="1D86293C"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Risiko-/Änderungs-/Maßnahmensystem mit Entscheidungs­verknüpfungen und Schwellenlogik koppeln.</w:t>
            </w:r>
          </w:p>
        </w:tc>
      </w:tr>
      <w:tr w:rsidR="00A4494E" w:rsidRPr="00325CBE" w14:paraId="58E9F57A" w14:textId="77777777" w:rsidTr="00902DB4">
        <w:trPr>
          <w:cantSplit/>
        </w:trPr>
        <w:tc>
          <w:tcPr>
            <w:cnfStyle w:val="001000000000" w:firstRow="0" w:lastRow="0" w:firstColumn="1" w:lastColumn="0" w:oddVBand="0" w:evenVBand="0" w:oddHBand="0" w:evenHBand="0" w:firstRowFirstColumn="0" w:firstRowLastColumn="0" w:lastRowFirstColumn="0" w:lastRowLastColumn="0"/>
            <w:tcW w:w="1951" w:type="dxa"/>
          </w:tcPr>
          <w:p w14:paraId="007A17D3" w14:textId="34800461" w:rsidR="00A4494E" w:rsidRPr="00325CBE" w:rsidRDefault="00A038EC">
            <w:pPr>
              <w:pStyle w:val="Compact"/>
              <w:spacing w:before="0" w:after="40"/>
              <w:rPr>
                <w:lang w:val="de-DE"/>
              </w:rPr>
            </w:pPr>
            <w:r w:rsidRPr="00325CBE">
              <w:rPr>
                <w:rFonts w:eastAsia="Cambria"/>
                <w:lang w:val="de-DE"/>
              </w:rPr>
              <w:t>Prognosekonflikte</w:t>
            </w:r>
          </w:p>
        </w:tc>
        <w:tc>
          <w:tcPr>
            <w:tcW w:w="2693" w:type="dxa"/>
          </w:tcPr>
          <w:p w14:paraId="66F0A2C9"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Kostenprognosen, Restkosten, Risikoreserve und Risiken werden unterschiedlich gelesen.</w:t>
            </w:r>
          </w:p>
        </w:tc>
        <w:tc>
          <w:tcPr>
            <w:tcW w:w="2199" w:type="dxa"/>
          </w:tcPr>
          <w:p w14:paraId="38A1EE82"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Entscheidungen zu Budget und Neufestlegung der Projektbasis werden politisch oder informell statt evidenzbasiert getroffen.</w:t>
            </w:r>
          </w:p>
        </w:tc>
        <w:tc>
          <w:tcPr>
            <w:tcW w:w="2777" w:type="dxa"/>
          </w:tcPr>
          <w:p w14:paraId="3747CF56"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Prognosebericht, CTC-Entscheidungsanbindung und Neufestlegung der Projektbasis als Sonderformat außerhalb der regulären Freigabereihe etablieren.</w:t>
            </w:r>
          </w:p>
        </w:tc>
      </w:tr>
      <w:tr w:rsidR="00A4494E" w:rsidRPr="00325CBE" w14:paraId="5A4775B5" w14:textId="77777777" w:rsidTr="00902D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51" w:type="dxa"/>
          </w:tcPr>
          <w:p w14:paraId="227B1DFE" w14:textId="5EE07C51" w:rsidR="00A4494E" w:rsidRPr="00325CBE" w:rsidRDefault="00A038EC">
            <w:pPr>
              <w:pStyle w:val="Compact"/>
              <w:spacing w:before="0" w:after="40"/>
              <w:rPr>
                <w:lang w:val="de-DE"/>
              </w:rPr>
            </w:pPr>
            <w:r w:rsidRPr="00325CBE">
              <w:rPr>
                <w:rFonts w:eastAsia="Cambria"/>
                <w:lang w:val="de-DE"/>
              </w:rPr>
              <w:lastRenderedPageBreak/>
              <w:t>Wissens</w:t>
            </w:r>
            <w:r w:rsidR="00902DB4">
              <w:rPr>
                <w:rFonts w:eastAsia="Cambria"/>
                <w:lang w:val="de-DE"/>
              </w:rPr>
              <w:t>-</w:t>
            </w:r>
            <w:r w:rsidRPr="00325CBE">
              <w:rPr>
                <w:rFonts w:eastAsia="Cambria"/>
                <w:lang w:val="de-DE"/>
              </w:rPr>
              <w:t>abhängigkeit</w:t>
            </w:r>
          </w:p>
        </w:tc>
        <w:tc>
          <w:tcPr>
            <w:tcW w:w="2693" w:type="dxa"/>
          </w:tcPr>
          <w:p w14:paraId="683A567D"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Kritisches Wissen liegt bei wenigen Personen und ist nicht in Routinen übersetzt.</w:t>
            </w:r>
          </w:p>
        </w:tc>
        <w:tc>
          <w:tcPr>
            <w:tcW w:w="2199" w:type="dxa"/>
          </w:tcPr>
          <w:p w14:paraId="2114E29D"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Organisation wird verletzlich, sobald Rollen wechseln oder ausfallen.</w:t>
            </w:r>
          </w:p>
        </w:tc>
        <w:tc>
          <w:tcPr>
            <w:tcW w:w="2777" w:type="dxa"/>
          </w:tcPr>
          <w:p w14:paraId="39465569"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Betriebshandbuch, Rollenlogik, Standardroutinen und Befähigung verankern.</w:t>
            </w:r>
          </w:p>
        </w:tc>
      </w:tr>
      <w:tr w:rsidR="00A4494E" w:rsidRPr="00325CBE" w14:paraId="7CD63330" w14:textId="77777777" w:rsidTr="00902DB4">
        <w:trPr>
          <w:cantSplit/>
        </w:trPr>
        <w:tc>
          <w:tcPr>
            <w:cnfStyle w:val="001000000000" w:firstRow="0" w:lastRow="0" w:firstColumn="1" w:lastColumn="0" w:oddVBand="0" w:evenVBand="0" w:oddHBand="0" w:evenHBand="0" w:firstRowFirstColumn="0" w:firstRowLastColumn="0" w:lastRowFirstColumn="0" w:lastRowLastColumn="0"/>
            <w:tcW w:w="1951" w:type="dxa"/>
          </w:tcPr>
          <w:p w14:paraId="027B956C" w14:textId="77777777" w:rsidR="00A4494E" w:rsidRPr="00325CBE" w:rsidRDefault="00A038EC">
            <w:pPr>
              <w:pStyle w:val="Compact"/>
              <w:spacing w:before="0" w:after="40"/>
              <w:rPr>
                <w:lang w:val="de-DE"/>
              </w:rPr>
            </w:pPr>
            <w:r w:rsidRPr="00325CBE">
              <w:rPr>
                <w:rFonts w:eastAsia="Cambria"/>
                <w:lang w:val="de-DE"/>
              </w:rPr>
              <w:t>Eskalation ohne Entscheidung</w:t>
            </w:r>
          </w:p>
        </w:tc>
        <w:tc>
          <w:tcPr>
            <w:tcW w:w="2693" w:type="dxa"/>
          </w:tcPr>
          <w:p w14:paraId="5A1FFC97"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Themen werden nach oben gegeben, aber ohne klare Entscheidungsoptionen, Empfehlung oder Konsequenzen.</w:t>
            </w:r>
          </w:p>
        </w:tc>
        <w:tc>
          <w:tcPr>
            <w:tcW w:w="2199" w:type="dxa"/>
          </w:tcPr>
          <w:p w14:paraId="182A1B15"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Eskalation erzeugt Verzögerung statt Führung.</w:t>
            </w:r>
          </w:p>
        </w:tc>
        <w:tc>
          <w:tcPr>
            <w:tcW w:w="2777" w:type="dxa"/>
          </w:tcPr>
          <w:p w14:paraId="225DA02A"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Standard für Entscheidungs­vorlagen und Entscheidungs­frage je Eskalation verbindlich machen.</w:t>
            </w:r>
          </w:p>
        </w:tc>
      </w:tr>
    </w:tbl>
    <w:p w14:paraId="4076A0AA" w14:textId="77777777" w:rsidR="00A4494E" w:rsidRDefault="00A038EC">
      <w:pPr>
        <w:pStyle w:val="Textkrper"/>
        <w:rPr>
          <w:lang w:val="de-DE"/>
        </w:rPr>
      </w:pPr>
      <w:r w:rsidRPr="00325CBE">
        <w:rPr>
          <w:lang w:val="de-DE"/>
        </w:rPr>
        <w:t>Diese Symptome sind zugleich der Prüfgegenstand der MVG-Reifegradanalyse (Abschnitt 7.1): Dort werden sie systematisch erhoben, bewertet und priorisiert. Bevor daraus ein Bauherren-Führungsmodell werden kann, braucht es allerdings begriffliche Klarheit: Was ist delegierbar – und was nicht? Diese Linie zieht das folgende Kapitel.</w:t>
      </w:r>
    </w:p>
    <w:p w14:paraId="21FE66B6" w14:textId="066A8518" w:rsidR="00A4494E" w:rsidRPr="00325CBE" w:rsidRDefault="002847B6" w:rsidP="002847B6">
      <w:pPr>
        <w:pStyle w:val="berschrift1"/>
        <w:rPr>
          <w:lang w:val="de-DE"/>
        </w:rPr>
      </w:pPr>
      <w:r>
        <w:rPr>
          <w:lang w:val="de-DE"/>
        </w:rPr>
        <w:br w:type="column"/>
      </w:r>
      <w:bookmarkStart w:id="32" w:name="symptome-fehlender-ausübungsfähigkeit"/>
      <w:bookmarkStart w:id="33" w:name="ausgangslage-und-kernproblem"/>
      <w:bookmarkStart w:id="34" w:name="_Toc234746061"/>
      <w:bookmarkStart w:id="35" w:name="_Toc239764910"/>
      <w:bookmarkEnd w:id="15"/>
      <w:bookmarkEnd w:id="32"/>
      <w:bookmarkEnd w:id="33"/>
      <w:r w:rsidR="00A038EC" w:rsidRPr="00325CBE">
        <w:rPr>
          <w:lang w:val="de-DE"/>
        </w:rPr>
        <w:lastRenderedPageBreak/>
        <w:t>Begriffsrahmen – delegierbare Arbeit, Mandat und nichtdelegierbare Verantwortung</w:t>
      </w:r>
      <w:bookmarkEnd w:id="34"/>
      <w:bookmarkEnd w:id="35"/>
    </w:p>
    <w:p w14:paraId="496FAD2D" w14:textId="41AECDC7" w:rsidR="00AB1DDB" w:rsidRPr="00325CBE" w:rsidRDefault="00AB1DDB" w:rsidP="002847B6">
      <w:pPr>
        <w:pStyle w:val="Textkrper"/>
        <w:jc w:val="center"/>
        <w:rPr>
          <w:lang w:val="de-DE"/>
        </w:rPr>
      </w:pPr>
      <w:r w:rsidRPr="00325CBE">
        <w:rPr>
          <w:noProof/>
          <w:lang w:val="de-DE"/>
        </w:rPr>
        <w:drawing>
          <wp:inline distT="0" distB="0" distL="0" distR="0" wp14:anchorId="6A19335E" wp14:editId="749703DB">
            <wp:extent cx="6250382" cy="4536246"/>
            <wp:effectExtent l="0" t="0" r="0" b="0"/>
            <wp:docPr id="3661134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13401" name=""/>
                    <pic:cNvPicPr/>
                  </pic:nvPicPr>
                  <pic:blipFill>
                    <a:blip r:embed="rId11"/>
                    <a:stretch>
                      <a:fillRect/>
                    </a:stretch>
                  </pic:blipFill>
                  <pic:spPr>
                    <a:xfrm>
                      <a:off x="0" y="0"/>
                      <a:ext cx="6283024" cy="4559936"/>
                    </a:xfrm>
                    <a:prstGeom prst="rect">
                      <a:avLst/>
                    </a:prstGeom>
                  </pic:spPr>
                </pic:pic>
              </a:graphicData>
            </a:graphic>
          </wp:inline>
        </w:drawing>
      </w:r>
    </w:p>
    <w:p w14:paraId="06CD1FD0" w14:textId="77777777" w:rsidR="00A4494E" w:rsidRPr="00325CBE" w:rsidRDefault="00A038EC">
      <w:pPr>
        <w:pStyle w:val="Textkrper"/>
        <w:rPr>
          <w:kern w:val="2"/>
          <w:lang w:val="de-DE"/>
        </w:rPr>
      </w:pPr>
      <w:bookmarkStart w:id="36" w:name="OLE_LINK5"/>
      <w:bookmarkStart w:id="37" w:name="OLE_LINK4"/>
      <w:r w:rsidRPr="00325CBE">
        <w:rPr>
          <w:lang w:val="de-DE"/>
        </w:rPr>
        <w:t xml:space="preserve">Der Begriff der nichtdelegierbaren Bauherrenverantwortung wird in diesem Whitepaper als Governance- </w:t>
      </w:r>
      <w:bookmarkStart w:id="38" w:name="OLE_LINK6"/>
      <w:r w:rsidRPr="00325CBE">
        <w:rPr>
          <w:lang w:val="de-DE"/>
        </w:rPr>
        <w:t>und Führungsbegriff verwendet. Er bezeichnet jene Verantwortungen, bei denen der Bauherr zwar Unterstützung einkaufen, Vorbereitung delegieren und Dokumentation strukturieren lassen kann, die eigene Legitimation der Entscheidung aber nicht verliert.</w:t>
      </w:r>
    </w:p>
    <w:p w14:paraId="064A22B7" w14:textId="77777777" w:rsidR="00A4494E" w:rsidRPr="00325CBE" w:rsidRDefault="00A038EC">
      <w:pPr>
        <w:pStyle w:val="Textkrper"/>
        <w:rPr>
          <w:lang w:val="de-DE"/>
        </w:rPr>
      </w:pPr>
      <w:r w:rsidRPr="00325CBE">
        <w:rPr>
          <w:lang w:val="de-DE"/>
        </w:rPr>
        <w:t>Es geht nicht um einen abschließenden juristischen Pflichtenkatalog. Es geht um die organisatorische Frage, an welchen Stellen die Bauherrenorganisation selbst entscheidungsfähig bleiben muss. Genau diese Differenz ist für komplexe Bauprojekte entscheidend: Arbeit kann delegiert werden, Verantwortung muss ausübbar bleiben.</w:t>
      </w:r>
    </w:p>
    <w:p w14:paraId="65228A24" w14:textId="77777777" w:rsidR="00A4494E" w:rsidRPr="00325CBE" w:rsidRDefault="00A038EC">
      <w:pPr>
        <w:pStyle w:val="berschrift2"/>
      </w:pPr>
      <w:bookmarkStart w:id="39" w:name="_Toc234746062"/>
      <w:bookmarkStart w:id="40" w:name="_Toc239764911"/>
      <w:bookmarkEnd w:id="36"/>
      <w:r w:rsidRPr="00325CBE">
        <w:t>Arbeitsdefinition</w:t>
      </w:r>
      <w:bookmarkEnd w:id="39"/>
      <w:bookmarkEnd w:id="40"/>
    </w:p>
    <w:p w14:paraId="791A61BD" w14:textId="77777777" w:rsidR="00A4494E" w:rsidRPr="00325CBE" w:rsidRDefault="00A038EC">
      <w:pPr>
        <w:pStyle w:val="Textkrper"/>
        <w:rPr>
          <w:kern w:val="2"/>
          <w:lang w:val="de-DE"/>
        </w:rPr>
      </w:pPr>
      <w:r w:rsidRPr="00325CBE">
        <w:rPr>
          <w:lang w:val="de-DE"/>
        </w:rPr>
        <w:t>Nichtdelegierbare Bauherrenverantwortungen sind jene Verantwortungen, bei denen der Bauherr Zweck, Ziel, Mandat, wesentliche Entscheidung, Risikoannahme, Freigabe, Datenstand und Nachweis selbst legitimieren muss, auch wenn Analyse, Vorbereitung, Koordination und Dokumentation durch Dritte erfolgen.</w:t>
      </w:r>
    </w:p>
    <w:p w14:paraId="042487A0" w14:textId="43816453" w:rsidR="00A4494E" w:rsidRDefault="00A038EC">
      <w:pPr>
        <w:pStyle w:val="Textkrper"/>
        <w:rPr>
          <w:lang w:val="de-DE"/>
        </w:rPr>
      </w:pPr>
      <w:r w:rsidRPr="00325CBE">
        <w:rPr>
          <w:lang w:val="de-DE"/>
        </w:rPr>
        <w:lastRenderedPageBreak/>
        <w:t xml:space="preserve">Diese Definition ist bewusst governance-bezogen. Sie fragt nicht, welche einzelne Rechtsnorm in welcher Projektkonstellation gilt. Sie fragt, welche Führungsleistung beim Bauherrn verbleibt, damit Entscheidungen tragfähig, mandatiert, nachvollziehbar und organisationsfest werden. </w:t>
      </w:r>
      <w:r w:rsidR="001C2DCC" w:rsidRPr="00325CBE">
        <w:rPr>
          <w:lang w:val="de-DE"/>
        </w:rPr>
        <w:br/>
      </w:r>
      <w:r w:rsidRPr="00325CBE">
        <w:rPr>
          <w:lang w:val="de-DE"/>
        </w:rPr>
        <w:t>Zugleich benennt sie die sechs Verantwortungsfelder – Ziel, Mandat, wesentliche Entscheidung, Risikoannahme, Freigabe sowie Datenstand und Nachweis –, die Kapitel 4 im Einzelnen entfaltet.</w:t>
      </w:r>
    </w:p>
    <w:p w14:paraId="4F3979F8" w14:textId="77777777" w:rsidR="0075423C" w:rsidRPr="00325CBE" w:rsidRDefault="0075423C">
      <w:pPr>
        <w:pStyle w:val="Textkrper"/>
        <w:rPr>
          <w:lang w:val="de-DE"/>
        </w:rPr>
      </w:pPr>
    </w:p>
    <w:p w14:paraId="0873B143" w14:textId="77777777" w:rsidR="00A4494E" w:rsidRPr="00325CBE" w:rsidRDefault="00A038EC">
      <w:pPr>
        <w:pStyle w:val="berschrift2"/>
      </w:pPr>
      <w:bookmarkStart w:id="41" w:name="arbeitsdefinition"/>
      <w:bookmarkStart w:id="42" w:name="_Toc234746063"/>
      <w:bookmarkStart w:id="43" w:name="_Toc239764912"/>
      <w:bookmarkEnd w:id="41"/>
      <w:r w:rsidRPr="00325CBE">
        <w:t>Delegierbar und nicht delegierbar</w:t>
      </w:r>
      <w:bookmarkEnd w:id="42"/>
      <w:bookmarkEnd w:id="43"/>
    </w:p>
    <w:p w14:paraId="59640A4A" w14:textId="77777777" w:rsidR="00A4494E" w:rsidRPr="00325CBE" w:rsidRDefault="00A4494E">
      <w:pPr>
        <w:pStyle w:val="Textkrper"/>
        <w:rPr>
          <w:lang w:val="de-DE"/>
        </w:rPr>
      </w:pPr>
    </w:p>
    <w:tbl>
      <w:tblPr>
        <w:tblStyle w:val="Gitternetztabelle4Akzent1"/>
        <w:tblW w:w="5000" w:type="pct"/>
        <w:tblLayout w:type="fixed"/>
        <w:tblLook w:val="0420" w:firstRow="1" w:lastRow="0" w:firstColumn="0" w:lastColumn="0" w:noHBand="0" w:noVBand="1"/>
      </w:tblPr>
      <w:tblGrid>
        <w:gridCol w:w="4423"/>
        <w:gridCol w:w="5197"/>
      </w:tblGrid>
      <w:tr w:rsidR="00A4494E" w:rsidRPr="00325CBE" w14:paraId="5CC18869" w14:textId="77777777" w:rsidTr="00A4494E">
        <w:trPr>
          <w:cnfStyle w:val="100000000000" w:firstRow="1" w:lastRow="0" w:firstColumn="0" w:lastColumn="0" w:oddVBand="0" w:evenVBand="0" w:oddHBand="0" w:evenHBand="0" w:firstRowFirstColumn="0" w:firstRowLastColumn="0" w:lastRowFirstColumn="0" w:lastRowLastColumn="0"/>
          <w:cantSplit/>
        </w:trPr>
        <w:tc>
          <w:tcPr>
            <w:tcW w:w="4323" w:type="dxa"/>
            <w:tcBorders>
              <w:top w:val="single" w:sz="4" w:space="0" w:color="4F81BD"/>
              <w:left w:val="single" w:sz="4" w:space="0" w:color="4F81BD"/>
              <w:bottom w:val="single" w:sz="4" w:space="0" w:color="4F81BD"/>
              <w:right w:val="single" w:sz="4" w:space="0" w:color="4F81BD"/>
            </w:tcBorders>
          </w:tcPr>
          <w:p w14:paraId="6DEBA680" w14:textId="77777777" w:rsidR="00A4494E" w:rsidRPr="00325CBE" w:rsidRDefault="00A038EC">
            <w:pPr>
              <w:pStyle w:val="Compact"/>
              <w:spacing w:before="0" w:after="40"/>
              <w:rPr>
                <w:b w:val="0"/>
                <w:bCs w:val="0"/>
                <w:lang w:val="de-DE"/>
              </w:rPr>
            </w:pPr>
            <w:r w:rsidRPr="00325CBE">
              <w:rPr>
                <w:rFonts w:eastAsia="Cambria"/>
                <w:bCs w:val="0"/>
                <w:lang w:val="de-DE"/>
              </w:rPr>
              <w:t>Delegierbar</w:t>
            </w:r>
          </w:p>
        </w:tc>
        <w:tc>
          <w:tcPr>
            <w:tcW w:w="5080" w:type="dxa"/>
            <w:tcBorders>
              <w:top w:val="single" w:sz="4" w:space="0" w:color="4F81BD"/>
              <w:left w:val="single" w:sz="4" w:space="0" w:color="4F81BD"/>
              <w:bottom w:val="single" w:sz="4" w:space="0" w:color="4F81BD"/>
              <w:right w:val="single" w:sz="4" w:space="0" w:color="4F81BD"/>
            </w:tcBorders>
          </w:tcPr>
          <w:p w14:paraId="045F72BE" w14:textId="77777777" w:rsidR="00A4494E" w:rsidRPr="00325CBE" w:rsidRDefault="00A038EC">
            <w:pPr>
              <w:pStyle w:val="Compact"/>
              <w:spacing w:before="0" w:after="40"/>
              <w:rPr>
                <w:b w:val="0"/>
                <w:bCs w:val="0"/>
                <w:lang w:val="de-DE"/>
              </w:rPr>
            </w:pPr>
            <w:r w:rsidRPr="00325CBE">
              <w:rPr>
                <w:rFonts w:eastAsia="Cambria"/>
                <w:bCs w:val="0"/>
                <w:lang w:val="de-DE"/>
              </w:rPr>
              <w:t>Nicht delegierbar</w:t>
            </w:r>
          </w:p>
        </w:tc>
      </w:tr>
      <w:tr w:rsidR="00A4494E" w:rsidRPr="00325CBE" w14:paraId="02FE45FC" w14:textId="77777777" w:rsidTr="00A4494E">
        <w:trPr>
          <w:cnfStyle w:val="000000100000" w:firstRow="0" w:lastRow="0" w:firstColumn="0" w:lastColumn="0" w:oddVBand="0" w:evenVBand="0" w:oddHBand="1" w:evenHBand="0" w:firstRowFirstColumn="0" w:firstRowLastColumn="0" w:lastRowFirstColumn="0" w:lastRowLastColumn="0"/>
          <w:cantSplit/>
        </w:trPr>
        <w:tc>
          <w:tcPr>
            <w:tcW w:w="4323" w:type="dxa"/>
          </w:tcPr>
          <w:p w14:paraId="079B167D" w14:textId="77777777" w:rsidR="00A4494E" w:rsidRPr="00325CBE" w:rsidRDefault="00A038EC">
            <w:pPr>
              <w:pStyle w:val="Compact"/>
              <w:spacing w:before="0" w:after="40"/>
              <w:rPr>
                <w:lang w:val="de-DE"/>
              </w:rPr>
            </w:pPr>
            <w:r w:rsidRPr="00325CBE">
              <w:rPr>
                <w:rFonts w:eastAsia="Cambria"/>
                <w:lang w:val="de-DE"/>
              </w:rPr>
              <w:t>Analyse von Varianten, Kosten, Risiken, Terminfolgen, Qualität, ESG und LCC.</w:t>
            </w:r>
          </w:p>
        </w:tc>
        <w:tc>
          <w:tcPr>
            <w:tcW w:w="5080" w:type="dxa"/>
          </w:tcPr>
          <w:p w14:paraId="63BA73ED" w14:textId="77777777" w:rsidR="00A4494E" w:rsidRPr="00325CBE" w:rsidRDefault="00A038EC">
            <w:pPr>
              <w:pStyle w:val="Compact"/>
              <w:spacing w:before="0" w:after="40"/>
              <w:rPr>
                <w:lang w:val="de-DE"/>
              </w:rPr>
            </w:pPr>
            <w:r w:rsidRPr="00325CBE">
              <w:rPr>
                <w:rFonts w:eastAsia="Cambria"/>
                <w:lang w:val="de-DE"/>
              </w:rPr>
              <w:t>Festlegung, welche Zielpriorität gilt und welche Zielkonflikte wie aufgelöst werden.</w:t>
            </w:r>
          </w:p>
        </w:tc>
      </w:tr>
      <w:tr w:rsidR="00A4494E" w:rsidRPr="00325CBE" w14:paraId="5245B4C9" w14:textId="77777777" w:rsidTr="00A4494E">
        <w:trPr>
          <w:cantSplit/>
        </w:trPr>
        <w:tc>
          <w:tcPr>
            <w:tcW w:w="4323" w:type="dxa"/>
          </w:tcPr>
          <w:p w14:paraId="6FCF83D3" w14:textId="77777777" w:rsidR="00A4494E" w:rsidRPr="00325CBE" w:rsidRDefault="00A038EC">
            <w:pPr>
              <w:pStyle w:val="Compact"/>
              <w:spacing w:before="0" w:after="40"/>
              <w:rPr>
                <w:lang w:val="de-DE"/>
              </w:rPr>
            </w:pPr>
            <w:r w:rsidRPr="00325CBE">
              <w:rPr>
                <w:rFonts w:eastAsia="Cambria"/>
                <w:lang w:val="de-DE"/>
              </w:rPr>
              <w:t>Vorbereitung von Entscheidungs­vorlagen.</w:t>
            </w:r>
          </w:p>
        </w:tc>
        <w:tc>
          <w:tcPr>
            <w:tcW w:w="5080" w:type="dxa"/>
          </w:tcPr>
          <w:p w14:paraId="0701271A" w14:textId="77777777" w:rsidR="00A4494E" w:rsidRPr="00325CBE" w:rsidRDefault="00A038EC">
            <w:pPr>
              <w:pStyle w:val="Compact"/>
              <w:spacing w:before="0" w:after="40"/>
              <w:rPr>
                <w:lang w:val="de-DE"/>
              </w:rPr>
            </w:pPr>
            <w:r w:rsidRPr="00325CBE">
              <w:rPr>
                <w:rFonts w:eastAsia="Cambria"/>
                <w:lang w:val="de-DE"/>
              </w:rPr>
              <w:t>Entscheidung über Projektstart, wesentliche Freigabe, Neufestlegung der Projektbasis (erneute Abstimmung und Legitimation von Kosten-, Termin-, Risiko- und Projektumfangsgrundlagen), Fortführung oder Stopp, wesentliche Änderung oder Abbruch.</w:t>
            </w:r>
          </w:p>
        </w:tc>
      </w:tr>
      <w:tr w:rsidR="00A4494E" w:rsidRPr="00325CBE" w14:paraId="63E72640" w14:textId="77777777" w:rsidTr="00A4494E">
        <w:trPr>
          <w:cnfStyle w:val="000000100000" w:firstRow="0" w:lastRow="0" w:firstColumn="0" w:lastColumn="0" w:oddVBand="0" w:evenVBand="0" w:oddHBand="1" w:evenHBand="0" w:firstRowFirstColumn="0" w:firstRowLastColumn="0" w:lastRowFirstColumn="0" w:lastRowLastColumn="0"/>
          <w:cantSplit/>
        </w:trPr>
        <w:tc>
          <w:tcPr>
            <w:tcW w:w="4323" w:type="dxa"/>
          </w:tcPr>
          <w:p w14:paraId="57356087" w14:textId="77777777" w:rsidR="00A4494E" w:rsidRPr="00325CBE" w:rsidRDefault="00A038EC">
            <w:pPr>
              <w:pStyle w:val="Compact"/>
              <w:spacing w:before="0" w:after="40"/>
              <w:rPr>
                <w:lang w:val="de-DE"/>
              </w:rPr>
            </w:pPr>
            <w:r w:rsidRPr="00325CBE">
              <w:rPr>
                <w:rFonts w:eastAsia="Cambria"/>
                <w:lang w:val="de-DE"/>
              </w:rPr>
              <w:t>Koordination von Terminen, Unterlagen, Registern, Gesprächen, Arbeitssitzungen und Gremienvorlagen.</w:t>
            </w:r>
          </w:p>
        </w:tc>
        <w:tc>
          <w:tcPr>
            <w:tcW w:w="5080" w:type="dxa"/>
          </w:tcPr>
          <w:p w14:paraId="35C50F42" w14:textId="77777777" w:rsidR="00A4494E" w:rsidRPr="00325CBE" w:rsidRDefault="00A038EC">
            <w:pPr>
              <w:pStyle w:val="Compact"/>
              <w:spacing w:before="0" w:after="40"/>
              <w:rPr>
                <w:lang w:val="de-DE"/>
              </w:rPr>
            </w:pPr>
            <w:r w:rsidRPr="00325CBE">
              <w:rPr>
                <w:rFonts w:eastAsia="Cambria"/>
                <w:lang w:val="de-DE"/>
              </w:rPr>
              <w:t>Festlegung von Mandaten, Freigabe­schwellen, Eskalations­wegen und verbindlichen Entscheidungs­rechten.</w:t>
            </w:r>
          </w:p>
        </w:tc>
      </w:tr>
      <w:tr w:rsidR="00A4494E" w:rsidRPr="00325CBE" w14:paraId="1F0F4B18" w14:textId="77777777" w:rsidTr="00A4494E">
        <w:trPr>
          <w:cantSplit/>
        </w:trPr>
        <w:tc>
          <w:tcPr>
            <w:tcW w:w="4323" w:type="dxa"/>
          </w:tcPr>
          <w:p w14:paraId="35B345D5" w14:textId="77777777" w:rsidR="00A4494E" w:rsidRPr="00325CBE" w:rsidRDefault="00A038EC">
            <w:pPr>
              <w:pStyle w:val="Compact"/>
              <w:spacing w:before="0" w:after="40"/>
              <w:rPr>
                <w:lang w:val="de-DE"/>
              </w:rPr>
            </w:pPr>
            <w:r w:rsidRPr="00325CBE">
              <w:rPr>
                <w:rFonts w:eastAsia="Cambria"/>
                <w:lang w:val="de-DE"/>
              </w:rPr>
              <w:t>Berichterstattung, Prognoseerstellung, CTC-Berechnung, Terminbewertung und Datenaufbereitung.</w:t>
            </w:r>
          </w:p>
        </w:tc>
        <w:tc>
          <w:tcPr>
            <w:tcW w:w="5080" w:type="dxa"/>
          </w:tcPr>
          <w:p w14:paraId="398ADB64" w14:textId="77777777" w:rsidR="00A4494E" w:rsidRPr="00325CBE" w:rsidRDefault="00A038EC">
            <w:pPr>
              <w:pStyle w:val="Compact"/>
              <w:spacing w:before="0" w:after="40"/>
              <w:rPr>
                <w:lang w:val="de-DE"/>
              </w:rPr>
            </w:pPr>
            <w:r w:rsidRPr="00325CBE">
              <w:rPr>
                <w:rFonts w:eastAsia="Cambria"/>
                <w:lang w:val="de-DE"/>
              </w:rPr>
              <w:t>Akzeptanz von Risikoexposition sowie Auswirkungen auf Kosten, Termin, Qualität, Projektumfang und ESG/LCC; Freigabe des Einsatzes der Risikoreserve.</w:t>
            </w:r>
          </w:p>
        </w:tc>
      </w:tr>
      <w:tr w:rsidR="00A4494E" w:rsidRPr="00325CBE" w14:paraId="6337C6E0" w14:textId="77777777" w:rsidTr="00A4494E">
        <w:trPr>
          <w:cnfStyle w:val="000000100000" w:firstRow="0" w:lastRow="0" w:firstColumn="0" w:lastColumn="0" w:oddVBand="0" w:evenVBand="0" w:oddHBand="1" w:evenHBand="0" w:firstRowFirstColumn="0" w:firstRowLastColumn="0" w:lastRowFirstColumn="0" w:lastRowLastColumn="0"/>
          <w:cantSplit/>
        </w:trPr>
        <w:tc>
          <w:tcPr>
            <w:tcW w:w="4323" w:type="dxa"/>
          </w:tcPr>
          <w:p w14:paraId="28C0A14D" w14:textId="77777777" w:rsidR="00A4494E" w:rsidRPr="00325CBE" w:rsidRDefault="00A038EC">
            <w:pPr>
              <w:pStyle w:val="Compact"/>
              <w:spacing w:before="0" w:after="40"/>
              <w:rPr>
                <w:lang w:val="de-DE"/>
              </w:rPr>
            </w:pPr>
            <w:r w:rsidRPr="00325CBE">
              <w:rPr>
                <w:rFonts w:eastAsia="Cambria"/>
                <w:lang w:val="de-DE"/>
              </w:rPr>
              <w:t>Dokumentation von Besprechungen, Beschlüssen, Maßnahmen und Datenständen.</w:t>
            </w:r>
          </w:p>
        </w:tc>
        <w:tc>
          <w:tcPr>
            <w:tcW w:w="5080" w:type="dxa"/>
          </w:tcPr>
          <w:p w14:paraId="00F8C8B0" w14:textId="77777777" w:rsidR="00A4494E" w:rsidRPr="00325CBE" w:rsidRDefault="00A038EC">
            <w:pPr>
              <w:pStyle w:val="Compact"/>
              <w:spacing w:before="0" w:after="40"/>
              <w:rPr>
                <w:lang w:val="de-DE"/>
              </w:rPr>
            </w:pPr>
            <w:r w:rsidRPr="00325CBE">
              <w:rPr>
                <w:rFonts w:eastAsia="Cambria"/>
                <w:lang w:val="de-DE"/>
              </w:rPr>
              <w:t>Sicherstellung, dass die Organisation auf belastbarer Grundlage entscheidet und die Beschlusslage nachweisbar bleibt.</w:t>
            </w:r>
          </w:p>
        </w:tc>
      </w:tr>
      <w:tr w:rsidR="00A4494E" w:rsidRPr="00325CBE" w14:paraId="3B606FFB" w14:textId="77777777" w:rsidTr="00A4494E">
        <w:trPr>
          <w:cantSplit/>
        </w:trPr>
        <w:tc>
          <w:tcPr>
            <w:tcW w:w="4323" w:type="dxa"/>
          </w:tcPr>
          <w:p w14:paraId="6DD56F64" w14:textId="77777777" w:rsidR="00A4494E" w:rsidRPr="00325CBE" w:rsidRDefault="00A038EC">
            <w:pPr>
              <w:pStyle w:val="Compact"/>
              <w:spacing w:before="0" w:after="40"/>
              <w:rPr>
                <w:lang w:val="de-DE"/>
              </w:rPr>
            </w:pPr>
            <w:r w:rsidRPr="00325CBE">
              <w:rPr>
                <w:rFonts w:eastAsia="Cambria"/>
                <w:lang w:val="de-DE"/>
              </w:rPr>
              <w:t>Moderation, Strukturierung, Schulung und Befähigung.</w:t>
            </w:r>
          </w:p>
        </w:tc>
        <w:tc>
          <w:tcPr>
            <w:tcW w:w="5080" w:type="dxa"/>
          </w:tcPr>
          <w:p w14:paraId="301F49D6" w14:textId="77777777" w:rsidR="00A4494E" w:rsidRPr="00325CBE" w:rsidRDefault="00A038EC">
            <w:pPr>
              <w:pStyle w:val="Compact"/>
              <w:spacing w:before="0" w:after="40"/>
              <w:rPr>
                <w:lang w:val="de-DE"/>
              </w:rPr>
            </w:pPr>
            <w:r w:rsidRPr="00325CBE">
              <w:rPr>
                <w:rFonts w:eastAsia="Cambria"/>
                <w:lang w:val="de-DE"/>
              </w:rPr>
              <w:t>Aufrechterhaltung der eigenen Bauherrenrolle und Steuerungsfähigkeit.</w:t>
            </w:r>
          </w:p>
        </w:tc>
      </w:tr>
    </w:tbl>
    <w:p w14:paraId="7DB4D6D5" w14:textId="77777777" w:rsidR="00A4494E" w:rsidRPr="00325CBE" w:rsidRDefault="00A038EC">
      <w:pPr>
        <w:pStyle w:val="Textkrper"/>
        <w:rPr>
          <w:lang w:val="de-DE"/>
        </w:rPr>
      </w:pPr>
      <w:r w:rsidRPr="00325CBE">
        <w:rPr>
          <w:lang w:val="de-DE"/>
        </w:rPr>
        <w:t xml:space="preserve">Die Tabelle zeigt den Kern des MVG-Ansatzes: Nicht jede Tätigkeit muss beim Bauherrn liegen. Im Gegenteil. Professionelle Projekte brauchen Vorbereitung durch Fachrollen. Der Bauherr muss aber wissen, wo Vorbereitung </w:t>
      </w:r>
      <w:proofErr w:type="gramStart"/>
      <w:r w:rsidRPr="00325CBE">
        <w:rPr>
          <w:lang w:val="de-DE"/>
        </w:rPr>
        <w:t>endet</w:t>
      </w:r>
      <w:proofErr w:type="gramEnd"/>
      <w:r w:rsidRPr="00325CBE">
        <w:rPr>
          <w:lang w:val="de-DE"/>
        </w:rPr>
        <w:t xml:space="preserve"> und eigene Entscheidung beginnt.</w:t>
      </w:r>
    </w:p>
    <w:p w14:paraId="1DA2A3BD" w14:textId="77777777" w:rsidR="00A4494E" w:rsidRPr="00325CBE" w:rsidRDefault="00A038EC">
      <w:pPr>
        <w:pStyle w:val="berschrift2"/>
      </w:pPr>
      <w:bookmarkStart w:id="44" w:name="delegierbar-und-nicht-delegierbar"/>
      <w:bookmarkStart w:id="45" w:name="_Toc234746064"/>
      <w:bookmarkStart w:id="46" w:name="_Toc239764913"/>
      <w:bookmarkEnd w:id="37"/>
      <w:bookmarkEnd w:id="44"/>
      <w:r w:rsidRPr="00325CBE">
        <w:lastRenderedPageBreak/>
        <w:t>Die Verantwortungspyramide – Arbeitsebene, Mandatsebene und Letztverantwortung</w:t>
      </w:r>
      <w:bookmarkEnd w:id="45"/>
      <w:bookmarkEnd w:id="46"/>
    </w:p>
    <w:p w14:paraId="037054F8" w14:textId="3DB1174A" w:rsidR="00A4494E" w:rsidRPr="00325CBE" w:rsidRDefault="00923A67">
      <w:pPr>
        <w:pStyle w:val="FirstParagraph"/>
        <w:rPr>
          <w:lang w:val="de-DE"/>
        </w:rPr>
      </w:pPr>
      <w:r w:rsidRPr="00325CBE">
        <w:rPr>
          <w:noProof/>
          <w:lang w:val="de-DE"/>
        </w:rPr>
        <w:drawing>
          <wp:inline distT="0" distB="0" distL="0" distR="0" wp14:anchorId="513412F6" wp14:editId="7120E2B1">
            <wp:extent cx="5971540" cy="4458970"/>
            <wp:effectExtent l="0" t="0" r="0" b="0"/>
            <wp:docPr id="96230929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1540" cy="4458970"/>
                    </a:xfrm>
                    <a:prstGeom prst="rect">
                      <a:avLst/>
                    </a:prstGeom>
                    <a:noFill/>
                    <a:ln>
                      <a:noFill/>
                    </a:ln>
                  </pic:spPr>
                </pic:pic>
              </a:graphicData>
            </a:graphic>
          </wp:inline>
        </w:drawing>
      </w:r>
    </w:p>
    <w:p w14:paraId="07785044" w14:textId="77777777" w:rsidR="00A4494E" w:rsidRPr="00325CBE" w:rsidRDefault="00A038EC">
      <w:pPr>
        <w:pStyle w:val="Textkrper"/>
        <w:rPr>
          <w:kern w:val="2"/>
          <w:lang w:val="de-DE"/>
        </w:rPr>
      </w:pPr>
      <w:r w:rsidRPr="00325CBE">
        <w:rPr>
          <w:lang w:val="de-DE"/>
        </w:rPr>
        <w:t>Für die praktische Umsetzung ist die Unterscheidung von drei Ebenen zentral.</w:t>
      </w:r>
    </w:p>
    <w:tbl>
      <w:tblPr>
        <w:tblStyle w:val="Gitternetztabelle4Akzent1"/>
        <w:tblW w:w="5000" w:type="pct"/>
        <w:tblLayout w:type="fixed"/>
        <w:tblLook w:val="04A0" w:firstRow="1" w:lastRow="0" w:firstColumn="1" w:lastColumn="0" w:noHBand="0" w:noVBand="1"/>
      </w:tblPr>
      <w:tblGrid>
        <w:gridCol w:w="2235"/>
        <w:gridCol w:w="3748"/>
        <w:gridCol w:w="3637"/>
      </w:tblGrid>
      <w:tr w:rsidR="00A4494E" w:rsidRPr="00325CBE" w14:paraId="58FB5EA7" w14:textId="77777777" w:rsidTr="001C2DC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5" w:type="dxa"/>
            <w:tcBorders>
              <w:top w:val="single" w:sz="4" w:space="0" w:color="4F81BD"/>
              <w:left w:val="single" w:sz="4" w:space="0" w:color="4F81BD"/>
              <w:bottom w:val="single" w:sz="4" w:space="0" w:color="4F81BD"/>
              <w:right w:val="single" w:sz="4" w:space="0" w:color="4F81BD"/>
            </w:tcBorders>
          </w:tcPr>
          <w:p w14:paraId="2DABED96" w14:textId="77777777" w:rsidR="00A4494E" w:rsidRPr="00325CBE" w:rsidRDefault="00A038EC">
            <w:pPr>
              <w:pStyle w:val="Compact"/>
              <w:spacing w:before="0" w:after="40"/>
              <w:rPr>
                <w:lang w:val="de-DE"/>
              </w:rPr>
            </w:pPr>
            <w:r w:rsidRPr="00325CBE">
              <w:rPr>
                <w:rFonts w:eastAsia="Cambria"/>
                <w:lang w:val="de-DE"/>
              </w:rPr>
              <w:t>Ebene</w:t>
            </w:r>
          </w:p>
        </w:tc>
        <w:tc>
          <w:tcPr>
            <w:tcW w:w="3748" w:type="dxa"/>
            <w:tcBorders>
              <w:top w:val="single" w:sz="4" w:space="0" w:color="4F81BD"/>
              <w:left w:val="single" w:sz="4" w:space="0" w:color="4F81BD"/>
              <w:bottom w:val="single" w:sz="4" w:space="0" w:color="4F81BD"/>
              <w:right w:val="single" w:sz="4" w:space="0" w:color="4F81BD"/>
            </w:tcBorders>
          </w:tcPr>
          <w:p w14:paraId="37C665C4"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Bedeutung</w:t>
            </w:r>
          </w:p>
        </w:tc>
        <w:tc>
          <w:tcPr>
            <w:tcW w:w="3637" w:type="dxa"/>
            <w:tcBorders>
              <w:top w:val="single" w:sz="4" w:space="0" w:color="4F81BD"/>
              <w:left w:val="single" w:sz="4" w:space="0" w:color="4F81BD"/>
              <w:bottom w:val="single" w:sz="4" w:space="0" w:color="4F81BD"/>
              <w:right w:val="single" w:sz="4" w:space="0" w:color="4F81BD"/>
            </w:tcBorders>
          </w:tcPr>
          <w:p w14:paraId="513AD49D"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Relevanz für MVG</w:t>
            </w:r>
          </w:p>
        </w:tc>
      </w:tr>
      <w:tr w:rsidR="00A4494E" w:rsidRPr="00325CBE" w14:paraId="5101F5F2" w14:textId="77777777" w:rsidTr="001C2D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5" w:type="dxa"/>
          </w:tcPr>
          <w:p w14:paraId="3E6B21C8" w14:textId="77777777" w:rsidR="00A4494E" w:rsidRPr="00325CBE" w:rsidRDefault="00A038EC">
            <w:pPr>
              <w:pStyle w:val="Compact"/>
              <w:spacing w:before="0" w:after="40"/>
              <w:rPr>
                <w:lang w:val="de-DE"/>
              </w:rPr>
            </w:pPr>
            <w:r w:rsidRPr="00325CBE">
              <w:rPr>
                <w:rFonts w:eastAsia="Cambria"/>
                <w:lang w:val="de-DE"/>
              </w:rPr>
              <w:t>Arbeitsebene</w:t>
            </w:r>
          </w:p>
        </w:tc>
        <w:tc>
          <w:tcPr>
            <w:tcW w:w="3748" w:type="dxa"/>
          </w:tcPr>
          <w:p w14:paraId="2EFBCBD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Analyse, Planung, Koordination, Dokumentation, Auswirkungsbewertung, Unterlagenzusammenstellung und Nachverfolgung.</w:t>
            </w:r>
          </w:p>
        </w:tc>
        <w:tc>
          <w:tcPr>
            <w:tcW w:w="3637" w:type="dxa"/>
          </w:tcPr>
          <w:p w14:paraId="0CC73326"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MVG definiert, welche Zuarbeiten wann, von wem und in welcher Qualität benötigt werden.</w:t>
            </w:r>
          </w:p>
        </w:tc>
      </w:tr>
      <w:tr w:rsidR="00A4494E" w:rsidRPr="00325CBE" w14:paraId="4D03B414" w14:textId="77777777" w:rsidTr="001C2DCC">
        <w:trPr>
          <w:cantSplit/>
        </w:trPr>
        <w:tc>
          <w:tcPr>
            <w:cnfStyle w:val="001000000000" w:firstRow="0" w:lastRow="0" w:firstColumn="1" w:lastColumn="0" w:oddVBand="0" w:evenVBand="0" w:oddHBand="0" w:evenHBand="0" w:firstRowFirstColumn="0" w:firstRowLastColumn="0" w:lastRowFirstColumn="0" w:lastRowLastColumn="0"/>
            <w:tcW w:w="2235" w:type="dxa"/>
          </w:tcPr>
          <w:p w14:paraId="53452725" w14:textId="77777777" w:rsidR="00A4494E" w:rsidRPr="00325CBE" w:rsidRDefault="00A038EC">
            <w:pPr>
              <w:pStyle w:val="Compact"/>
              <w:spacing w:before="0" w:after="40"/>
              <w:rPr>
                <w:lang w:val="de-DE"/>
              </w:rPr>
            </w:pPr>
            <w:r w:rsidRPr="00325CBE">
              <w:rPr>
                <w:rFonts w:eastAsia="Cambria"/>
                <w:lang w:val="de-DE"/>
              </w:rPr>
              <w:t>Mandatsebene</w:t>
            </w:r>
          </w:p>
        </w:tc>
        <w:tc>
          <w:tcPr>
            <w:tcW w:w="3748" w:type="dxa"/>
          </w:tcPr>
          <w:p w14:paraId="1EFB954E"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Befugnisse, Freigabegrenzen, Zeichnungsrechte, Stellvertretungen, Eskalationsschwellen und Gremienbezug.</w:t>
            </w:r>
          </w:p>
        </w:tc>
        <w:tc>
          <w:tcPr>
            <w:tcW w:w="3637" w:type="dxa"/>
          </w:tcPr>
          <w:p w14:paraId="349B832A"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MVG übersetzt Rollen in ein Mandatsmodell und verknüpft es mit Freigaben, Entscheidungs-IDs und Datenständen.</w:t>
            </w:r>
          </w:p>
        </w:tc>
      </w:tr>
      <w:tr w:rsidR="00A4494E" w:rsidRPr="00325CBE" w14:paraId="2374E9A1" w14:textId="77777777" w:rsidTr="001C2D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35" w:type="dxa"/>
          </w:tcPr>
          <w:p w14:paraId="22204A98" w14:textId="3E5DCE83" w:rsidR="00A4494E" w:rsidRPr="00325CBE" w:rsidRDefault="00A038EC">
            <w:pPr>
              <w:pStyle w:val="Compact"/>
              <w:spacing w:before="0" w:after="40"/>
              <w:rPr>
                <w:lang w:val="de-DE"/>
              </w:rPr>
            </w:pPr>
            <w:r w:rsidRPr="00325CBE">
              <w:rPr>
                <w:rFonts w:eastAsia="Cambria"/>
                <w:lang w:val="de-DE"/>
              </w:rPr>
              <w:t>Letztverantwortung</w:t>
            </w:r>
          </w:p>
        </w:tc>
        <w:tc>
          <w:tcPr>
            <w:tcW w:w="3748" w:type="dxa"/>
          </w:tcPr>
          <w:p w14:paraId="4BDA6F34"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Ziel, Grundsatzentscheidung, wesentliche Freigabe, Risikoannahme, Nachweis­fähigkeit und Beschlusslage.</w:t>
            </w:r>
          </w:p>
        </w:tc>
        <w:tc>
          <w:tcPr>
            <w:tcW w:w="3637" w:type="dxa"/>
          </w:tcPr>
          <w:p w14:paraId="15E8EA65"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MVG macht sichtbar, was der Bauherr selbst legitimieren und dokumentieren muss.</w:t>
            </w:r>
            <w:bookmarkStart w:id="47" w:name="Xb866adca007b23f33c4e6d53e87feeb2bf9b760"/>
            <w:bookmarkEnd w:id="47"/>
          </w:p>
        </w:tc>
      </w:tr>
    </w:tbl>
    <w:p w14:paraId="57337D29" w14:textId="77777777" w:rsidR="00A4494E" w:rsidRPr="00325CBE" w:rsidRDefault="00A038EC">
      <w:pPr>
        <w:pStyle w:val="Textkrper"/>
        <w:rPr>
          <w:kern w:val="2"/>
          <w:lang w:val="de-DE"/>
        </w:rPr>
      </w:pPr>
      <w:r w:rsidRPr="00325CBE">
        <w:rPr>
          <w:lang w:val="de-DE"/>
        </w:rPr>
        <w:t xml:space="preserve">Die Arbeitsebene kann in hohem Maß von Planern, Projektsteuerung, PMO, Gutachtern oder Beratern getragen werden. Die Festlegung des Mandats bleibt Bauherrenverantwortung; die Ausübung innerhalb klar definierter Schwellen kann jedoch an Rollen übertragen werden. Die Letztverantwortung bleibt dort, </w:t>
      </w:r>
      <w:r w:rsidRPr="00325CBE">
        <w:rPr>
          <w:lang w:val="de-DE"/>
        </w:rPr>
        <w:lastRenderedPageBreak/>
        <w:t xml:space="preserve">wo der Bauherr die bauherrenseitige Entscheidung selbst legitimieren muss. Damit ist der </w:t>
      </w:r>
      <w:bookmarkEnd w:id="38"/>
      <w:r w:rsidRPr="00325CBE">
        <w:rPr>
          <w:lang w:val="de-DE"/>
        </w:rPr>
        <w:t>Begriffsrahmen komplett: Arbeits- und Mandatsebene lassen sich gestalten und delegieren – die Letztverantwortung nicht. Wie sie sich im Bauherrenalltag konkretisiert, zeigt das folgende Kapitel.</w:t>
      </w:r>
    </w:p>
    <w:p w14:paraId="6D556628" w14:textId="77777777" w:rsidR="00A4494E" w:rsidRPr="00325CBE" w:rsidRDefault="00A038EC">
      <w:pPr>
        <w:pStyle w:val="berschrift1"/>
        <w:rPr>
          <w:kern w:val="2"/>
          <w:lang w:val="de-DE"/>
        </w:rPr>
      </w:pPr>
      <w:bookmarkStart w:id="48" w:name="_Toc234746065"/>
      <w:bookmarkStart w:id="49" w:name="_Toc239764914"/>
      <w:r w:rsidRPr="00325CBE">
        <w:rPr>
          <w:lang w:val="de-DE"/>
        </w:rPr>
        <w:t>Verantwortungsfelder des Bauherrn</w:t>
      </w:r>
      <w:bookmarkEnd w:id="48"/>
      <w:bookmarkEnd w:id="49"/>
    </w:p>
    <w:p w14:paraId="003D0BB0" w14:textId="69922F9A" w:rsidR="00A4494E" w:rsidRPr="00325CBE" w:rsidRDefault="005C2F56">
      <w:pPr>
        <w:pStyle w:val="Textkrper"/>
        <w:jc w:val="center"/>
        <w:rPr>
          <w:lang w:val="de-DE"/>
        </w:rPr>
      </w:pPr>
      <w:r w:rsidRPr="00325CBE">
        <w:rPr>
          <w:noProof/>
          <w:lang w:val="de-DE"/>
        </w:rPr>
        <w:drawing>
          <wp:inline distT="0" distB="0" distL="0" distR="0" wp14:anchorId="28392760" wp14:editId="6BB8ACAD">
            <wp:extent cx="6128075" cy="4524375"/>
            <wp:effectExtent l="0" t="0" r="0" b="0"/>
            <wp:docPr id="5261026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02648" name=""/>
                    <pic:cNvPicPr/>
                  </pic:nvPicPr>
                  <pic:blipFill>
                    <a:blip r:embed="rId13"/>
                    <a:stretch>
                      <a:fillRect/>
                    </a:stretch>
                  </pic:blipFill>
                  <pic:spPr>
                    <a:xfrm>
                      <a:off x="0" y="0"/>
                      <a:ext cx="6129389" cy="4525345"/>
                    </a:xfrm>
                    <a:prstGeom prst="rect">
                      <a:avLst/>
                    </a:prstGeom>
                  </pic:spPr>
                </pic:pic>
              </a:graphicData>
            </a:graphic>
          </wp:inline>
        </w:drawing>
      </w:r>
    </w:p>
    <w:p w14:paraId="40F61BDB" w14:textId="77777777" w:rsidR="00A4494E" w:rsidRPr="00325CBE" w:rsidRDefault="00A038EC">
      <w:pPr>
        <w:pStyle w:val="Textkrper"/>
        <w:rPr>
          <w:kern w:val="2"/>
          <w:lang w:val="de-DE"/>
        </w:rPr>
      </w:pPr>
      <w:r w:rsidRPr="00325CBE">
        <w:rPr>
          <w:lang w:val="de-DE"/>
        </w:rPr>
        <w:t>Nach der methodischen Grundlage stellt sich die Frage, welche Verantwortungsfelder im Bauherrenalltag konkret betroffen sind. Für MVG lassen sich sechs Felder unterscheiden. Sie bilden keine juristische Vollständigkeitsliste, sondern eine governance-bezogene Arbeitsstruktur, mit der Bauherr Mentoren die Ausübungsfähigkeit des Bauherrn sichtbar, prüfbar und gestaltbar macht.</w:t>
      </w:r>
    </w:p>
    <w:tbl>
      <w:tblPr>
        <w:tblStyle w:val="Gitternetztabelle4Akzent1"/>
        <w:tblW w:w="5000" w:type="pct"/>
        <w:tblLayout w:type="fixed"/>
        <w:tblLook w:val="04A0" w:firstRow="1" w:lastRow="0" w:firstColumn="1" w:lastColumn="0" w:noHBand="0" w:noVBand="1"/>
      </w:tblPr>
      <w:tblGrid>
        <w:gridCol w:w="1665"/>
        <w:gridCol w:w="1984"/>
        <w:gridCol w:w="145"/>
        <w:gridCol w:w="1842"/>
        <w:gridCol w:w="1984"/>
        <w:gridCol w:w="2000"/>
      </w:tblGrid>
      <w:tr w:rsidR="00A4494E" w:rsidRPr="00325CBE" w14:paraId="08BB0EE9" w14:textId="77777777" w:rsidTr="00D152C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4F81BD"/>
              <w:left w:val="single" w:sz="4" w:space="0" w:color="4F81BD"/>
              <w:bottom w:val="single" w:sz="4" w:space="0" w:color="4F81BD"/>
              <w:right w:val="single" w:sz="4" w:space="0" w:color="4F81BD"/>
            </w:tcBorders>
          </w:tcPr>
          <w:p w14:paraId="3C976DE3" w14:textId="77777777" w:rsidR="00A4494E" w:rsidRPr="00325CBE" w:rsidRDefault="00A038EC">
            <w:pPr>
              <w:pStyle w:val="Compact"/>
              <w:spacing w:before="0" w:after="40"/>
              <w:rPr>
                <w:lang w:val="de-DE"/>
              </w:rPr>
            </w:pPr>
            <w:r w:rsidRPr="00325CBE">
              <w:rPr>
                <w:rFonts w:eastAsia="Cambria"/>
                <w:lang w:val="de-DE"/>
              </w:rPr>
              <w:t>Feld</w:t>
            </w:r>
          </w:p>
        </w:tc>
        <w:tc>
          <w:tcPr>
            <w:tcW w:w="1984" w:type="dxa"/>
            <w:tcBorders>
              <w:top w:val="single" w:sz="4" w:space="0" w:color="4F81BD"/>
              <w:left w:val="single" w:sz="4" w:space="0" w:color="4F81BD"/>
              <w:bottom w:val="single" w:sz="4" w:space="0" w:color="4F81BD"/>
              <w:right w:val="single" w:sz="4" w:space="0" w:color="4F81BD"/>
            </w:tcBorders>
          </w:tcPr>
          <w:p w14:paraId="185F70B7"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Nichtdelegierbarer Kern</w:t>
            </w:r>
          </w:p>
        </w:tc>
        <w:tc>
          <w:tcPr>
            <w:tcW w:w="1987" w:type="dxa"/>
            <w:gridSpan w:val="2"/>
            <w:tcBorders>
              <w:top w:val="single" w:sz="4" w:space="0" w:color="4F81BD"/>
              <w:left w:val="single" w:sz="4" w:space="0" w:color="4F81BD"/>
              <w:bottom w:val="single" w:sz="4" w:space="0" w:color="4F81BD"/>
              <w:right w:val="single" w:sz="4" w:space="0" w:color="4F81BD"/>
            </w:tcBorders>
          </w:tcPr>
          <w:p w14:paraId="2073C864"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Delegierbare Vorbereitung</w:t>
            </w:r>
          </w:p>
        </w:tc>
        <w:tc>
          <w:tcPr>
            <w:tcW w:w="1984" w:type="dxa"/>
            <w:tcBorders>
              <w:top w:val="single" w:sz="4" w:space="0" w:color="4F81BD"/>
              <w:left w:val="single" w:sz="4" w:space="0" w:color="4F81BD"/>
              <w:bottom w:val="single" w:sz="4" w:space="0" w:color="4F81BD"/>
              <w:right w:val="single" w:sz="4" w:space="0" w:color="4F81BD"/>
            </w:tcBorders>
          </w:tcPr>
          <w:p w14:paraId="14DB68BE"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Typische Fehlstelle</w:t>
            </w:r>
          </w:p>
        </w:tc>
        <w:tc>
          <w:tcPr>
            <w:tcW w:w="2000" w:type="dxa"/>
            <w:tcBorders>
              <w:top w:val="single" w:sz="4" w:space="0" w:color="4F81BD"/>
              <w:left w:val="single" w:sz="4" w:space="0" w:color="4F81BD"/>
              <w:bottom w:val="single" w:sz="4" w:space="0" w:color="4F81BD"/>
              <w:right w:val="single" w:sz="4" w:space="0" w:color="4F81BD"/>
            </w:tcBorders>
          </w:tcPr>
          <w:p w14:paraId="404DEE48"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MVG-Antwort</w:t>
            </w:r>
          </w:p>
        </w:tc>
      </w:tr>
      <w:tr w:rsidR="00A4494E" w:rsidRPr="00325CBE" w14:paraId="18B3AB4A" w14:textId="77777777" w:rsidTr="00D152C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5" w:type="dxa"/>
          </w:tcPr>
          <w:p w14:paraId="0B37B074" w14:textId="77777777" w:rsidR="00A4494E" w:rsidRPr="00325CBE" w:rsidRDefault="00A038EC">
            <w:pPr>
              <w:pStyle w:val="Compact"/>
              <w:spacing w:before="0" w:after="40"/>
              <w:rPr>
                <w:lang w:val="de-DE"/>
              </w:rPr>
            </w:pPr>
            <w:r w:rsidRPr="00325CBE">
              <w:rPr>
                <w:rFonts w:eastAsia="Cambria"/>
                <w:sz w:val="18"/>
                <w:szCs w:val="18"/>
                <w:lang w:val="de-DE"/>
              </w:rPr>
              <w:t>Ziel</w:t>
            </w:r>
          </w:p>
        </w:tc>
        <w:tc>
          <w:tcPr>
            <w:tcW w:w="1984" w:type="dxa"/>
          </w:tcPr>
          <w:p w14:paraId="72790145"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Projektzweck, Bedarf, Muss-/Kann-Kriterien, Zielprioritäten, Abwägungsregeln.</w:t>
            </w:r>
          </w:p>
        </w:tc>
        <w:tc>
          <w:tcPr>
            <w:tcW w:w="1987" w:type="dxa"/>
            <w:gridSpan w:val="2"/>
          </w:tcPr>
          <w:p w14:paraId="2732979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Bedarfsanalysen, Varianten, Kosten-/Nutzenbewertung, ESG-/LCC-Zuarbeit, Nutzergespräche.</w:t>
            </w:r>
          </w:p>
        </w:tc>
        <w:tc>
          <w:tcPr>
            <w:tcW w:w="1984" w:type="dxa"/>
          </w:tcPr>
          <w:p w14:paraId="5AED9E45"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Zielkonflikte werden situativ gelöst; spätere Änderungen wirken wie Sachzwang.</w:t>
            </w:r>
          </w:p>
        </w:tc>
        <w:tc>
          <w:tcPr>
            <w:tcW w:w="2000" w:type="dxa"/>
          </w:tcPr>
          <w:p w14:paraId="68DD9BEC" w14:textId="239996AE"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Zielsystem, Entscheidungsgrundsätze, Abwägungsregeln, Freigabelogik für LPH 0–2</w:t>
            </w:r>
          </w:p>
        </w:tc>
      </w:tr>
      <w:tr w:rsidR="00A4494E" w:rsidRPr="00325CBE" w14:paraId="16C9684A" w14:textId="77777777" w:rsidTr="00D152C4">
        <w:trPr>
          <w:cantSplit/>
        </w:trPr>
        <w:tc>
          <w:tcPr>
            <w:cnfStyle w:val="001000000000" w:firstRow="0" w:lastRow="0" w:firstColumn="1" w:lastColumn="0" w:oddVBand="0" w:evenVBand="0" w:oddHBand="0" w:evenHBand="0" w:firstRowFirstColumn="0" w:firstRowLastColumn="0" w:lastRowFirstColumn="0" w:lastRowLastColumn="0"/>
            <w:tcW w:w="1665" w:type="dxa"/>
          </w:tcPr>
          <w:p w14:paraId="3FBF07B4" w14:textId="77777777" w:rsidR="00A4494E" w:rsidRPr="00D152C4" w:rsidRDefault="00A038EC">
            <w:pPr>
              <w:pStyle w:val="Compact"/>
              <w:spacing w:before="0" w:after="40"/>
              <w:rPr>
                <w:szCs w:val="22"/>
                <w:lang w:val="de-DE"/>
              </w:rPr>
            </w:pPr>
            <w:r w:rsidRPr="00D152C4">
              <w:rPr>
                <w:rFonts w:eastAsia="Cambria"/>
                <w:szCs w:val="22"/>
                <w:lang w:val="de-DE"/>
              </w:rPr>
              <w:lastRenderedPageBreak/>
              <w:t>Mandat</w:t>
            </w:r>
          </w:p>
        </w:tc>
        <w:tc>
          <w:tcPr>
            <w:tcW w:w="2129" w:type="dxa"/>
            <w:gridSpan w:val="2"/>
          </w:tcPr>
          <w:p w14:paraId="1E976BB8"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Entscheidungs­rechte, Freigabe­schwellen, Stellvertretungen, Eskalations­wege, Gremienbezug.</w:t>
            </w:r>
          </w:p>
        </w:tc>
        <w:tc>
          <w:tcPr>
            <w:tcW w:w="1842" w:type="dxa"/>
          </w:tcPr>
          <w:p w14:paraId="320C37D4"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Rollenaufnahme, RACI-Vorschlag, Organigramm, Prozessanalyse, Gremienkalender.</w:t>
            </w:r>
          </w:p>
        </w:tc>
        <w:tc>
          <w:tcPr>
            <w:tcW w:w="1984" w:type="dxa"/>
          </w:tcPr>
          <w:p w14:paraId="19C68C85"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Rollen sind beschrieben, aber nicht entscheidungsfähig mandatiert.</w:t>
            </w:r>
          </w:p>
        </w:tc>
        <w:tc>
          <w:tcPr>
            <w:tcW w:w="2000" w:type="dxa"/>
          </w:tcPr>
          <w:p w14:paraId="71098F3F"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Bauherren-Mandats- und Verantwortungsmodell mit Schwellen und Bezug zur Freigabe.</w:t>
            </w:r>
          </w:p>
        </w:tc>
      </w:tr>
      <w:tr w:rsidR="00A4494E" w:rsidRPr="00325CBE" w14:paraId="0FB3CA20" w14:textId="77777777" w:rsidTr="00D152C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5" w:type="dxa"/>
          </w:tcPr>
          <w:p w14:paraId="47B290DC" w14:textId="77777777" w:rsidR="00A4494E" w:rsidRPr="00D152C4" w:rsidRDefault="00A038EC">
            <w:pPr>
              <w:pStyle w:val="Compact"/>
              <w:spacing w:before="0" w:after="40"/>
              <w:rPr>
                <w:szCs w:val="22"/>
                <w:lang w:val="de-DE"/>
              </w:rPr>
            </w:pPr>
            <w:r w:rsidRPr="00D152C4">
              <w:rPr>
                <w:rFonts w:eastAsia="Cambria"/>
                <w:szCs w:val="22"/>
                <w:lang w:val="de-DE"/>
              </w:rPr>
              <w:t>Wesentliche Entscheidung</w:t>
            </w:r>
          </w:p>
        </w:tc>
        <w:tc>
          <w:tcPr>
            <w:tcW w:w="2129" w:type="dxa"/>
            <w:gridSpan w:val="2"/>
          </w:tcPr>
          <w:p w14:paraId="286C27AF" w14:textId="56364CC7" w:rsidR="00A4494E" w:rsidRPr="00D152C4"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rFonts w:eastAsia="Cambria"/>
                <w:szCs w:val="22"/>
                <w:lang w:val="de-DE"/>
              </w:rPr>
            </w:pPr>
            <w:r w:rsidRPr="00D152C4">
              <w:rPr>
                <w:rFonts w:eastAsia="Cambria"/>
                <w:szCs w:val="22"/>
                <w:lang w:val="de-DE"/>
              </w:rPr>
              <w:t>Projektstart (LPH 0), Variantenwahl und Business Case (LPH 2), FID (LPH 3), Vergabe und Bindung einer Komponente mit langer Lieferzeit (LPH 7), Übergabe des Vorhabens (LPH 9), Neufestlegung der Projektbasis, Fortführung oder Stopp.</w:t>
            </w:r>
          </w:p>
        </w:tc>
        <w:tc>
          <w:tcPr>
            <w:tcW w:w="1842" w:type="dxa"/>
          </w:tcPr>
          <w:p w14:paraId="583B1D4B" w14:textId="77777777" w:rsidR="00A4494E" w:rsidRPr="00D152C4"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szCs w:val="22"/>
                <w:lang w:val="de-DE"/>
              </w:rPr>
            </w:pPr>
            <w:r w:rsidRPr="00D152C4">
              <w:rPr>
                <w:rFonts w:eastAsia="Cambria"/>
                <w:szCs w:val="22"/>
                <w:lang w:val="de-DE"/>
              </w:rPr>
              <w:t>Entscheidungs­vorlagen, Auswirkungsanalysen, Optionen, Empfehlungen, Fachbewertungen</w:t>
            </w:r>
          </w:p>
        </w:tc>
        <w:tc>
          <w:tcPr>
            <w:tcW w:w="1984" w:type="dxa"/>
          </w:tcPr>
          <w:p w14:paraId="6EDFB357" w14:textId="77777777" w:rsidR="00A4494E" w:rsidRPr="00D152C4"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szCs w:val="22"/>
                <w:lang w:val="de-DE"/>
              </w:rPr>
            </w:pPr>
            <w:r w:rsidRPr="00D152C4">
              <w:rPr>
                <w:rFonts w:eastAsia="Cambria"/>
                <w:szCs w:val="22"/>
                <w:lang w:val="de-DE"/>
              </w:rPr>
              <w:t>Entscheidungen werden vertagt, informell getroffen oder ohne klare Entscheidungs­frage vorbereitet.</w:t>
            </w:r>
          </w:p>
        </w:tc>
        <w:tc>
          <w:tcPr>
            <w:tcW w:w="2000" w:type="dxa"/>
          </w:tcPr>
          <w:p w14:paraId="16EFFC6E" w14:textId="77777777" w:rsidR="00A4494E" w:rsidRPr="00D152C4"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rFonts w:eastAsia="Cambria"/>
                <w:szCs w:val="22"/>
                <w:lang w:val="de-DE"/>
              </w:rPr>
            </w:pPr>
            <w:r w:rsidRPr="00D152C4">
              <w:rPr>
                <w:rFonts w:eastAsia="Cambria"/>
                <w:szCs w:val="22"/>
                <w:lang w:val="de-DE"/>
              </w:rPr>
              <w:t>System der Entscheidungs-IDs, Entscheidungs­reife, Standard für Entscheidungs­vorlagen.</w:t>
            </w:r>
          </w:p>
        </w:tc>
      </w:tr>
      <w:tr w:rsidR="00A4494E" w:rsidRPr="00325CBE" w14:paraId="1D0AC4BD" w14:textId="77777777" w:rsidTr="00D152C4">
        <w:trPr>
          <w:cantSplit/>
        </w:trPr>
        <w:tc>
          <w:tcPr>
            <w:cnfStyle w:val="001000000000" w:firstRow="0" w:lastRow="0" w:firstColumn="1" w:lastColumn="0" w:oddVBand="0" w:evenVBand="0" w:oddHBand="0" w:evenHBand="0" w:firstRowFirstColumn="0" w:firstRowLastColumn="0" w:lastRowFirstColumn="0" w:lastRowLastColumn="0"/>
            <w:tcW w:w="1665" w:type="dxa"/>
          </w:tcPr>
          <w:p w14:paraId="7F5DF002" w14:textId="77777777" w:rsidR="00A4494E" w:rsidRPr="00D152C4" w:rsidRDefault="00A038EC">
            <w:pPr>
              <w:pStyle w:val="Compact"/>
              <w:spacing w:before="0" w:after="40"/>
              <w:rPr>
                <w:szCs w:val="22"/>
                <w:lang w:val="de-DE"/>
              </w:rPr>
            </w:pPr>
            <w:r w:rsidRPr="00D152C4">
              <w:rPr>
                <w:rFonts w:eastAsia="Cambria"/>
                <w:szCs w:val="22"/>
                <w:lang w:val="de-DE"/>
              </w:rPr>
              <w:t>Risikoannahme</w:t>
            </w:r>
          </w:p>
        </w:tc>
        <w:tc>
          <w:tcPr>
            <w:tcW w:w="2129" w:type="dxa"/>
            <w:gridSpan w:val="2"/>
          </w:tcPr>
          <w:p w14:paraId="51CD7A61"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Akzeptanz von Risikoexposition, Restrisiko, Einsatz der Risikoreserve sowie Auswirkungen auf Kosten, Termin, Qualität, Projektumfang und ESG/LCC.</w:t>
            </w:r>
          </w:p>
        </w:tc>
        <w:tc>
          <w:tcPr>
            <w:tcW w:w="1842" w:type="dxa"/>
          </w:tcPr>
          <w:p w14:paraId="52DCCC9B"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Risikoregister, Bewertung, Vorschläge zur Risikominderung, Szenarien, Sensitivitäten.</w:t>
            </w:r>
          </w:p>
        </w:tc>
        <w:tc>
          <w:tcPr>
            <w:tcW w:w="1984" w:type="dxa"/>
          </w:tcPr>
          <w:p w14:paraId="7BA22953"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Risiken werden gelistet, aber nicht bauherrenseitig angenommen oder eskaliert.</w:t>
            </w:r>
          </w:p>
        </w:tc>
        <w:tc>
          <w:tcPr>
            <w:tcW w:w="2000" w:type="dxa"/>
          </w:tcPr>
          <w:p w14:paraId="17185F3F"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Risiko-/Änderungs-/Maßnahmen­verknüpfung, Verknüpfungen zwischen Risiken und Entscheidungen, Schwellenlogik.</w:t>
            </w:r>
          </w:p>
        </w:tc>
      </w:tr>
      <w:tr w:rsidR="00A4494E" w:rsidRPr="00325CBE" w14:paraId="30F02CE0" w14:textId="77777777" w:rsidTr="00D152C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5" w:type="dxa"/>
          </w:tcPr>
          <w:p w14:paraId="412A39C3" w14:textId="77777777" w:rsidR="00A4494E" w:rsidRPr="00D152C4" w:rsidRDefault="00A038EC">
            <w:pPr>
              <w:pStyle w:val="Compact"/>
              <w:spacing w:before="0" w:after="40"/>
              <w:rPr>
                <w:szCs w:val="22"/>
                <w:lang w:val="de-DE"/>
              </w:rPr>
            </w:pPr>
            <w:r w:rsidRPr="00D152C4">
              <w:rPr>
                <w:rFonts w:eastAsia="Cambria"/>
                <w:szCs w:val="22"/>
                <w:lang w:val="de-DE"/>
              </w:rPr>
              <w:t>Freigabe</w:t>
            </w:r>
          </w:p>
        </w:tc>
        <w:tc>
          <w:tcPr>
            <w:tcW w:w="2129" w:type="dxa"/>
            <w:gridSpan w:val="2"/>
          </w:tcPr>
          <w:p w14:paraId="0BF6C309" w14:textId="77777777" w:rsidR="00A4494E" w:rsidRPr="00D152C4"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szCs w:val="22"/>
                <w:lang w:val="de-DE"/>
              </w:rPr>
            </w:pPr>
            <w:r w:rsidRPr="00D152C4">
              <w:rPr>
                <w:rFonts w:eastAsia="Cambria"/>
                <w:szCs w:val="22"/>
                <w:lang w:val="de-DE"/>
              </w:rPr>
              <w:t>Budget, Planung, Vergabe, Änderung, Neufestlegung der Projektbasis, Freigabe zum Abschluss der Leistungsphase und Übergabe des Vorhabens.</w:t>
            </w:r>
          </w:p>
        </w:tc>
        <w:tc>
          <w:tcPr>
            <w:tcW w:w="1842" w:type="dxa"/>
          </w:tcPr>
          <w:p w14:paraId="14A4F7E7" w14:textId="77777777" w:rsidR="00A4494E" w:rsidRPr="00D152C4"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szCs w:val="22"/>
                <w:lang w:val="de-DE"/>
              </w:rPr>
            </w:pPr>
            <w:r w:rsidRPr="00D152C4">
              <w:rPr>
                <w:rFonts w:eastAsia="Cambria"/>
                <w:szCs w:val="22"/>
                <w:lang w:val="de-DE"/>
              </w:rPr>
              <w:t>Unterlagenpakete, Prüfvermerke, Planungsstände, Freigabe­vorschläge, Gremienberichte.</w:t>
            </w:r>
          </w:p>
        </w:tc>
        <w:tc>
          <w:tcPr>
            <w:tcW w:w="1984" w:type="dxa"/>
          </w:tcPr>
          <w:p w14:paraId="17C72546" w14:textId="77777777" w:rsidR="00A4494E" w:rsidRPr="00D152C4"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szCs w:val="22"/>
                <w:lang w:val="de-DE"/>
              </w:rPr>
            </w:pPr>
            <w:r w:rsidRPr="00D152C4">
              <w:rPr>
                <w:rFonts w:eastAsia="Cambria"/>
                <w:szCs w:val="22"/>
                <w:lang w:val="de-DE"/>
              </w:rPr>
              <w:t>Freigaben erfolgen auf unklarem Datenstand oder ohne Mandatsprüfung.</w:t>
            </w:r>
          </w:p>
        </w:tc>
        <w:tc>
          <w:tcPr>
            <w:tcW w:w="2000" w:type="dxa"/>
          </w:tcPr>
          <w:p w14:paraId="4DEDA56D" w14:textId="7C2C57A4" w:rsidR="00A4494E" w:rsidRPr="00D152C4"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szCs w:val="22"/>
                <w:lang w:val="de-DE"/>
              </w:rPr>
            </w:pPr>
            <w:r w:rsidRPr="00D152C4">
              <w:rPr>
                <w:rFonts w:eastAsia="Cambria"/>
                <w:szCs w:val="22"/>
                <w:lang w:val="de-DE"/>
              </w:rPr>
              <w:t xml:space="preserve">Leistungsphasen- und Freigabemodell LPH 0–9, Freigabeschwellen, Mindestgrundlagen, </w:t>
            </w:r>
            <w:proofErr w:type="spellStart"/>
            <w:r w:rsidRPr="00D152C4">
              <w:rPr>
                <w:rFonts w:eastAsia="Cambria"/>
                <w:szCs w:val="22"/>
                <w:lang w:val="de-DE"/>
              </w:rPr>
              <w:t>Datenstandsreferenz</w:t>
            </w:r>
            <w:proofErr w:type="spellEnd"/>
            <w:r w:rsidRPr="00D152C4">
              <w:rPr>
                <w:rFonts w:eastAsia="Cambria"/>
                <w:szCs w:val="22"/>
                <w:lang w:val="de-DE"/>
              </w:rPr>
              <w:t>.</w:t>
            </w:r>
          </w:p>
        </w:tc>
      </w:tr>
      <w:tr w:rsidR="00A4494E" w:rsidRPr="00325CBE" w14:paraId="53D2A09A" w14:textId="77777777" w:rsidTr="00D152C4">
        <w:trPr>
          <w:cantSplit/>
        </w:trPr>
        <w:tc>
          <w:tcPr>
            <w:cnfStyle w:val="001000000000" w:firstRow="0" w:lastRow="0" w:firstColumn="1" w:lastColumn="0" w:oddVBand="0" w:evenVBand="0" w:oddHBand="0" w:evenHBand="0" w:firstRowFirstColumn="0" w:firstRowLastColumn="0" w:lastRowFirstColumn="0" w:lastRowLastColumn="0"/>
            <w:tcW w:w="1665" w:type="dxa"/>
          </w:tcPr>
          <w:p w14:paraId="08F664E5" w14:textId="77777777" w:rsidR="00A4494E" w:rsidRPr="00D152C4" w:rsidRDefault="00A038EC">
            <w:pPr>
              <w:pStyle w:val="Compact"/>
              <w:spacing w:before="0" w:after="40"/>
              <w:rPr>
                <w:szCs w:val="22"/>
                <w:lang w:val="de-DE"/>
              </w:rPr>
            </w:pPr>
            <w:r w:rsidRPr="00D152C4">
              <w:rPr>
                <w:rFonts w:eastAsia="Cambria"/>
                <w:szCs w:val="22"/>
                <w:lang w:val="de-DE"/>
              </w:rPr>
              <w:t>Datenstand und Nachweis</w:t>
            </w:r>
          </w:p>
        </w:tc>
        <w:tc>
          <w:tcPr>
            <w:tcW w:w="2129" w:type="dxa"/>
            <w:gridSpan w:val="2"/>
          </w:tcPr>
          <w:p w14:paraId="6F895EA9"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Verbindlicher Datenstand, Annahmen, Versionen, Beschlusslage, Protokollstandard, Nachweiskette.</w:t>
            </w:r>
          </w:p>
        </w:tc>
        <w:tc>
          <w:tcPr>
            <w:tcW w:w="1842" w:type="dxa"/>
          </w:tcPr>
          <w:p w14:paraId="04015F73"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Datenpflege, Dokumentation, Protokolle, Annahmenregister, Unterlagenlenkung.</w:t>
            </w:r>
          </w:p>
        </w:tc>
        <w:tc>
          <w:tcPr>
            <w:tcW w:w="1984" w:type="dxa"/>
          </w:tcPr>
          <w:p w14:paraId="43B7818A"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szCs w:val="22"/>
                <w:lang w:val="de-DE"/>
              </w:rPr>
            </w:pPr>
            <w:r w:rsidRPr="00D152C4">
              <w:rPr>
                <w:rFonts w:eastAsia="Cambria"/>
                <w:szCs w:val="22"/>
                <w:lang w:val="de-DE"/>
              </w:rPr>
              <w:t>Parallele Datenstände und nicht reproduzierbare Entscheidungs­grundlagen.</w:t>
            </w:r>
          </w:p>
        </w:tc>
        <w:tc>
          <w:tcPr>
            <w:tcW w:w="2000" w:type="dxa"/>
          </w:tcPr>
          <w:p w14:paraId="71F15EE6" w14:textId="77777777" w:rsidR="00A4494E" w:rsidRPr="00D152C4"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rFonts w:eastAsia="Cambria"/>
                <w:szCs w:val="22"/>
                <w:lang w:val="de-DE"/>
              </w:rPr>
            </w:pPr>
            <w:r w:rsidRPr="00D152C4">
              <w:rPr>
                <w:rFonts w:eastAsia="Cambria"/>
                <w:szCs w:val="22"/>
                <w:lang w:val="de-DE"/>
              </w:rPr>
              <w:t>Datenstands­logik, Standard für Entscheidungs­vorlagen, Nachweiskette, Betriebshandbuch.</w:t>
            </w:r>
          </w:p>
        </w:tc>
      </w:tr>
    </w:tbl>
    <w:p w14:paraId="5268284F" w14:textId="77777777" w:rsidR="00A4494E" w:rsidRPr="00325CBE" w:rsidRDefault="00A038EC">
      <w:pPr>
        <w:pStyle w:val="berschrift2"/>
        <w:rPr>
          <w:kern w:val="2"/>
        </w:rPr>
      </w:pPr>
      <w:bookmarkStart w:id="50" w:name="_Toc234746066"/>
      <w:bookmarkStart w:id="51" w:name="_Toc239764915"/>
      <w:r w:rsidRPr="00325CBE">
        <w:lastRenderedPageBreak/>
        <w:t>Ziel</w:t>
      </w:r>
      <w:bookmarkEnd w:id="50"/>
      <w:bookmarkEnd w:id="51"/>
    </w:p>
    <w:p w14:paraId="00DF3BEA" w14:textId="77777777" w:rsidR="00A4494E" w:rsidRPr="00325CBE" w:rsidRDefault="00A038EC">
      <w:pPr>
        <w:pStyle w:val="Textkrper"/>
        <w:rPr>
          <w:kern w:val="2"/>
          <w:lang w:val="de-DE"/>
        </w:rPr>
      </w:pPr>
      <w:r w:rsidRPr="00325CBE">
        <w:rPr>
          <w:lang w:val="de-DE"/>
        </w:rPr>
        <w:t>Zielverantwortung bedeutet, dass der Bauherr entscheidet, was gebaut werden soll, warum es gebaut werden soll und welche Zielkonflikte wie aufgelöst werden. Varianten, Kostenmodelle, Nutzeranalysen, ESG-/LCC-Bewertungen und technische Alternativen können vorbereitet werden. Die Priorisierung bleibt Bauherrenaufgabe.</w:t>
      </w:r>
    </w:p>
    <w:p w14:paraId="0F0A31FD" w14:textId="77777777" w:rsidR="00A4494E" w:rsidRPr="00325CBE" w:rsidRDefault="00A038EC">
      <w:pPr>
        <w:pStyle w:val="Textkrper"/>
        <w:rPr>
          <w:lang w:val="de-DE"/>
        </w:rPr>
      </w:pPr>
      <w:r w:rsidRPr="00325CBE">
        <w:rPr>
          <w:lang w:val="de-DE"/>
        </w:rPr>
        <w:t>Ohne explizite Zielverantwortung entsteht im Projektverlauf eine schleichende Abweichung: Jede Rolle optimiert aus ihrer fachlichen Perspektive, aber niemand hält den Zielkonflikt zusammen. MVG verlangt deshalb ein Zielsystem mit Muss-Kriterien, verhandelbaren Kriterien, Abwägungsregeln und klarer Entscheidungslogik.</w:t>
      </w:r>
    </w:p>
    <w:p w14:paraId="64DD4AEB" w14:textId="77777777" w:rsidR="00A4494E" w:rsidRPr="00325CBE" w:rsidRDefault="00A038EC">
      <w:pPr>
        <w:pStyle w:val="berschrift2"/>
        <w:rPr>
          <w:kern w:val="2"/>
        </w:rPr>
      </w:pPr>
      <w:bookmarkStart w:id="52" w:name="_Toc234746067"/>
      <w:bookmarkStart w:id="53" w:name="_Toc239764916"/>
      <w:r w:rsidRPr="00325CBE">
        <w:t>Mandat</w:t>
      </w:r>
      <w:bookmarkEnd w:id="52"/>
      <w:bookmarkEnd w:id="53"/>
    </w:p>
    <w:p w14:paraId="1890151E" w14:textId="77777777" w:rsidR="00A4494E" w:rsidRPr="00325CBE" w:rsidRDefault="00A038EC">
      <w:pPr>
        <w:pStyle w:val="Textkrper"/>
        <w:rPr>
          <w:kern w:val="2"/>
          <w:lang w:val="de-DE"/>
        </w:rPr>
      </w:pPr>
      <w:r w:rsidRPr="00325CBE">
        <w:rPr>
          <w:lang w:val="de-DE"/>
        </w:rPr>
        <w:t>Mandatsverantwortung bedeutet, dass der Bauherr festlegt, wer welche Entscheidung vorbereiten, treffen, freigeben oder eskalieren darf. RACI unterscheidet dabei ausführungsverantwortliche, letztverantwortliche, konsultierte und informierte Rollen. Diese Zuordnung reicht allein nicht aus, wenn Freigabeschwellen, Stellvertretungen und Eskalationswege fehlen.</w:t>
      </w:r>
    </w:p>
    <w:p w14:paraId="6A86E5BB" w14:textId="4C2B1741" w:rsidR="00A4494E" w:rsidRPr="00325CBE" w:rsidRDefault="00A038EC">
      <w:pPr>
        <w:pStyle w:val="Textkrper"/>
        <w:rPr>
          <w:lang w:val="de-DE"/>
        </w:rPr>
      </w:pPr>
      <w:r w:rsidRPr="00325CBE">
        <w:rPr>
          <w:lang w:val="de-DE"/>
        </w:rPr>
        <w:t>Ein wirksames Mandatsmodell beantwortet: Welche Entscheidung darf auf Projektebene getroffen werden? Welche Schwelle erfordert eine Entscheidung des Bauherrn oder die Beschlussfassung durch den Bauherrn im Lenkungskreis? Wer darf Kosten, Projektumfang, Termin, Risiko oder Vergabe beeinflussen? Welche Unterlagen müssen vorliegen? Welche Rolle ist letztverantwortlich? Genau diese Fragen verbindet MVG mit Freigaben und Entscheidungs-IDs.</w:t>
      </w:r>
    </w:p>
    <w:p w14:paraId="54281BDC" w14:textId="2C27E903" w:rsidR="00A4494E" w:rsidRPr="00325CBE" w:rsidRDefault="00A038EC">
      <w:pPr>
        <w:pStyle w:val="Textkrper"/>
        <w:rPr>
          <w:lang w:val="de-DE"/>
        </w:rPr>
      </w:pPr>
      <w:r w:rsidRPr="00325CBE">
        <w:rPr>
          <w:lang w:val="de-DE"/>
        </w:rPr>
        <w:t>Als Muster-Mandatsleiter gilt: Die Bauherren-PL gibt bis einschließlich 100 TEUR eigenständig frei; oberhalb von 100 TEUR bis einschließlich 5 Mio. EUR entscheidet das Änderungsgremium; darüber erfolgt die Beschlussfassung durch den Bauherrn im Lenkungskreis.</w:t>
      </w:r>
    </w:p>
    <w:p w14:paraId="21C1BA77" w14:textId="77777777" w:rsidR="00A4494E" w:rsidRPr="00325CBE" w:rsidRDefault="00A038EC">
      <w:pPr>
        <w:pStyle w:val="berschrift2"/>
        <w:rPr>
          <w:kern w:val="2"/>
        </w:rPr>
      </w:pPr>
      <w:bookmarkStart w:id="54" w:name="mandat"/>
      <w:bookmarkStart w:id="55" w:name="_Toc234746068"/>
      <w:bookmarkStart w:id="56" w:name="_Toc239764917"/>
      <w:bookmarkEnd w:id="54"/>
      <w:r w:rsidRPr="00325CBE">
        <w:t>Wesentliche Entscheidung</w:t>
      </w:r>
      <w:bookmarkEnd w:id="55"/>
      <w:bookmarkEnd w:id="56"/>
    </w:p>
    <w:p w14:paraId="201B1E28" w14:textId="77777777" w:rsidR="00A4494E" w:rsidRPr="00325CBE" w:rsidRDefault="00A038EC">
      <w:pPr>
        <w:pStyle w:val="Textkrper"/>
        <w:rPr>
          <w:kern w:val="2"/>
          <w:lang w:val="de-DE"/>
        </w:rPr>
      </w:pPr>
      <w:r w:rsidRPr="00325CBE">
        <w:rPr>
          <w:lang w:val="de-DE"/>
        </w:rPr>
        <w:t>Nicht jede operative Entscheidung ist bauherrenseitig wesentlich. Wesentlich sind Entscheidungen, die Projektzweck, Zielsystem oder die Dimensionen Kosten, Termin, Qualität, Projektumfang, Risiko und ESG/LCC substanziell beeinflussen – insbesondere Variantenwahl, Business Case, FID, Vergabe, Neufestlegung der Projektbasis, Fortführung oder Stopp sowie die Übergabe des Vorhabens.</w:t>
      </w:r>
    </w:p>
    <w:p w14:paraId="4B609D7A" w14:textId="1222EE1C" w:rsidR="00A4494E" w:rsidRPr="00325CBE" w:rsidRDefault="00A038EC">
      <w:pPr>
        <w:pStyle w:val="Textkrper"/>
        <w:rPr>
          <w:lang w:val="de-DE"/>
        </w:rPr>
      </w:pPr>
      <w:r w:rsidRPr="00325CBE">
        <w:rPr>
          <w:lang w:val="de-DE"/>
        </w:rPr>
        <w:t>MVG macht diese Entscheidungen sichtbar. Das System der Entscheidungs-IDs verhindert, dass kritische Entscheidungen in Protokollen, E-Mails, Fachrunden oder informellen Abstimmungen verschwinden. Jede wesentliche Entscheidung erhält eine eindeutige Kennung, einen Datenstand, eine verantwortliche Rolle, eine Entscheidungsfrage und einen Nachverfolgungsstatus.</w:t>
      </w:r>
    </w:p>
    <w:p w14:paraId="54862CF5" w14:textId="77777777" w:rsidR="00A4494E" w:rsidRPr="00325CBE" w:rsidRDefault="00A038EC">
      <w:pPr>
        <w:pStyle w:val="berschrift2"/>
        <w:rPr>
          <w:kern w:val="2"/>
        </w:rPr>
      </w:pPr>
      <w:bookmarkStart w:id="57" w:name="wesentliche-entscheidung"/>
      <w:bookmarkStart w:id="58" w:name="_Toc234746069"/>
      <w:bookmarkStart w:id="59" w:name="_Toc239764918"/>
      <w:bookmarkEnd w:id="57"/>
      <w:r w:rsidRPr="00325CBE">
        <w:t>Risikoannahme</w:t>
      </w:r>
      <w:bookmarkEnd w:id="58"/>
      <w:bookmarkEnd w:id="59"/>
    </w:p>
    <w:p w14:paraId="3A779277" w14:textId="77777777" w:rsidR="00A4494E" w:rsidRPr="00325CBE" w:rsidRDefault="00A038EC">
      <w:pPr>
        <w:pStyle w:val="Textkrper"/>
        <w:rPr>
          <w:kern w:val="2"/>
          <w:lang w:val="de-DE"/>
        </w:rPr>
      </w:pPr>
      <w:r w:rsidRPr="00325CBE">
        <w:rPr>
          <w:lang w:val="de-DE"/>
        </w:rPr>
        <w:t>Risiken können analysiert, bewertet und gemindert werden. Die Annahme wesentlicher Risikoexposition bleibt jedoch eine Bauherrenentscheidung. Das gilt insbesondere, wenn Risiken Kosten, Termin, Qualität, Projektumfang oder ESG/LCC beeinflussen.</w:t>
      </w:r>
    </w:p>
    <w:p w14:paraId="183AA272" w14:textId="77777777" w:rsidR="00A4494E" w:rsidRPr="00325CBE" w:rsidRDefault="00A038EC">
      <w:pPr>
        <w:pStyle w:val="Textkrper"/>
        <w:rPr>
          <w:lang w:val="de-DE"/>
        </w:rPr>
      </w:pPr>
      <w:r w:rsidRPr="00325CBE">
        <w:rPr>
          <w:lang w:val="de-DE"/>
        </w:rPr>
        <w:t>MVG verknüpft Risiken mit Entscheidungen. Ein Risiko wird nicht nur als Eintrag geführt, sondern mit einer verantwortlichen Rolle, Frist, Wirkung, Risikominderung, Restrisiko, Entscheidungsbedarf und Eskalationsschwelle verbunden. Dadurch wird Risikoarbeit führungswirksam.</w:t>
      </w:r>
    </w:p>
    <w:p w14:paraId="1C76A045" w14:textId="77777777" w:rsidR="00A4494E" w:rsidRPr="00325CBE" w:rsidRDefault="00A038EC">
      <w:pPr>
        <w:pStyle w:val="berschrift2"/>
        <w:rPr>
          <w:kern w:val="2"/>
        </w:rPr>
      </w:pPr>
      <w:bookmarkStart w:id="60" w:name="risikoannahme"/>
      <w:bookmarkStart w:id="61" w:name="_Toc234746070"/>
      <w:bookmarkStart w:id="62" w:name="_Toc239764919"/>
      <w:bookmarkEnd w:id="60"/>
      <w:r w:rsidRPr="00325CBE">
        <w:lastRenderedPageBreak/>
        <w:t>Freigabe</w:t>
      </w:r>
      <w:bookmarkEnd w:id="61"/>
      <w:bookmarkEnd w:id="62"/>
    </w:p>
    <w:p w14:paraId="0DEF3B08" w14:textId="77777777" w:rsidR="00A4494E" w:rsidRPr="00325CBE" w:rsidRDefault="00A038EC">
      <w:pPr>
        <w:pStyle w:val="Textkrper"/>
        <w:rPr>
          <w:kern w:val="2"/>
          <w:lang w:val="de-DE"/>
        </w:rPr>
      </w:pPr>
      <w:r w:rsidRPr="00325CBE">
        <w:rPr>
          <w:lang w:val="de-DE"/>
        </w:rPr>
        <w:t>Freigabe ist mehr als Unterschrift. Freigabe bedeutet bauherrenseitige Legitimation eines nächsten Schritts auf einem benannten Datenstand. Sie kann Planung, Vergabe, Budget, Änderung, Neufestlegung der Projektbasis, Bindung einer Komponente mit langer Lieferzeit, die Übergabe des Vorhabens oder den Regelbetrieb betreffen.</w:t>
      </w:r>
    </w:p>
    <w:p w14:paraId="2DB84BB8" w14:textId="77777777" w:rsidR="00A4494E" w:rsidRPr="00325CBE" w:rsidRDefault="00A038EC">
      <w:pPr>
        <w:pStyle w:val="Textkrper"/>
        <w:rPr>
          <w:lang w:val="de-DE"/>
        </w:rPr>
      </w:pPr>
      <w:r w:rsidRPr="00325CBE">
        <w:rPr>
          <w:lang w:val="de-DE"/>
        </w:rPr>
        <w:t xml:space="preserve">MVG bindet Freigaben an die Freigabelogik. Vor einer Freigabe muss klar sein, welche Entscheidung getroffen wird, welches Mandat gilt, welche Mindestgrundlagen vorliegen, welche Risiken </w:t>
      </w:r>
      <w:proofErr w:type="gramStart"/>
      <w:r w:rsidRPr="00325CBE">
        <w:rPr>
          <w:lang w:val="de-DE"/>
        </w:rPr>
        <w:t>angenommen werden</w:t>
      </w:r>
      <w:proofErr w:type="gramEnd"/>
      <w:r w:rsidRPr="00325CBE">
        <w:rPr>
          <w:lang w:val="de-DE"/>
        </w:rPr>
        <w:t xml:space="preserve"> und welcher Datenstand referenziert wird.</w:t>
      </w:r>
    </w:p>
    <w:p w14:paraId="123D92F6" w14:textId="77777777" w:rsidR="00A4494E" w:rsidRPr="00325CBE" w:rsidRDefault="00A038EC">
      <w:pPr>
        <w:pStyle w:val="berschrift2"/>
        <w:rPr>
          <w:kern w:val="2"/>
        </w:rPr>
      </w:pPr>
      <w:bookmarkStart w:id="63" w:name="freigabe"/>
      <w:bookmarkStart w:id="64" w:name="_Toc234746071"/>
      <w:bookmarkStart w:id="65" w:name="_Toc239764920"/>
      <w:bookmarkEnd w:id="63"/>
      <w:r w:rsidRPr="00325CBE">
        <w:t>Datenstand und Nachweis</w:t>
      </w:r>
      <w:bookmarkEnd w:id="64"/>
      <w:bookmarkEnd w:id="65"/>
    </w:p>
    <w:p w14:paraId="5F3B94EC" w14:textId="77777777" w:rsidR="00A4494E" w:rsidRPr="00325CBE" w:rsidRDefault="00A038EC">
      <w:pPr>
        <w:pStyle w:val="Textkrper"/>
        <w:rPr>
          <w:kern w:val="2"/>
          <w:lang w:val="de-DE"/>
        </w:rPr>
      </w:pPr>
      <w:r w:rsidRPr="00325CBE">
        <w:rPr>
          <w:lang w:val="de-DE"/>
        </w:rPr>
        <w:t>Datenstand und Nachweis sind kein administratives Nebenprodukt. Sie sind ein eigenes Verantwortungsfeld. Eine formal richtige Entscheidung kann praktisch unbrauchbar werden, wenn unklar ist, welche Zahlen, Planstände, Annahmen, Risiken oder Protokolle zugrunde lagen.</w:t>
      </w:r>
    </w:p>
    <w:p w14:paraId="0BCD0C5C" w14:textId="77777777" w:rsidR="00A4494E" w:rsidRPr="00325CBE" w:rsidRDefault="00A038EC">
      <w:pPr>
        <w:pStyle w:val="Textkrper"/>
        <w:rPr>
          <w:lang w:val="de-DE"/>
        </w:rPr>
      </w:pPr>
      <w:r w:rsidRPr="00325CBE">
        <w:rPr>
          <w:lang w:val="de-DE"/>
        </w:rPr>
        <w:t>MVG verlangt deshalb eine klare Datenstandslogik: Welche Version gilt? Welche Annahmen sind offen? Welche Änderungen wurden seit der letzten Freigabe aufgenommen? Welche Beschlusslage besteht? Wo wird die Nachweiskette geführt? Der Bauherr muss nicht alle Daten selbst pflegen, aber er muss sicherstellen, dass Entscheidungen auf belastbaren, benannten und reproduzierbaren Grundlagen beruhen. Damit sind die sechs Felder benannt, in denen der Bauherr entscheidungsfähig bleiben muss. Wie daraus ein funktionsfähiges Bauherren-Führungsmodell wird, zeigt das folgende Kapitel; die zugehörigen Ergebnisobjekte – vom Mandatsmodell bis zum Betriebshandbuch – bündelt Kapitel 9.</w:t>
      </w:r>
    </w:p>
    <w:p w14:paraId="545FEB1B" w14:textId="77777777" w:rsidR="00A4494E" w:rsidRPr="00325CBE" w:rsidRDefault="00A038EC">
      <w:pPr>
        <w:pStyle w:val="berschrift1"/>
        <w:rPr>
          <w:lang w:val="de-DE"/>
        </w:rPr>
      </w:pPr>
      <w:bookmarkStart w:id="66" w:name="datenstand-und-nachweis"/>
      <w:bookmarkStart w:id="67" w:name="verantwortungsfelder-des-bauherrn"/>
      <w:bookmarkStart w:id="68" w:name="_Toc234746072"/>
      <w:bookmarkStart w:id="69" w:name="_Toc239764921"/>
      <w:bookmarkEnd w:id="66"/>
      <w:bookmarkEnd w:id="67"/>
      <w:r w:rsidRPr="00325CBE">
        <w:rPr>
          <w:lang w:val="de-DE"/>
        </w:rPr>
        <w:lastRenderedPageBreak/>
        <w:t>Minimum Viable Governance als Bauherren-Führungsmodell</w:t>
      </w:r>
      <w:bookmarkEnd w:id="68"/>
      <w:bookmarkEnd w:id="69"/>
    </w:p>
    <w:p w14:paraId="7ECB41CC" w14:textId="28CD4B0E" w:rsidR="00A4494E" w:rsidRPr="00325CBE" w:rsidRDefault="00C93BF3">
      <w:pPr>
        <w:pStyle w:val="Textkrper"/>
        <w:jc w:val="center"/>
        <w:rPr>
          <w:lang w:val="de-DE"/>
        </w:rPr>
      </w:pPr>
      <w:r w:rsidRPr="00325CBE">
        <w:rPr>
          <w:noProof/>
          <w:lang w:val="de-DE"/>
        </w:rPr>
        <w:drawing>
          <wp:inline distT="0" distB="0" distL="0" distR="0" wp14:anchorId="6E3D43AA" wp14:editId="1BE455D7">
            <wp:extent cx="5971540" cy="4810125"/>
            <wp:effectExtent l="0" t="0" r="0" b="0"/>
            <wp:docPr id="177017591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1540" cy="4810125"/>
                    </a:xfrm>
                    <a:prstGeom prst="rect">
                      <a:avLst/>
                    </a:prstGeom>
                    <a:noFill/>
                    <a:ln>
                      <a:noFill/>
                    </a:ln>
                  </pic:spPr>
                </pic:pic>
              </a:graphicData>
            </a:graphic>
          </wp:inline>
        </w:drawing>
      </w:r>
    </w:p>
    <w:p w14:paraId="56A82AE4" w14:textId="77777777" w:rsidR="00A4494E" w:rsidRPr="00325CBE" w:rsidRDefault="00A038EC">
      <w:pPr>
        <w:pStyle w:val="Textkrper"/>
        <w:rPr>
          <w:kern w:val="2"/>
          <w:lang w:val="de-DE"/>
        </w:rPr>
      </w:pPr>
      <w:r w:rsidRPr="00325CBE">
        <w:rPr>
          <w:lang w:val="de-DE"/>
        </w:rPr>
        <w:t>Minimum Viable Governance ist der kleinste funktionsfähige Governance-Standard, mit dem ein Bauherr komplexe Projekte wirksam führen kann. MVG ist weder Bürokratieprogramm noch Berichtsoffensive. Es ist ein Bauherren-Führungsmodell, das Verantwortung in entscheidbare, mandatsfähige und nachweisbare Strukturen übersetzt.</w:t>
      </w:r>
    </w:p>
    <w:p w14:paraId="0C82495E" w14:textId="77777777" w:rsidR="00A4494E" w:rsidRPr="00325CBE" w:rsidRDefault="00A038EC">
      <w:pPr>
        <w:pStyle w:val="Textkrper"/>
        <w:rPr>
          <w:lang w:val="de-DE"/>
        </w:rPr>
      </w:pPr>
      <w:r w:rsidRPr="00325CBE">
        <w:rPr>
          <w:lang w:val="de-DE"/>
        </w:rPr>
        <w:t>Ein Bauherren-Führungsmodell beantwortet sechs Kernfragen:</w:t>
      </w:r>
    </w:p>
    <w:p w14:paraId="7D455B22" w14:textId="77777777" w:rsidR="00A4494E" w:rsidRPr="00325CBE" w:rsidRDefault="00A038EC">
      <w:pPr>
        <w:pStyle w:val="Compact"/>
        <w:numPr>
          <w:ilvl w:val="0"/>
          <w:numId w:val="2"/>
        </w:numPr>
        <w:rPr>
          <w:lang w:val="de-DE"/>
        </w:rPr>
      </w:pPr>
      <w:r w:rsidRPr="00325CBE">
        <w:rPr>
          <w:lang w:val="de-DE"/>
        </w:rPr>
        <w:t>Welche Ziele gelten?</w:t>
      </w:r>
    </w:p>
    <w:p w14:paraId="68C62C32" w14:textId="77777777" w:rsidR="00A4494E" w:rsidRPr="00325CBE" w:rsidRDefault="00A038EC">
      <w:pPr>
        <w:pStyle w:val="Compact"/>
        <w:numPr>
          <w:ilvl w:val="0"/>
          <w:numId w:val="2"/>
        </w:numPr>
        <w:rPr>
          <w:lang w:val="de-DE"/>
        </w:rPr>
      </w:pPr>
      <w:r w:rsidRPr="00325CBE">
        <w:rPr>
          <w:lang w:val="de-DE"/>
        </w:rPr>
        <w:t>Wer darf was vorbereiten, entscheiden, freigeben oder eskalieren?</w:t>
      </w:r>
    </w:p>
    <w:p w14:paraId="159A7C51" w14:textId="77777777" w:rsidR="00A4494E" w:rsidRPr="00325CBE" w:rsidRDefault="00A038EC">
      <w:pPr>
        <w:pStyle w:val="Compact"/>
        <w:numPr>
          <w:ilvl w:val="0"/>
          <w:numId w:val="2"/>
        </w:numPr>
        <w:rPr>
          <w:lang w:val="de-DE"/>
        </w:rPr>
      </w:pPr>
      <w:r w:rsidRPr="00325CBE">
        <w:rPr>
          <w:lang w:val="de-DE"/>
        </w:rPr>
        <w:t>Welche Entscheidungen sind wesentlich?</w:t>
      </w:r>
    </w:p>
    <w:p w14:paraId="629FF675" w14:textId="77777777" w:rsidR="00A4494E" w:rsidRPr="00325CBE" w:rsidRDefault="00A038EC">
      <w:pPr>
        <w:pStyle w:val="Compact"/>
        <w:numPr>
          <w:ilvl w:val="0"/>
          <w:numId w:val="2"/>
        </w:numPr>
        <w:rPr>
          <w:lang w:val="de-DE"/>
        </w:rPr>
      </w:pPr>
      <w:r w:rsidRPr="00325CBE">
        <w:rPr>
          <w:lang w:val="de-DE"/>
        </w:rPr>
        <w:t>Welche Risiken und Änderungen brauchen bauherrenseitige Annahme oder Freigabe?</w:t>
      </w:r>
    </w:p>
    <w:p w14:paraId="2DBEC7D6" w14:textId="77777777" w:rsidR="00A4494E" w:rsidRPr="00325CBE" w:rsidRDefault="00A038EC">
      <w:pPr>
        <w:pStyle w:val="Compact"/>
        <w:numPr>
          <w:ilvl w:val="0"/>
          <w:numId w:val="2"/>
        </w:numPr>
        <w:rPr>
          <w:lang w:val="de-DE"/>
        </w:rPr>
      </w:pPr>
      <w:r w:rsidRPr="00325CBE">
        <w:rPr>
          <w:lang w:val="de-DE"/>
        </w:rPr>
        <w:t>Welcher Datenstand gilt?</w:t>
      </w:r>
    </w:p>
    <w:p w14:paraId="0B0534B6" w14:textId="77777777" w:rsidR="00A4494E" w:rsidRPr="00325CBE" w:rsidRDefault="00A038EC">
      <w:pPr>
        <w:pStyle w:val="Compact"/>
        <w:numPr>
          <w:ilvl w:val="0"/>
          <w:numId w:val="2"/>
        </w:numPr>
        <w:rPr>
          <w:lang w:val="de-DE"/>
        </w:rPr>
      </w:pPr>
      <w:r w:rsidRPr="00325CBE">
        <w:rPr>
          <w:lang w:val="de-DE"/>
        </w:rPr>
        <w:t>Wie wird die Entscheidung später nachvollzogen?</w:t>
      </w:r>
    </w:p>
    <w:p w14:paraId="61C3E708" w14:textId="77777777" w:rsidR="00A4494E" w:rsidRPr="00325CBE" w:rsidRDefault="00A038EC">
      <w:pPr>
        <w:pStyle w:val="Textkrper"/>
        <w:rPr>
          <w:kern w:val="2"/>
          <w:lang w:val="de-DE"/>
        </w:rPr>
      </w:pPr>
      <w:r w:rsidRPr="00325CBE">
        <w:rPr>
          <w:lang w:val="de-DE"/>
        </w:rPr>
        <w:t>Wirksam wird MVG erst, wenn diese Fragen nicht nur abstrakt beantwortet, sondern in Routinen, Freigaben, Entscheidungs-IDs, Datenstandslogik, Eskalationswege, Betriebshandbuch und Befähigung übersetzt werden. Damit entsteht aus Verantwortung eine praktisch nutzbare Führungslogik.</w:t>
      </w:r>
    </w:p>
    <w:p w14:paraId="33831199" w14:textId="77777777" w:rsidR="00A4494E" w:rsidRPr="00325CBE" w:rsidRDefault="00A038EC">
      <w:pPr>
        <w:pStyle w:val="berschrift2"/>
      </w:pPr>
      <w:bookmarkStart w:id="70" w:name="_Toc234746073"/>
      <w:bookmarkStart w:id="71" w:name="_Toc239764922"/>
      <w:r w:rsidRPr="00325CBE">
        <w:lastRenderedPageBreak/>
        <w:t>Zweck von MVG</w:t>
      </w:r>
      <w:bookmarkEnd w:id="70"/>
      <w:bookmarkEnd w:id="71"/>
    </w:p>
    <w:p w14:paraId="4646DF71" w14:textId="77777777" w:rsidR="00A4494E" w:rsidRPr="00325CBE" w:rsidRDefault="00A038EC">
      <w:pPr>
        <w:pStyle w:val="Textkrper"/>
        <w:rPr>
          <w:kern w:val="2"/>
          <w:lang w:val="de-DE"/>
        </w:rPr>
      </w:pPr>
      <w:r w:rsidRPr="00325CBE">
        <w:rPr>
          <w:lang w:val="de-DE"/>
        </w:rPr>
        <w:t>Der Zweck von MVG ist nicht maximale Governance. Der Zweck ist ausreichende Steuerbarkeit mit dem kleinstmöglichen funktionsfähigen Standard. Das unterscheidet MVG von schweren Governance-Programmen. MVG setzt nicht voraus, dass eine Organisation bereits reif, vollständig standardisiert oder systemseitig integriert ist. Es beginnt mit den Entscheidungen, die für den Bauherrn kritisch sind, und schafft dafür einen belastbaren Mindeststandard.</w:t>
      </w:r>
    </w:p>
    <w:p w14:paraId="27F6C91F" w14:textId="77777777" w:rsidR="00A4494E" w:rsidRPr="00325CBE" w:rsidRDefault="00A038EC">
      <w:pPr>
        <w:pStyle w:val="Textkrper"/>
        <w:rPr>
          <w:lang w:val="de-DE"/>
        </w:rPr>
      </w:pPr>
      <w:r w:rsidRPr="00325CBE">
        <w:rPr>
          <w:lang w:val="de-DE"/>
        </w:rPr>
        <w:t>MVG zielt auf Entscheidungssicherheit. Entscheidungssicherheit bedeutet nicht Risikofreiheit. Sie bedeutet, dass Entscheidungen auf einem benannten Datenstand, mit klarer Entscheidungsfrage, bekannten Optionen, transparenten Annahmen, nachvollziehbarer Risikoannahme, definiertem Mandat und dokumentierter Beschlusslage getroffen werden.</w:t>
      </w:r>
    </w:p>
    <w:p w14:paraId="418E6049" w14:textId="77777777" w:rsidR="00A4494E" w:rsidRPr="00325CBE" w:rsidRDefault="00A038EC">
      <w:pPr>
        <w:pStyle w:val="berschrift2"/>
      </w:pPr>
      <w:bookmarkStart w:id="72" w:name="zweck-von-mvg"/>
      <w:bookmarkStart w:id="73" w:name="_Toc234746074"/>
      <w:bookmarkStart w:id="74" w:name="_Toc239764923"/>
      <w:bookmarkEnd w:id="72"/>
      <w:r w:rsidRPr="00325CBE">
        <w:t>Bausteine des Bauherren-Führungsmodells</w:t>
      </w:r>
      <w:bookmarkEnd w:id="73"/>
      <w:bookmarkEnd w:id="74"/>
    </w:p>
    <w:tbl>
      <w:tblPr>
        <w:tblStyle w:val="Gitternetztabelle4Akzent1"/>
        <w:tblW w:w="5000" w:type="pct"/>
        <w:tblLayout w:type="fixed"/>
        <w:tblLook w:val="0420" w:firstRow="1" w:lastRow="0" w:firstColumn="0" w:lastColumn="0" w:noHBand="0" w:noVBand="1"/>
      </w:tblPr>
      <w:tblGrid>
        <w:gridCol w:w="2376"/>
        <w:gridCol w:w="3430"/>
        <w:gridCol w:w="3814"/>
      </w:tblGrid>
      <w:tr w:rsidR="00A4494E" w:rsidRPr="00325CBE" w14:paraId="1CC27B8C" w14:textId="77777777" w:rsidTr="00915867">
        <w:trPr>
          <w:cnfStyle w:val="100000000000" w:firstRow="1" w:lastRow="0" w:firstColumn="0" w:lastColumn="0" w:oddVBand="0" w:evenVBand="0" w:oddHBand="0" w:evenHBand="0" w:firstRowFirstColumn="0" w:firstRowLastColumn="0" w:lastRowFirstColumn="0" w:lastRowLastColumn="0"/>
          <w:cantSplit/>
        </w:trPr>
        <w:tc>
          <w:tcPr>
            <w:tcW w:w="2376" w:type="dxa"/>
            <w:tcBorders>
              <w:top w:val="single" w:sz="4" w:space="0" w:color="4F81BD"/>
              <w:left w:val="single" w:sz="4" w:space="0" w:color="4F81BD"/>
              <w:bottom w:val="single" w:sz="4" w:space="0" w:color="4F81BD"/>
              <w:right w:val="single" w:sz="4" w:space="0" w:color="4F81BD"/>
            </w:tcBorders>
          </w:tcPr>
          <w:p w14:paraId="0E10A8F0" w14:textId="77777777" w:rsidR="00A4494E" w:rsidRPr="00325CBE" w:rsidRDefault="00A038EC">
            <w:pPr>
              <w:pStyle w:val="Compact"/>
              <w:spacing w:before="0" w:after="40"/>
              <w:rPr>
                <w:lang w:val="de-DE"/>
              </w:rPr>
            </w:pPr>
            <w:r w:rsidRPr="00325CBE">
              <w:rPr>
                <w:rFonts w:eastAsia="Cambria"/>
                <w:lang w:val="de-DE"/>
              </w:rPr>
              <w:t>MVG-Baustein</w:t>
            </w:r>
          </w:p>
        </w:tc>
        <w:tc>
          <w:tcPr>
            <w:tcW w:w="3430" w:type="dxa"/>
            <w:tcBorders>
              <w:top w:val="single" w:sz="4" w:space="0" w:color="4F81BD"/>
              <w:left w:val="single" w:sz="4" w:space="0" w:color="4F81BD"/>
              <w:bottom w:val="single" w:sz="4" w:space="0" w:color="4F81BD"/>
              <w:right w:val="single" w:sz="4" w:space="0" w:color="4F81BD"/>
            </w:tcBorders>
          </w:tcPr>
          <w:p w14:paraId="302DBF8D" w14:textId="77777777" w:rsidR="00A4494E" w:rsidRPr="00325CBE" w:rsidRDefault="00A038EC">
            <w:pPr>
              <w:pStyle w:val="Compact"/>
              <w:spacing w:before="0" w:after="40"/>
              <w:rPr>
                <w:lang w:val="de-DE"/>
              </w:rPr>
            </w:pPr>
            <w:r w:rsidRPr="00325CBE">
              <w:rPr>
                <w:rFonts w:eastAsia="Cambria"/>
                <w:lang w:val="de-DE"/>
              </w:rPr>
              <w:t>Funktion</w:t>
            </w:r>
          </w:p>
        </w:tc>
        <w:tc>
          <w:tcPr>
            <w:tcW w:w="3814" w:type="dxa"/>
            <w:tcBorders>
              <w:top w:val="single" w:sz="4" w:space="0" w:color="4F81BD"/>
              <w:left w:val="single" w:sz="4" w:space="0" w:color="4F81BD"/>
              <w:bottom w:val="single" w:sz="4" w:space="0" w:color="4F81BD"/>
              <w:right w:val="single" w:sz="4" w:space="0" w:color="4F81BD"/>
            </w:tcBorders>
          </w:tcPr>
          <w:p w14:paraId="661A5F2F" w14:textId="77777777" w:rsidR="00A4494E" w:rsidRPr="00325CBE" w:rsidRDefault="00A038EC">
            <w:pPr>
              <w:pStyle w:val="Compact"/>
              <w:spacing w:before="0" w:after="40"/>
              <w:rPr>
                <w:lang w:val="de-DE"/>
              </w:rPr>
            </w:pPr>
            <w:r w:rsidRPr="00325CBE">
              <w:rPr>
                <w:rFonts w:eastAsia="Cambria"/>
                <w:lang w:val="de-DE"/>
              </w:rPr>
              <w:t>Minimale Wirkung für den Bauherrn</w:t>
            </w:r>
          </w:p>
        </w:tc>
      </w:tr>
      <w:tr w:rsidR="00A4494E" w:rsidRPr="00325CBE" w14:paraId="7DB99548" w14:textId="77777777" w:rsidTr="00915867">
        <w:trPr>
          <w:cnfStyle w:val="000000100000" w:firstRow="0" w:lastRow="0" w:firstColumn="0" w:lastColumn="0" w:oddVBand="0" w:evenVBand="0" w:oddHBand="1" w:evenHBand="0" w:firstRowFirstColumn="0" w:firstRowLastColumn="0" w:lastRowFirstColumn="0" w:lastRowLastColumn="0"/>
          <w:cantSplit/>
        </w:trPr>
        <w:tc>
          <w:tcPr>
            <w:tcW w:w="2376" w:type="dxa"/>
          </w:tcPr>
          <w:p w14:paraId="6C0A6BCB" w14:textId="77777777" w:rsidR="00A4494E" w:rsidRPr="00325CBE" w:rsidRDefault="00A038EC">
            <w:pPr>
              <w:pStyle w:val="Compact"/>
              <w:spacing w:before="0" w:after="40"/>
              <w:rPr>
                <w:lang w:val="de-DE"/>
              </w:rPr>
            </w:pPr>
            <w:r w:rsidRPr="00325CBE">
              <w:rPr>
                <w:rFonts w:eastAsia="Cambria"/>
                <w:lang w:val="de-DE"/>
              </w:rPr>
              <w:t>Zielsystem und Abwägungsregeln</w:t>
            </w:r>
          </w:p>
        </w:tc>
        <w:tc>
          <w:tcPr>
            <w:tcW w:w="3430" w:type="dxa"/>
          </w:tcPr>
          <w:p w14:paraId="66D644F4" w14:textId="77777777" w:rsidR="00A4494E" w:rsidRPr="00325CBE" w:rsidRDefault="00A038EC">
            <w:pPr>
              <w:pStyle w:val="Compact"/>
              <w:spacing w:before="0" w:after="40"/>
              <w:rPr>
                <w:lang w:val="de-DE"/>
              </w:rPr>
            </w:pPr>
            <w:r w:rsidRPr="00325CBE">
              <w:rPr>
                <w:rFonts w:eastAsia="Cambria"/>
                <w:lang w:val="de-DE"/>
              </w:rPr>
              <w:t>Legt fest, was Vorrang hat, wenn Kosten, Termine, Qualität, ESG, LCC, Risiko und Nutzwert kollidieren.</w:t>
            </w:r>
          </w:p>
        </w:tc>
        <w:tc>
          <w:tcPr>
            <w:tcW w:w="3814" w:type="dxa"/>
          </w:tcPr>
          <w:p w14:paraId="4520285F" w14:textId="77777777" w:rsidR="00A4494E" w:rsidRPr="00325CBE" w:rsidRDefault="00A038EC">
            <w:pPr>
              <w:pStyle w:val="Compact"/>
              <w:spacing w:before="0" w:after="40"/>
              <w:rPr>
                <w:lang w:val="de-DE"/>
              </w:rPr>
            </w:pPr>
            <w:r w:rsidRPr="00325CBE">
              <w:rPr>
                <w:rFonts w:eastAsia="Cambria"/>
                <w:lang w:val="de-DE"/>
              </w:rPr>
              <w:t>Verhindert situative Priorisierung und schafft eine belastbare Grundlage für Varianten- und Freigabeentscheidungen.</w:t>
            </w:r>
          </w:p>
        </w:tc>
      </w:tr>
      <w:tr w:rsidR="00A4494E" w:rsidRPr="00325CBE" w14:paraId="28156A6B" w14:textId="77777777" w:rsidTr="00915867">
        <w:trPr>
          <w:cantSplit/>
        </w:trPr>
        <w:tc>
          <w:tcPr>
            <w:tcW w:w="2376" w:type="dxa"/>
          </w:tcPr>
          <w:p w14:paraId="53A0E404" w14:textId="77777777" w:rsidR="00A4494E" w:rsidRPr="00325CBE" w:rsidRDefault="00A038EC">
            <w:pPr>
              <w:pStyle w:val="Compact"/>
              <w:spacing w:before="0" w:after="40"/>
              <w:rPr>
                <w:lang w:val="de-DE"/>
              </w:rPr>
            </w:pPr>
            <w:r w:rsidRPr="00325CBE">
              <w:rPr>
                <w:rFonts w:eastAsia="Cambria"/>
                <w:lang w:val="de-DE"/>
              </w:rPr>
              <w:t>Rollen und Mandate</w:t>
            </w:r>
          </w:p>
        </w:tc>
        <w:tc>
          <w:tcPr>
            <w:tcW w:w="3430" w:type="dxa"/>
          </w:tcPr>
          <w:p w14:paraId="5E5846D7" w14:textId="77777777" w:rsidR="00A4494E" w:rsidRPr="00325CBE" w:rsidRDefault="00A038EC">
            <w:pPr>
              <w:pStyle w:val="Compact"/>
              <w:spacing w:before="0" w:after="40"/>
              <w:rPr>
                <w:lang w:val="de-DE"/>
              </w:rPr>
            </w:pPr>
            <w:r w:rsidRPr="00325CBE">
              <w:rPr>
                <w:rFonts w:eastAsia="Cambria"/>
                <w:lang w:val="de-DE"/>
              </w:rPr>
              <w:t>Übersetzt Rollen in Befugnisse, Schwellen, Stellvertretungen, Freigaben und Eskalations­wege.</w:t>
            </w:r>
          </w:p>
        </w:tc>
        <w:tc>
          <w:tcPr>
            <w:tcW w:w="3814" w:type="dxa"/>
          </w:tcPr>
          <w:p w14:paraId="7BA29AB1" w14:textId="77777777" w:rsidR="00A4494E" w:rsidRPr="00325CBE" w:rsidRDefault="00A038EC">
            <w:pPr>
              <w:pStyle w:val="Compact"/>
              <w:spacing w:before="0" w:after="40"/>
              <w:rPr>
                <w:lang w:val="de-DE"/>
              </w:rPr>
            </w:pPr>
            <w:r w:rsidRPr="00325CBE">
              <w:rPr>
                <w:rFonts w:eastAsia="Cambria"/>
                <w:lang w:val="de-DE"/>
              </w:rPr>
              <w:t>Verhindert verdeckte Verantwortungsübernahme und unklare Entscheidungs­rechte.</w:t>
            </w:r>
          </w:p>
        </w:tc>
      </w:tr>
      <w:tr w:rsidR="00A4494E" w:rsidRPr="00325CBE" w14:paraId="0B25BDD9" w14:textId="77777777" w:rsidTr="00915867">
        <w:trPr>
          <w:cnfStyle w:val="000000100000" w:firstRow="0" w:lastRow="0" w:firstColumn="0" w:lastColumn="0" w:oddVBand="0" w:evenVBand="0" w:oddHBand="1" w:evenHBand="0" w:firstRowFirstColumn="0" w:firstRowLastColumn="0" w:lastRowFirstColumn="0" w:lastRowLastColumn="0"/>
          <w:cantSplit/>
        </w:trPr>
        <w:tc>
          <w:tcPr>
            <w:tcW w:w="2376" w:type="dxa"/>
          </w:tcPr>
          <w:p w14:paraId="58A056EC" w14:textId="77777777" w:rsidR="00A4494E" w:rsidRPr="00325CBE" w:rsidRDefault="00A038EC">
            <w:pPr>
              <w:pStyle w:val="Compact"/>
              <w:spacing w:before="0" w:after="40"/>
              <w:rPr>
                <w:lang w:val="de-DE"/>
              </w:rPr>
            </w:pPr>
            <w:r w:rsidRPr="00325CBE">
              <w:rPr>
                <w:rFonts w:eastAsia="Cambria"/>
                <w:lang w:val="de-DE"/>
              </w:rPr>
              <w:t>Freigabelogik</w:t>
            </w:r>
          </w:p>
        </w:tc>
        <w:tc>
          <w:tcPr>
            <w:tcW w:w="3430" w:type="dxa"/>
          </w:tcPr>
          <w:p w14:paraId="1A338396" w14:textId="77777777" w:rsidR="00A4494E" w:rsidRPr="00325CBE" w:rsidRDefault="00A038EC">
            <w:pPr>
              <w:pStyle w:val="Compact"/>
              <w:spacing w:before="0" w:after="40"/>
              <w:rPr>
                <w:lang w:val="de-DE"/>
              </w:rPr>
            </w:pPr>
            <w:r w:rsidRPr="00325CBE">
              <w:rPr>
                <w:rFonts w:eastAsia="Cambria"/>
                <w:lang w:val="de-DE"/>
              </w:rPr>
              <w:t>Verknüpft Projektfortschritt mit Entscheidungsvorbereitung und Freigabereife.</w:t>
            </w:r>
          </w:p>
        </w:tc>
        <w:tc>
          <w:tcPr>
            <w:tcW w:w="3814" w:type="dxa"/>
          </w:tcPr>
          <w:p w14:paraId="454BE1E4" w14:textId="77777777" w:rsidR="00A4494E" w:rsidRPr="00325CBE" w:rsidRDefault="00A038EC">
            <w:pPr>
              <w:pStyle w:val="Compact"/>
              <w:spacing w:before="0" w:after="40"/>
              <w:rPr>
                <w:lang w:val="de-DE"/>
              </w:rPr>
            </w:pPr>
            <w:r w:rsidRPr="00325CBE">
              <w:rPr>
                <w:rFonts w:eastAsia="Cambria"/>
                <w:lang w:val="de-DE"/>
              </w:rPr>
              <w:t>Macht sichtbar, welche Entscheidungen vor welchem Schritt belastbar getroffen werden müssen.</w:t>
            </w:r>
          </w:p>
        </w:tc>
      </w:tr>
      <w:tr w:rsidR="00A4494E" w:rsidRPr="00325CBE" w14:paraId="2BE8507C" w14:textId="77777777" w:rsidTr="00915867">
        <w:trPr>
          <w:cantSplit/>
        </w:trPr>
        <w:tc>
          <w:tcPr>
            <w:tcW w:w="2376" w:type="dxa"/>
          </w:tcPr>
          <w:p w14:paraId="41F0F564" w14:textId="77777777" w:rsidR="00A4494E" w:rsidRPr="00325CBE" w:rsidRDefault="00A038EC">
            <w:pPr>
              <w:pStyle w:val="Compact"/>
              <w:spacing w:before="0" w:after="40"/>
              <w:rPr>
                <w:lang w:val="de-DE"/>
              </w:rPr>
            </w:pPr>
            <w:r w:rsidRPr="00325CBE">
              <w:rPr>
                <w:rFonts w:eastAsia="Cambria"/>
                <w:lang w:val="de-DE"/>
              </w:rPr>
              <w:t>System der Entscheidungs-IDs</w:t>
            </w:r>
          </w:p>
        </w:tc>
        <w:tc>
          <w:tcPr>
            <w:tcW w:w="3430" w:type="dxa"/>
          </w:tcPr>
          <w:p w14:paraId="5402C2B6" w14:textId="77777777" w:rsidR="00A4494E" w:rsidRPr="00325CBE" w:rsidRDefault="00A038EC">
            <w:pPr>
              <w:pStyle w:val="Compact"/>
              <w:spacing w:before="0" w:after="40"/>
              <w:rPr>
                <w:lang w:val="de-DE"/>
              </w:rPr>
            </w:pPr>
            <w:r w:rsidRPr="00325CBE">
              <w:rPr>
                <w:rFonts w:eastAsia="Cambria"/>
                <w:lang w:val="de-DE"/>
              </w:rPr>
              <w:t>Gibt wesentlichen Entscheidungen eine eindeutige Kennung und Nachverfolgungslogik.</w:t>
            </w:r>
          </w:p>
        </w:tc>
        <w:tc>
          <w:tcPr>
            <w:tcW w:w="3814" w:type="dxa"/>
          </w:tcPr>
          <w:p w14:paraId="08F4A19A" w14:textId="77777777" w:rsidR="00A4494E" w:rsidRPr="00325CBE" w:rsidRDefault="00A038EC">
            <w:pPr>
              <w:pStyle w:val="Compact"/>
              <w:spacing w:before="0" w:after="40"/>
              <w:rPr>
                <w:lang w:val="de-DE"/>
              </w:rPr>
            </w:pPr>
            <w:r w:rsidRPr="00325CBE">
              <w:rPr>
                <w:rFonts w:eastAsia="Cambria"/>
                <w:lang w:val="de-DE"/>
              </w:rPr>
              <w:t>Schafft Transparenz über offene, vorbereitete, getroffene und nachzuhaltende Entscheidungen.</w:t>
            </w:r>
          </w:p>
        </w:tc>
      </w:tr>
      <w:tr w:rsidR="00A4494E" w:rsidRPr="00325CBE" w14:paraId="7B231146" w14:textId="77777777" w:rsidTr="00915867">
        <w:trPr>
          <w:cnfStyle w:val="000000100000" w:firstRow="0" w:lastRow="0" w:firstColumn="0" w:lastColumn="0" w:oddVBand="0" w:evenVBand="0" w:oddHBand="1" w:evenHBand="0" w:firstRowFirstColumn="0" w:firstRowLastColumn="0" w:lastRowFirstColumn="0" w:lastRowLastColumn="0"/>
          <w:cantSplit/>
        </w:trPr>
        <w:tc>
          <w:tcPr>
            <w:tcW w:w="2376" w:type="dxa"/>
          </w:tcPr>
          <w:p w14:paraId="0A648017" w14:textId="77777777" w:rsidR="00A4494E" w:rsidRPr="00325CBE" w:rsidRDefault="00A038EC">
            <w:pPr>
              <w:pStyle w:val="Compact"/>
              <w:spacing w:before="0" w:after="40"/>
              <w:rPr>
                <w:lang w:val="de-DE"/>
              </w:rPr>
            </w:pPr>
            <w:r w:rsidRPr="00325CBE">
              <w:rPr>
                <w:rFonts w:eastAsia="Cambria"/>
                <w:lang w:val="de-DE"/>
              </w:rPr>
              <w:t>Datenstands- und Nachweislogik</w:t>
            </w:r>
          </w:p>
        </w:tc>
        <w:tc>
          <w:tcPr>
            <w:tcW w:w="3430" w:type="dxa"/>
          </w:tcPr>
          <w:p w14:paraId="4C929A11" w14:textId="77777777" w:rsidR="00A4494E" w:rsidRPr="00325CBE" w:rsidRDefault="00A038EC">
            <w:pPr>
              <w:pStyle w:val="Compact"/>
              <w:spacing w:before="0" w:after="40"/>
              <w:rPr>
                <w:lang w:val="de-DE"/>
              </w:rPr>
            </w:pPr>
            <w:r w:rsidRPr="00325CBE">
              <w:rPr>
                <w:rFonts w:eastAsia="Cambria"/>
                <w:lang w:val="de-DE"/>
              </w:rPr>
              <w:t>Definiert, welche Versionen, Annahmen und Beschlussgrundlagen gelten.</w:t>
            </w:r>
          </w:p>
        </w:tc>
        <w:tc>
          <w:tcPr>
            <w:tcW w:w="3814" w:type="dxa"/>
          </w:tcPr>
          <w:p w14:paraId="2F2D625B" w14:textId="77777777" w:rsidR="00A4494E" w:rsidRPr="00325CBE" w:rsidRDefault="00A038EC">
            <w:pPr>
              <w:pStyle w:val="Compact"/>
              <w:spacing w:before="0" w:after="40"/>
              <w:rPr>
                <w:lang w:val="de-DE"/>
              </w:rPr>
            </w:pPr>
            <w:r w:rsidRPr="00325CBE">
              <w:rPr>
                <w:rFonts w:eastAsia="Cambria"/>
                <w:lang w:val="de-DE"/>
              </w:rPr>
              <w:t>Reduziert parallele Wahrheiten und stärkt die Nachweiskette, Gremienfähigkeit und Nachvollziehbarkeit.</w:t>
            </w:r>
          </w:p>
        </w:tc>
      </w:tr>
      <w:tr w:rsidR="00A4494E" w:rsidRPr="00325CBE" w14:paraId="2317DBB0" w14:textId="77777777" w:rsidTr="00915867">
        <w:trPr>
          <w:cantSplit/>
        </w:trPr>
        <w:tc>
          <w:tcPr>
            <w:tcW w:w="2376" w:type="dxa"/>
          </w:tcPr>
          <w:p w14:paraId="0B5AB0EE" w14:textId="335CB659" w:rsidR="00A4494E" w:rsidRPr="00325CBE" w:rsidRDefault="00A038EC">
            <w:pPr>
              <w:pStyle w:val="Compact"/>
              <w:spacing w:before="0" w:after="40"/>
              <w:rPr>
                <w:lang w:val="de-DE"/>
              </w:rPr>
            </w:pPr>
            <w:r w:rsidRPr="00325CBE">
              <w:rPr>
                <w:rFonts w:eastAsia="Cambria"/>
                <w:lang w:val="de-DE"/>
              </w:rPr>
              <w:t>Risiko-/Änderungs-/</w:t>
            </w:r>
            <w:proofErr w:type="spellStart"/>
            <w:r w:rsidRPr="00325CBE">
              <w:rPr>
                <w:rFonts w:eastAsia="Cambria"/>
                <w:lang w:val="de-DE"/>
              </w:rPr>
              <w:t>Maßnahmen­verknüp</w:t>
            </w:r>
            <w:r w:rsidR="00915867">
              <w:rPr>
                <w:rFonts w:eastAsia="Cambria"/>
                <w:lang w:val="de-DE"/>
              </w:rPr>
              <w:t>-</w:t>
            </w:r>
            <w:r w:rsidRPr="00325CBE">
              <w:rPr>
                <w:rFonts w:eastAsia="Cambria"/>
                <w:lang w:val="de-DE"/>
              </w:rPr>
              <w:t>fung</w:t>
            </w:r>
            <w:proofErr w:type="spellEnd"/>
          </w:p>
        </w:tc>
        <w:tc>
          <w:tcPr>
            <w:tcW w:w="3430" w:type="dxa"/>
          </w:tcPr>
          <w:p w14:paraId="31424FBC" w14:textId="77777777" w:rsidR="00A4494E" w:rsidRPr="00325CBE" w:rsidRDefault="00A038EC">
            <w:pPr>
              <w:pStyle w:val="Compact"/>
              <w:spacing w:before="0" w:after="40"/>
              <w:rPr>
                <w:lang w:val="de-DE"/>
              </w:rPr>
            </w:pPr>
            <w:r w:rsidRPr="00325CBE">
              <w:rPr>
                <w:rFonts w:eastAsia="Cambria"/>
                <w:lang w:val="de-DE"/>
              </w:rPr>
              <w:t>Verbindet Risiken, Änderungen, Maßnahmen und Entscheidungen.</w:t>
            </w:r>
          </w:p>
        </w:tc>
        <w:tc>
          <w:tcPr>
            <w:tcW w:w="3814" w:type="dxa"/>
          </w:tcPr>
          <w:p w14:paraId="57F9BEC1" w14:textId="77777777" w:rsidR="00A4494E" w:rsidRPr="00325CBE" w:rsidRDefault="00A038EC">
            <w:pPr>
              <w:pStyle w:val="Compact"/>
              <w:spacing w:before="0" w:after="40"/>
              <w:rPr>
                <w:lang w:val="de-DE"/>
              </w:rPr>
            </w:pPr>
            <w:r w:rsidRPr="00325CBE">
              <w:rPr>
                <w:rFonts w:eastAsia="Cambria"/>
                <w:lang w:val="de-DE"/>
              </w:rPr>
              <w:t>Verhindert, dass Risiken und Änderungen nur gelistet, aber nicht führungswirksam werden.</w:t>
            </w:r>
          </w:p>
        </w:tc>
      </w:tr>
      <w:tr w:rsidR="00A4494E" w:rsidRPr="00325CBE" w14:paraId="2241A864" w14:textId="77777777" w:rsidTr="00915867">
        <w:trPr>
          <w:cnfStyle w:val="000000100000" w:firstRow="0" w:lastRow="0" w:firstColumn="0" w:lastColumn="0" w:oddVBand="0" w:evenVBand="0" w:oddHBand="1" w:evenHBand="0" w:firstRowFirstColumn="0" w:firstRowLastColumn="0" w:lastRowFirstColumn="0" w:lastRowLastColumn="0"/>
          <w:cantSplit/>
        </w:trPr>
        <w:tc>
          <w:tcPr>
            <w:tcW w:w="2376" w:type="dxa"/>
          </w:tcPr>
          <w:p w14:paraId="6553C627" w14:textId="77777777" w:rsidR="00A4494E" w:rsidRPr="00325CBE" w:rsidRDefault="00A038EC">
            <w:pPr>
              <w:pStyle w:val="Compact"/>
              <w:spacing w:before="0" w:after="40"/>
              <w:rPr>
                <w:lang w:val="de-DE"/>
              </w:rPr>
            </w:pPr>
            <w:r w:rsidRPr="00325CBE">
              <w:rPr>
                <w:rFonts w:eastAsia="Cambria"/>
                <w:lang w:val="de-DE"/>
              </w:rPr>
              <w:t>Betriebshandbuch</w:t>
            </w:r>
          </w:p>
        </w:tc>
        <w:tc>
          <w:tcPr>
            <w:tcW w:w="3430" w:type="dxa"/>
          </w:tcPr>
          <w:p w14:paraId="59E5B07D" w14:textId="77777777" w:rsidR="00A4494E" w:rsidRPr="00325CBE" w:rsidRDefault="00A038EC">
            <w:pPr>
              <w:pStyle w:val="Compact"/>
              <w:spacing w:before="0" w:after="40"/>
              <w:rPr>
                <w:lang w:val="de-DE"/>
              </w:rPr>
            </w:pPr>
            <w:r w:rsidRPr="00325CBE">
              <w:rPr>
                <w:rFonts w:eastAsia="Cambria"/>
                <w:lang w:val="de-DE"/>
              </w:rPr>
              <w:t>Beschreibt den Regelbetrieb mit Taktung, Rollen, Routinen, Eskalation und Verantwortlichkeiten.</w:t>
            </w:r>
          </w:p>
        </w:tc>
        <w:tc>
          <w:tcPr>
            <w:tcW w:w="3814" w:type="dxa"/>
          </w:tcPr>
          <w:p w14:paraId="5BB0A1F2" w14:textId="77777777" w:rsidR="00A4494E" w:rsidRPr="00325CBE" w:rsidRDefault="00A038EC">
            <w:pPr>
              <w:pStyle w:val="Compact"/>
              <w:spacing w:before="0" w:after="40"/>
              <w:rPr>
                <w:lang w:val="de-DE"/>
              </w:rPr>
            </w:pPr>
            <w:r w:rsidRPr="00325CBE">
              <w:rPr>
                <w:rFonts w:eastAsia="Cambria"/>
                <w:lang w:val="de-DE"/>
              </w:rPr>
              <w:t>Sichert den Übergang aus dem Projektaufbau in die wiederholbare Anwendung.</w:t>
            </w:r>
          </w:p>
        </w:tc>
      </w:tr>
      <w:tr w:rsidR="00A4494E" w:rsidRPr="00325CBE" w14:paraId="04206A6D" w14:textId="77777777" w:rsidTr="00915867">
        <w:trPr>
          <w:cantSplit/>
        </w:trPr>
        <w:tc>
          <w:tcPr>
            <w:tcW w:w="2376" w:type="dxa"/>
          </w:tcPr>
          <w:p w14:paraId="4BE5D83F" w14:textId="77777777" w:rsidR="00A4494E" w:rsidRPr="00325CBE" w:rsidRDefault="00A038EC">
            <w:pPr>
              <w:pStyle w:val="Compact"/>
              <w:spacing w:before="0" w:after="40"/>
              <w:rPr>
                <w:lang w:val="de-DE"/>
              </w:rPr>
            </w:pPr>
            <w:r w:rsidRPr="00325CBE">
              <w:rPr>
                <w:rFonts w:eastAsia="Cambria"/>
                <w:lang w:val="de-DE"/>
              </w:rPr>
              <w:t>Befähigung</w:t>
            </w:r>
          </w:p>
        </w:tc>
        <w:tc>
          <w:tcPr>
            <w:tcW w:w="3430" w:type="dxa"/>
          </w:tcPr>
          <w:p w14:paraId="4BA5D382" w14:textId="77777777" w:rsidR="00A4494E" w:rsidRPr="00325CBE" w:rsidRDefault="00A038EC">
            <w:pPr>
              <w:pStyle w:val="Compact"/>
              <w:spacing w:before="0" w:after="40"/>
              <w:rPr>
                <w:lang w:val="de-DE"/>
              </w:rPr>
            </w:pPr>
            <w:r w:rsidRPr="00325CBE">
              <w:rPr>
                <w:rFonts w:eastAsia="Cambria"/>
                <w:lang w:val="de-DE"/>
              </w:rPr>
              <w:t>Macht Schlüsselrollen in der Bauherrenorganisation handlungsfähig.</w:t>
            </w:r>
          </w:p>
        </w:tc>
        <w:tc>
          <w:tcPr>
            <w:tcW w:w="3814" w:type="dxa"/>
          </w:tcPr>
          <w:p w14:paraId="33B00E46" w14:textId="77777777" w:rsidR="00A4494E" w:rsidRPr="00325CBE" w:rsidRDefault="00A038EC">
            <w:pPr>
              <w:pStyle w:val="Compact"/>
              <w:spacing w:before="0" w:after="40"/>
              <w:rPr>
                <w:lang w:val="de-DE"/>
              </w:rPr>
            </w:pPr>
            <w:r w:rsidRPr="00325CBE">
              <w:rPr>
                <w:rFonts w:eastAsia="Cambria"/>
                <w:lang w:val="de-DE"/>
              </w:rPr>
              <w:t>Stellt sicher, dass der Bauherr das Modell selbst anwenden, prüfen und weiterentwickeln kann.</w:t>
            </w:r>
          </w:p>
        </w:tc>
      </w:tr>
    </w:tbl>
    <w:p w14:paraId="6A9F86A6" w14:textId="77777777" w:rsidR="00A4494E" w:rsidRPr="00325CBE" w:rsidRDefault="00A038EC">
      <w:pPr>
        <w:pStyle w:val="Textkrper"/>
        <w:rPr>
          <w:lang w:val="de-DE"/>
        </w:rPr>
      </w:pPr>
      <w:r w:rsidRPr="00325CBE">
        <w:rPr>
          <w:lang w:val="de-DE"/>
        </w:rPr>
        <w:t>Diese Bausteine kehren im weiteren Verlauf zweimal wieder: als anwendungsnahe Funktionslogiken des MVG Companion (Kapitel 6) und als konkrete Ergebnisse eines MVG-Mandats (Kapitel 9).</w:t>
      </w:r>
    </w:p>
    <w:p w14:paraId="04FD9135" w14:textId="77777777" w:rsidR="00A4494E" w:rsidRPr="00325CBE" w:rsidRDefault="00A038EC">
      <w:pPr>
        <w:pStyle w:val="berschrift2"/>
      </w:pPr>
      <w:bookmarkStart w:id="75" w:name="bausteine-des-operating-models"/>
      <w:bookmarkStart w:id="76" w:name="_Toc234746075"/>
      <w:bookmarkStart w:id="77" w:name="_Toc239764924"/>
      <w:bookmarkEnd w:id="75"/>
      <w:r w:rsidRPr="00325CBE">
        <w:lastRenderedPageBreak/>
        <w:t>Wirklogik: Verantwortung wird entscheidungsfähig</w:t>
      </w:r>
      <w:bookmarkEnd w:id="76"/>
      <w:bookmarkEnd w:id="77"/>
    </w:p>
    <w:p w14:paraId="0EB85E3F" w14:textId="61156FBA" w:rsidR="00A4494E" w:rsidRPr="00325CBE" w:rsidRDefault="00A038EC">
      <w:pPr>
        <w:pStyle w:val="Textkrper"/>
        <w:rPr>
          <w:kern w:val="2"/>
          <w:lang w:val="de-DE"/>
        </w:rPr>
      </w:pPr>
      <w:r w:rsidRPr="00325CBE">
        <w:rPr>
          <w:lang w:val="de-DE"/>
        </w:rPr>
        <w:t>Die Wirkung von MVG entsteht durch Kopplung. Ein Zielsystem allein reicht nicht – ebenso wenig eine RACI-Matrix, ein Freigabekalender oder eine einzelne Entscheidungsvorlage. MVG wirkt erst, wenn diese Elemente miteinander verbunden werden.</w:t>
      </w:r>
    </w:p>
    <w:p w14:paraId="52044F02" w14:textId="77777777" w:rsidR="00A4494E" w:rsidRPr="00325CBE" w:rsidRDefault="00A038EC">
      <w:pPr>
        <w:pStyle w:val="Textkrper"/>
        <w:rPr>
          <w:lang w:val="de-DE"/>
        </w:rPr>
      </w:pPr>
      <w:r w:rsidRPr="00325CBE">
        <w:rPr>
          <w:lang w:val="de-DE"/>
        </w:rPr>
        <w:t>Ein Beispiel: Eine wesentliche Änderungsentscheidung darf nicht nur als technischer Änderungsvorschlag erscheinen. Sie braucht eine Entscheidungs-ID, einen gültigen Datenstand, eine Auswirkungsbewertung auf Kosten, Termin, Qualität, Projektumfang, Risiko und ESG/LCC, eine Mandatsprüfung, eine Empfehlung, eine Freigabe- oder Eskalationslogik und einen Nachweis der Beschlusslage. Erst dann wird aus einer Änderung ein führbares Bauherrenthema.</w:t>
      </w:r>
    </w:p>
    <w:p w14:paraId="0A57DB71" w14:textId="77777777" w:rsidR="00A4494E" w:rsidRPr="00325CBE" w:rsidRDefault="00A038EC">
      <w:pPr>
        <w:pStyle w:val="Textkrper"/>
        <w:rPr>
          <w:lang w:val="de-DE"/>
        </w:rPr>
      </w:pPr>
      <w:r w:rsidRPr="00325CBE">
        <w:rPr>
          <w:lang w:val="de-DE"/>
        </w:rPr>
        <w:t>Diese Kopplung verändert das Projektverhalten:</w:t>
      </w:r>
    </w:p>
    <w:p w14:paraId="678A3E1D" w14:textId="77777777" w:rsidR="00A4494E" w:rsidRPr="00325CBE" w:rsidRDefault="00A038EC">
      <w:pPr>
        <w:pStyle w:val="Compact"/>
        <w:numPr>
          <w:ilvl w:val="0"/>
          <w:numId w:val="3"/>
        </w:numPr>
        <w:rPr>
          <w:lang w:val="de-DE"/>
        </w:rPr>
      </w:pPr>
      <w:r w:rsidRPr="00325CBE">
        <w:rPr>
          <w:lang w:val="de-DE"/>
        </w:rPr>
        <w:t>Zielkonflikte werden vor Entscheidungen sichtbar.</w:t>
      </w:r>
    </w:p>
    <w:p w14:paraId="3D7DC3FD" w14:textId="77777777" w:rsidR="00A4494E" w:rsidRPr="00325CBE" w:rsidRDefault="00A038EC">
      <w:pPr>
        <w:pStyle w:val="Compact"/>
        <w:numPr>
          <w:ilvl w:val="0"/>
          <w:numId w:val="3"/>
        </w:numPr>
        <w:rPr>
          <w:lang w:val="de-DE"/>
        </w:rPr>
      </w:pPr>
      <w:r w:rsidRPr="00325CBE">
        <w:rPr>
          <w:lang w:val="de-DE"/>
        </w:rPr>
        <w:t>Mandate werden explizit, statt aus Hierarchie oder Gewohnheit angenommen.</w:t>
      </w:r>
    </w:p>
    <w:p w14:paraId="1CD49881" w14:textId="77777777" w:rsidR="00A4494E" w:rsidRPr="00325CBE" w:rsidRDefault="00A038EC">
      <w:pPr>
        <w:pStyle w:val="Compact"/>
        <w:numPr>
          <w:ilvl w:val="0"/>
          <w:numId w:val="3"/>
        </w:numPr>
        <w:rPr>
          <w:lang w:val="de-DE"/>
        </w:rPr>
      </w:pPr>
      <w:r w:rsidRPr="00325CBE">
        <w:rPr>
          <w:lang w:val="de-DE"/>
        </w:rPr>
        <w:t>Freigaben werden an definierte Entscheidungsreife gebunden.</w:t>
      </w:r>
    </w:p>
    <w:p w14:paraId="22EB4D4E" w14:textId="77777777" w:rsidR="00A4494E" w:rsidRPr="00325CBE" w:rsidRDefault="00A038EC">
      <w:pPr>
        <w:pStyle w:val="Compact"/>
        <w:numPr>
          <w:ilvl w:val="0"/>
          <w:numId w:val="3"/>
        </w:numPr>
        <w:rPr>
          <w:lang w:val="de-DE"/>
        </w:rPr>
      </w:pPr>
      <w:r w:rsidRPr="00325CBE">
        <w:rPr>
          <w:lang w:val="de-DE"/>
        </w:rPr>
        <w:t>Risiken und Änderungen werden entscheidungsfähig gemacht.</w:t>
      </w:r>
    </w:p>
    <w:p w14:paraId="380164E8" w14:textId="77777777" w:rsidR="00A4494E" w:rsidRPr="00325CBE" w:rsidRDefault="00A038EC">
      <w:pPr>
        <w:pStyle w:val="Compact"/>
        <w:numPr>
          <w:ilvl w:val="0"/>
          <w:numId w:val="3"/>
        </w:numPr>
        <w:rPr>
          <w:lang w:val="de-DE"/>
        </w:rPr>
      </w:pPr>
      <w:r w:rsidRPr="00325CBE">
        <w:rPr>
          <w:lang w:val="de-DE"/>
        </w:rPr>
        <w:t>Gremien erhalten Entscheidungsunterlagen statt reiner Statusberichte.</w:t>
      </w:r>
    </w:p>
    <w:p w14:paraId="2888DB45" w14:textId="77777777" w:rsidR="00A4494E" w:rsidRPr="00325CBE" w:rsidRDefault="00A038EC">
      <w:pPr>
        <w:pStyle w:val="Compact"/>
        <w:numPr>
          <w:ilvl w:val="0"/>
          <w:numId w:val="3"/>
        </w:numPr>
        <w:rPr>
          <w:lang w:val="de-DE"/>
        </w:rPr>
      </w:pPr>
      <w:r w:rsidRPr="00325CBE">
        <w:rPr>
          <w:lang w:val="de-DE"/>
        </w:rPr>
        <w:t>Die Bauherren-Projektleitung erhält eine handhabbare Logik für Vorbereitung, Nachverfolgung und Eskalation.</w:t>
      </w:r>
    </w:p>
    <w:p w14:paraId="2550A861" w14:textId="77777777" w:rsidR="00A4494E" w:rsidRPr="00325CBE" w:rsidRDefault="00A4494E">
      <w:pPr>
        <w:pStyle w:val="Compact"/>
        <w:rPr>
          <w:lang w:val="de-DE"/>
        </w:rPr>
      </w:pPr>
    </w:p>
    <w:p w14:paraId="22586190" w14:textId="77777777" w:rsidR="00A4494E" w:rsidRPr="00325CBE" w:rsidRDefault="00A038EC">
      <w:pPr>
        <w:pStyle w:val="berschrift2"/>
      </w:pPr>
      <w:bookmarkStart w:id="78" w:name="X3de3d7b2d02a3c43061938ddd27f55a8187b95a"/>
      <w:bookmarkStart w:id="79" w:name="_Toc234746076"/>
      <w:bookmarkStart w:id="80" w:name="_Toc239764925"/>
      <w:bookmarkEnd w:id="78"/>
      <w:r w:rsidRPr="00325CBE">
        <w:lastRenderedPageBreak/>
        <w:t>LPH 0 als früher Wirkungsraum</w:t>
      </w:r>
      <w:bookmarkEnd w:id="79"/>
      <w:bookmarkEnd w:id="80"/>
    </w:p>
    <w:p w14:paraId="33A3A05D" w14:textId="6B537BE9" w:rsidR="00A4494E" w:rsidRPr="00325CBE" w:rsidRDefault="00E1380C">
      <w:pPr>
        <w:pStyle w:val="FirstParagraph"/>
        <w:jc w:val="center"/>
        <w:rPr>
          <w:lang w:val="de-DE"/>
        </w:rPr>
      </w:pPr>
      <w:r w:rsidRPr="00325CBE">
        <w:rPr>
          <w:noProof/>
          <w:lang w:val="de-DE"/>
        </w:rPr>
        <w:drawing>
          <wp:inline distT="0" distB="0" distL="0" distR="0" wp14:anchorId="3DD4A8FB" wp14:editId="431FA720">
            <wp:extent cx="5971540" cy="4810125"/>
            <wp:effectExtent l="0" t="0" r="0" b="0"/>
            <wp:docPr id="173605818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1540" cy="4810125"/>
                    </a:xfrm>
                    <a:prstGeom prst="rect">
                      <a:avLst/>
                    </a:prstGeom>
                    <a:noFill/>
                    <a:ln>
                      <a:noFill/>
                    </a:ln>
                  </pic:spPr>
                </pic:pic>
              </a:graphicData>
            </a:graphic>
          </wp:inline>
        </w:drawing>
      </w:r>
    </w:p>
    <w:p w14:paraId="274BDB77" w14:textId="0E6C1E52" w:rsidR="00A4494E" w:rsidRPr="00325CBE" w:rsidRDefault="00A038EC">
      <w:pPr>
        <w:pStyle w:val="Textkrper"/>
        <w:rPr>
          <w:kern w:val="2"/>
          <w:lang w:val="de-DE"/>
        </w:rPr>
      </w:pPr>
      <w:r w:rsidRPr="00325CBE">
        <w:rPr>
          <w:lang w:val="de-DE"/>
        </w:rPr>
        <w:t>LPH 0 – die Bedarfsplanung im Sinne der DIN 18205, die den HOAI-Leistungsphasen 1–9 vorgelagert ist – bleibt ein wichtiger Wirkungsraum, weil dort Zielsystem, Mandatslogik, Leistungsphasen- und Freigabemodell, Datenstandslogik und erste Entscheidungsstandards früh angelegt werden können. Das Whitepaper setzt LPH 0 jedoch nicht als Hauptnarrativ. Der größere Punkt ist die Ausübungsfähigkeit nichtdelegierbarer Bauherrenverantwortung.</w:t>
      </w:r>
    </w:p>
    <w:p w14:paraId="242F293E" w14:textId="77777777" w:rsidR="00A4494E" w:rsidRPr="00325CBE" w:rsidRDefault="00A038EC">
      <w:pPr>
        <w:pStyle w:val="Textkrper"/>
        <w:rPr>
          <w:lang w:val="de-DE"/>
        </w:rPr>
      </w:pPr>
      <w:bookmarkStart w:id="81" w:name="lph0-als-früher-wirkungsraum"/>
      <w:bookmarkStart w:id="82" w:name="Xcfc7d7ff0b4fe964c47d83da08f6b8951fcc4ca"/>
      <w:r w:rsidRPr="00325CBE">
        <w:rPr>
          <w:lang w:val="de-DE"/>
        </w:rPr>
        <w:t>LPH 0 ist der Zeitpunkt, an dem spätere Steuerbarkeit vorbereitet werden kann. Wenn dort Zielprioritäten unklar bleiben, Mandate nicht definiert werden, Gremienlogik und Projektlogik auseinanderlaufen und Datenstände nicht referenziert werden, entstehen spätere Kosten-, Termin-, Qualitäts- und Freigaberisiken. MVG nutzt LPH 0 deshalb als frühen Hebel, bleibt aber nicht auf LPH 0 beschränkt. Auch in laufenden Projekten, vor wesentlichen Freigaben, bei Neufestlegungen der Projektbasis, bei schleichenden Änderungen oder im Rahmen einer MVG-Neuinitialisierung kann MVG die Entscheidungs- und Nachweisfähigkeit wiederherstellen.</w:t>
      </w:r>
      <w:bookmarkEnd w:id="81"/>
      <w:bookmarkEnd w:id="82"/>
    </w:p>
    <w:p w14:paraId="404DEE2A" w14:textId="77777777" w:rsidR="00A4494E" w:rsidRPr="00325CBE" w:rsidRDefault="00A038EC">
      <w:pPr>
        <w:pStyle w:val="berschrift2"/>
      </w:pPr>
      <w:bookmarkStart w:id="83" w:name="_Toc234746077"/>
      <w:bookmarkStart w:id="84" w:name="_Toc239764926"/>
      <w:r w:rsidRPr="00325CBE">
        <w:t>Abgrenzung und rechtlicher Hinweis</w:t>
      </w:r>
      <w:bookmarkEnd w:id="83"/>
      <w:bookmarkEnd w:id="84"/>
    </w:p>
    <w:p w14:paraId="08B69568" w14:textId="77777777" w:rsidR="00A4494E" w:rsidRPr="00325CBE" w:rsidRDefault="00A038EC">
      <w:pPr>
        <w:pStyle w:val="Textkrper"/>
        <w:rPr>
          <w:kern w:val="2"/>
          <w:lang w:val="de-DE"/>
        </w:rPr>
      </w:pPr>
      <w:r w:rsidRPr="00325CBE">
        <w:rPr>
          <w:lang w:val="de-DE"/>
        </w:rPr>
        <w:t xml:space="preserve">MVG behandelt nicht alle denkbaren Bauherrenpflichten. Es ist keine bauordnungsrechtliche Pflichtenmatrix, keine arbeitsschutzrechtliche Vertiefung, keine Vergaberechtsprüfung und keine technische Betreiberberatung. Der Fokus liegt auf Führungs-, Entscheidungs- und Nachweisfähigkeit. </w:t>
      </w:r>
      <w:r w:rsidRPr="00325CBE">
        <w:rPr>
          <w:lang w:val="de-DE"/>
        </w:rPr>
        <w:lastRenderedPageBreak/>
        <w:t>Damit ist der Rahmen des Modells abgesteckt. Wie MVG im Alltag der beteiligten Rollen ankommt, zeigt das folgende Kapitel zum MVG Companion.</w:t>
      </w:r>
    </w:p>
    <w:p w14:paraId="5F8E6995" w14:textId="77777777" w:rsidR="00A4494E" w:rsidRPr="00325CBE" w:rsidRDefault="00A038EC">
      <w:pPr>
        <w:pStyle w:val="berschrift1"/>
        <w:rPr>
          <w:kern w:val="2"/>
          <w:lang w:val="de-DE"/>
        </w:rPr>
      </w:pPr>
      <w:bookmarkStart w:id="85" w:name="abgrenzung-und-rechtlicher-hinweis"/>
      <w:bookmarkStart w:id="86" w:name="X09151cff5ee8338f3da1052125eb4f0f6b43864"/>
      <w:bookmarkStart w:id="87" w:name="_Toc234746078"/>
      <w:bookmarkStart w:id="88" w:name="_Toc239764927"/>
      <w:bookmarkEnd w:id="85"/>
      <w:bookmarkEnd w:id="86"/>
      <w:r w:rsidRPr="00325CBE">
        <w:rPr>
          <w:lang w:val="de-DE"/>
        </w:rPr>
        <w:t>MVG Companion als Umsetzungsbeschleuniger</w:t>
      </w:r>
      <w:bookmarkEnd w:id="87"/>
      <w:bookmarkEnd w:id="88"/>
    </w:p>
    <w:p w14:paraId="757558CF" w14:textId="2F0F0781" w:rsidR="00A4494E" w:rsidRPr="00325CBE" w:rsidRDefault="00E1380C">
      <w:pPr>
        <w:pStyle w:val="Textkrper"/>
        <w:jc w:val="center"/>
        <w:rPr>
          <w:lang w:val="de-DE"/>
        </w:rPr>
      </w:pPr>
      <w:r w:rsidRPr="00325CBE">
        <w:rPr>
          <w:noProof/>
          <w:lang w:val="de-DE"/>
        </w:rPr>
        <w:drawing>
          <wp:inline distT="0" distB="0" distL="0" distR="0" wp14:anchorId="0F51AFDE" wp14:editId="1353AA04">
            <wp:extent cx="5971540" cy="3333115"/>
            <wp:effectExtent l="0" t="0" r="0" b="0"/>
            <wp:docPr id="62335919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1540" cy="3333115"/>
                    </a:xfrm>
                    <a:prstGeom prst="rect">
                      <a:avLst/>
                    </a:prstGeom>
                    <a:noFill/>
                    <a:ln>
                      <a:noFill/>
                    </a:ln>
                  </pic:spPr>
                </pic:pic>
              </a:graphicData>
            </a:graphic>
          </wp:inline>
        </w:drawing>
      </w:r>
    </w:p>
    <w:p w14:paraId="31DCFBAE" w14:textId="77777777" w:rsidR="00A4494E" w:rsidRPr="00325CBE" w:rsidRDefault="00A038EC">
      <w:pPr>
        <w:pStyle w:val="Textkrper"/>
        <w:rPr>
          <w:kern w:val="2"/>
          <w:lang w:val="de-DE"/>
        </w:rPr>
      </w:pPr>
      <w:r w:rsidRPr="00325CBE">
        <w:rPr>
          <w:lang w:val="de-DE"/>
        </w:rPr>
        <w:t>Der MVG Companion ist die anwendungsnahe Arbeitsumgebung zur Umsetzung von MVG. Er erleichtert den Übergang vom Konzept in die Anwendung und macht die MVG-Logik für die relevanten Rollen im Alltag verfügbar: bei der Vorbereitung von Entscheidungen, der Steuerung der Freigaben, der Nachweisführung, der Befähigung und beim Übergang in den Regelbetrieb.</w:t>
      </w:r>
    </w:p>
    <w:p w14:paraId="05B00D11" w14:textId="77777777" w:rsidR="00A4494E" w:rsidRPr="00325CBE" w:rsidRDefault="00A038EC">
      <w:pPr>
        <w:pStyle w:val="Textkrper"/>
        <w:rPr>
          <w:lang w:val="de-DE"/>
        </w:rPr>
      </w:pPr>
      <w:r w:rsidRPr="00325CBE">
        <w:rPr>
          <w:lang w:val="de-DE"/>
        </w:rPr>
        <w:t>Der Companion ist dabei kein zweites Dachkonzept neben MVG und kein Ersatz für Entscheidung oder Führung. Er ist die anwendungsnahe Begleitlogik, mit der MVG schneller verstanden, konsistenter angewendet und nachhaltiger verankert wird.</w:t>
      </w:r>
    </w:p>
    <w:p w14:paraId="4DF20A42" w14:textId="77777777" w:rsidR="00A4494E" w:rsidRPr="00325CBE" w:rsidRDefault="00A038EC">
      <w:pPr>
        <w:pStyle w:val="berschrift2"/>
        <w:rPr>
          <w:kern w:val="2"/>
        </w:rPr>
      </w:pPr>
      <w:bookmarkStart w:id="89" w:name="_Toc234746079"/>
      <w:bookmarkStart w:id="90" w:name="_Toc239764928"/>
      <w:r w:rsidRPr="00325CBE">
        <w:t>Funktionslogiken des MVG Companion</w:t>
      </w:r>
      <w:bookmarkEnd w:id="89"/>
      <w:bookmarkEnd w:id="90"/>
    </w:p>
    <w:p w14:paraId="598071F2" w14:textId="77777777" w:rsidR="00A4494E" w:rsidRPr="00325CBE" w:rsidRDefault="00A038EC">
      <w:pPr>
        <w:pStyle w:val="Textkrper"/>
        <w:rPr>
          <w:lang w:val="de-DE"/>
        </w:rPr>
      </w:pPr>
      <w:r w:rsidRPr="00325CBE">
        <w:rPr>
          <w:lang w:val="de-DE"/>
        </w:rPr>
        <w:t>Die folgenden Funktionslogiken spiegeln die Bausteine aus Abschnitt 5.2: Der Companion erfindet keine neue Governance, er macht die vereinbarte Governance im Alltag anwendbar.</w:t>
      </w:r>
    </w:p>
    <w:tbl>
      <w:tblPr>
        <w:tblStyle w:val="Gitternetztabelle4Akzent1"/>
        <w:tblW w:w="9620" w:type="dxa"/>
        <w:tblLayout w:type="fixed"/>
        <w:tblLook w:val="04A0" w:firstRow="1" w:lastRow="0" w:firstColumn="1" w:lastColumn="0" w:noHBand="0" w:noVBand="1"/>
      </w:tblPr>
      <w:tblGrid>
        <w:gridCol w:w="2092"/>
        <w:gridCol w:w="4110"/>
        <w:gridCol w:w="3418"/>
      </w:tblGrid>
      <w:tr w:rsidR="00A4494E" w:rsidRPr="00325CBE" w14:paraId="175B36A0"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2" w:type="dxa"/>
            <w:tcBorders>
              <w:top w:val="single" w:sz="4" w:space="0" w:color="4F81BD"/>
              <w:left w:val="single" w:sz="4" w:space="0" w:color="4F81BD"/>
              <w:bottom w:val="single" w:sz="4" w:space="0" w:color="4F81BD"/>
              <w:right w:val="single" w:sz="4" w:space="0" w:color="4F81BD"/>
            </w:tcBorders>
          </w:tcPr>
          <w:p w14:paraId="2FA0474D" w14:textId="77777777" w:rsidR="00A4494E" w:rsidRPr="00325CBE" w:rsidRDefault="00A038EC">
            <w:pPr>
              <w:pStyle w:val="Textkrper"/>
              <w:spacing w:before="120" w:after="120"/>
              <w:rPr>
                <w:lang w:val="de-DE"/>
              </w:rPr>
            </w:pPr>
            <w:r w:rsidRPr="00325CBE">
              <w:rPr>
                <w:rFonts w:eastAsia="Cambria"/>
                <w:lang w:val="de-DE"/>
              </w:rPr>
              <w:t>Funktionslogik</w:t>
            </w:r>
          </w:p>
        </w:tc>
        <w:tc>
          <w:tcPr>
            <w:tcW w:w="4110" w:type="dxa"/>
            <w:tcBorders>
              <w:top w:val="single" w:sz="4" w:space="0" w:color="4F81BD"/>
              <w:left w:val="single" w:sz="4" w:space="0" w:color="4F81BD"/>
              <w:bottom w:val="single" w:sz="4" w:space="0" w:color="4F81BD"/>
              <w:right w:val="single" w:sz="4" w:space="0" w:color="4F81BD"/>
            </w:tcBorders>
          </w:tcPr>
          <w:p w14:paraId="32DC2E83" w14:textId="77777777" w:rsidR="00A4494E" w:rsidRPr="00325CBE" w:rsidRDefault="00A038EC">
            <w:pPr>
              <w:pStyle w:val="Textkrper"/>
              <w:spacing w:before="120" w:after="120"/>
              <w:cnfStyle w:val="100000000000" w:firstRow="1" w:lastRow="0" w:firstColumn="0" w:lastColumn="0" w:oddVBand="0" w:evenVBand="0" w:oddHBand="0" w:evenHBand="0" w:firstRowFirstColumn="0" w:firstRowLastColumn="0" w:lastRowFirstColumn="0" w:lastRowLastColumn="0"/>
              <w:rPr>
                <w:kern w:val="2"/>
                <w:lang w:val="de-DE"/>
              </w:rPr>
            </w:pPr>
            <w:r w:rsidRPr="00325CBE">
              <w:rPr>
                <w:rFonts w:eastAsia="Cambria"/>
                <w:lang w:val="de-DE"/>
              </w:rPr>
              <w:t>Beitrag zur Umsetzung</w:t>
            </w:r>
          </w:p>
        </w:tc>
        <w:tc>
          <w:tcPr>
            <w:tcW w:w="3418" w:type="dxa"/>
            <w:tcBorders>
              <w:top w:val="single" w:sz="4" w:space="0" w:color="4F81BD"/>
              <w:left w:val="single" w:sz="4" w:space="0" w:color="4F81BD"/>
              <w:bottom w:val="single" w:sz="4" w:space="0" w:color="4F81BD"/>
              <w:right w:val="single" w:sz="4" w:space="0" w:color="4F81BD"/>
            </w:tcBorders>
          </w:tcPr>
          <w:p w14:paraId="43F133C0" w14:textId="77777777" w:rsidR="00A4494E" w:rsidRPr="00325CBE" w:rsidRDefault="00A038EC">
            <w:pPr>
              <w:pStyle w:val="Textkrper"/>
              <w:spacing w:before="120" w:after="12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Nutzen für den Bauherrn</w:t>
            </w:r>
          </w:p>
        </w:tc>
      </w:tr>
      <w:tr w:rsidR="00A4494E" w:rsidRPr="00325CBE" w14:paraId="2F1999F1"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2" w:type="dxa"/>
          </w:tcPr>
          <w:p w14:paraId="214B64DB" w14:textId="77777777" w:rsidR="00A4494E" w:rsidRPr="00325CBE" w:rsidRDefault="00A038EC">
            <w:pPr>
              <w:pStyle w:val="Textkrper"/>
              <w:spacing w:before="120" w:after="120"/>
              <w:rPr>
                <w:lang w:val="de-DE"/>
              </w:rPr>
            </w:pPr>
            <w:r w:rsidRPr="00325CBE">
              <w:rPr>
                <w:rFonts w:eastAsia="Cambria"/>
                <w:lang w:val="de-DE"/>
              </w:rPr>
              <w:t>Entscheidungs­assistent</w:t>
            </w:r>
          </w:p>
        </w:tc>
        <w:tc>
          <w:tcPr>
            <w:tcW w:w="4110" w:type="dxa"/>
          </w:tcPr>
          <w:p w14:paraId="6468D908" w14:textId="64D3EAE8"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Führt durch Entscheidungsfrage, Mandat, Freigabe, Datenstand und Nachweis.</w:t>
            </w:r>
          </w:p>
        </w:tc>
        <w:tc>
          <w:tcPr>
            <w:tcW w:w="3418" w:type="dxa"/>
          </w:tcPr>
          <w:p w14:paraId="255AFFF1" w14:textId="30E7AC2F"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Schnellere und einheitlichere Entscheidungsvorbereitung.</w:t>
            </w:r>
          </w:p>
        </w:tc>
      </w:tr>
      <w:tr w:rsidR="00A4494E" w:rsidRPr="00325CBE" w14:paraId="18148A21"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092" w:type="dxa"/>
          </w:tcPr>
          <w:p w14:paraId="043380C8" w14:textId="77777777" w:rsidR="00A4494E" w:rsidRPr="00325CBE" w:rsidRDefault="00A038EC">
            <w:pPr>
              <w:pStyle w:val="Textkrper"/>
              <w:spacing w:before="120" w:after="120"/>
              <w:rPr>
                <w:lang w:val="de-DE"/>
              </w:rPr>
            </w:pPr>
            <w:r w:rsidRPr="00325CBE">
              <w:rPr>
                <w:rFonts w:eastAsia="Cambria"/>
                <w:lang w:val="de-DE"/>
              </w:rPr>
              <w:t>Leitfaden für Freigaben</w:t>
            </w:r>
          </w:p>
        </w:tc>
        <w:tc>
          <w:tcPr>
            <w:tcW w:w="4110" w:type="dxa"/>
          </w:tcPr>
          <w:p w14:paraId="46E01E0C" w14:textId="42C5621D" w:rsidR="00A4494E" w:rsidRPr="00325CBE" w:rsidRDefault="00A038EC">
            <w:pPr>
              <w:pStyle w:val="Textkrper"/>
              <w:spacing w:before="120" w:after="12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Erklärt Zweck der Freigabe, Mindestgrundlagen und typische Entscheidungs-IDs.</w:t>
            </w:r>
          </w:p>
        </w:tc>
        <w:tc>
          <w:tcPr>
            <w:tcW w:w="3418" w:type="dxa"/>
          </w:tcPr>
          <w:p w14:paraId="1EED7E57" w14:textId="2951C09D" w:rsidR="00A4494E" w:rsidRPr="00325CBE" w:rsidRDefault="00A038EC">
            <w:pPr>
              <w:pStyle w:val="Textkrper"/>
              <w:spacing w:before="120" w:after="12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Klare Freigabereife ohne zusätzliche Abstimmungsschleifen.</w:t>
            </w:r>
          </w:p>
        </w:tc>
      </w:tr>
      <w:tr w:rsidR="00A4494E" w:rsidRPr="00325CBE" w14:paraId="5DFFDA87"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2" w:type="dxa"/>
          </w:tcPr>
          <w:p w14:paraId="6703C224" w14:textId="77777777" w:rsidR="00A4494E" w:rsidRPr="00325CBE" w:rsidRDefault="00A038EC">
            <w:pPr>
              <w:pStyle w:val="Textkrper"/>
              <w:spacing w:before="120" w:after="120"/>
              <w:rPr>
                <w:lang w:val="de-DE"/>
              </w:rPr>
            </w:pPr>
            <w:r w:rsidRPr="00325CBE">
              <w:rPr>
                <w:rFonts w:eastAsia="Cambria"/>
                <w:lang w:val="de-DE"/>
              </w:rPr>
              <w:lastRenderedPageBreak/>
              <w:t>Verantwortungs­zuordnung</w:t>
            </w:r>
          </w:p>
        </w:tc>
        <w:tc>
          <w:tcPr>
            <w:tcW w:w="4110" w:type="dxa"/>
          </w:tcPr>
          <w:p w14:paraId="163BDB16" w14:textId="405704DA"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Verknüpft Verantwortungsfeld, Rolle, Schwelle und Eskalation.</w:t>
            </w:r>
          </w:p>
        </w:tc>
        <w:tc>
          <w:tcPr>
            <w:tcW w:w="3418" w:type="dxa"/>
          </w:tcPr>
          <w:p w14:paraId="1150A613" w14:textId="6561F36A"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Mehr Transparenz über Vorbereitung, Entscheidung und Freigabe.</w:t>
            </w:r>
          </w:p>
        </w:tc>
      </w:tr>
      <w:tr w:rsidR="00A4494E" w:rsidRPr="00325CBE" w14:paraId="70F44DA0"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092" w:type="dxa"/>
          </w:tcPr>
          <w:p w14:paraId="3B6F4CA7" w14:textId="77777777" w:rsidR="00A4494E" w:rsidRPr="00325CBE" w:rsidRDefault="00A038EC">
            <w:pPr>
              <w:pStyle w:val="Textkrper"/>
              <w:spacing w:before="120" w:after="120"/>
              <w:rPr>
                <w:lang w:val="de-DE"/>
              </w:rPr>
            </w:pPr>
            <w:r w:rsidRPr="00325CBE">
              <w:rPr>
                <w:rFonts w:eastAsia="Cambria"/>
                <w:lang w:val="de-DE"/>
              </w:rPr>
              <w:t>Daten- und Nachweisabfrage</w:t>
            </w:r>
          </w:p>
        </w:tc>
        <w:tc>
          <w:tcPr>
            <w:tcW w:w="4110" w:type="dxa"/>
          </w:tcPr>
          <w:p w14:paraId="37DC73D1" w14:textId="79C409A3" w:rsidR="00A4494E" w:rsidRPr="00325CBE" w:rsidRDefault="00A038EC">
            <w:pPr>
              <w:pStyle w:val="Textkrper"/>
              <w:spacing w:before="120" w:after="12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Fragt Datenstand, Annahmen, Versionen und Nachweise ab.</w:t>
            </w:r>
          </w:p>
        </w:tc>
        <w:tc>
          <w:tcPr>
            <w:tcW w:w="3418" w:type="dxa"/>
          </w:tcPr>
          <w:p w14:paraId="1F53E7E7" w14:textId="70B2B423" w:rsidR="00A4494E" w:rsidRPr="00325CBE" w:rsidRDefault="00A038EC">
            <w:pPr>
              <w:pStyle w:val="Textkrper"/>
              <w:spacing w:before="120" w:after="12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Bessere Nachvollziehbarkeit und eine belastbare Nachweiskette.</w:t>
            </w:r>
          </w:p>
        </w:tc>
      </w:tr>
      <w:tr w:rsidR="00A4494E" w:rsidRPr="00325CBE" w14:paraId="47A7BF2C"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2" w:type="dxa"/>
          </w:tcPr>
          <w:p w14:paraId="6752E29E" w14:textId="77777777" w:rsidR="00A4494E" w:rsidRPr="00325CBE" w:rsidRDefault="00A038EC">
            <w:pPr>
              <w:pStyle w:val="Textkrper"/>
              <w:spacing w:before="120" w:after="120"/>
              <w:rPr>
                <w:lang w:val="de-DE"/>
              </w:rPr>
            </w:pPr>
            <w:r w:rsidRPr="00325CBE">
              <w:rPr>
                <w:rFonts w:eastAsia="Cambria"/>
                <w:lang w:val="de-DE"/>
              </w:rPr>
              <w:t>Betriebshandbuch-Assistent</w:t>
            </w:r>
          </w:p>
        </w:tc>
        <w:tc>
          <w:tcPr>
            <w:tcW w:w="4110" w:type="dxa"/>
          </w:tcPr>
          <w:p w14:paraId="71CCAC06" w14:textId="12B5A1B9"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Überführt Routinen, Taktung, verantwortliche Rollen und Prüfungen in die Anwendung.</w:t>
            </w:r>
          </w:p>
        </w:tc>
        <w:tc>
          <w:tcPr>
            <w:tcW w:w="3418" w:type="dxa"/>
          </w:tcPr>
          <w:p w14:paraId="53F06035" w14:textId="5D09E530"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Stabilerer Regelbetrieb nach Übergabe.</w:t>
            </w:r>
          </w:p>
        </w:tc>
      </w:tr>
      <w:tr w:rsidR="00A4494E" w:rsidRPr="00325CBE" w14:paraId="356F1C2F"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092" w:type="dxa"/>
          </w:tcPr>
          <w:p w14:paraId="095DE6BC" w14:textId="77777777" w:rsidR="00A4494E" w:rsidRPr="00325CBE" w:rsidRDefault="00A038EC">
            <w:pPr>
              <w:pStyle w:val="Textkrper"/>
              <w:spacing w:before="120" w:after="120"/>
              <w:rPr>
                <w:lang w:val="de-DE"/>
              </w:rPr>
            </w:pPr>
            <w:r w:rsidRPr="00325CBE">
              <w:rPr>
                <w:rFonts w:eastAsia="Cambria"/>
                <w:lang w:val="de-DE"/>
              </w:rPr>
              <w:t>Rolleneinführung</w:t>
            </w:r>
          </w:p>
        </w:tc>
        <w:tc>
          <w:tcPr>
            <w:tcW w:w="4110" w:type="dxa"/>
          </w:tcPr>
          <w:p w14:paraId="7269756A" w14:textId="5FAA3801" w:rsidR="00A4494E" w:rsidRPr="00325CBE" w:rsidRDefault="00A038EC">
            <w:pPr>
              <w:pStyle w:val="Textkrper"/>
              <w:spacing w:before="120" w:after="12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Unterstützt Schulungen und Rollenübergaben.</w:t>
            </w:r>
          </w:p>
        </w:tc>
        <w:tc>
          <w:tcPr>
            <w:tcW w:w="3418" w:type="dxa"/>
          </w:tcPr>
          <w:p w14:paraId="52CA4969" w14:textId="203368D7" w:rsidR="00A4494E" w:rsidRPr="00325CBE" w:rsidRDefault="00A038EC">
            <w:pPr>
              <w:pStyle w:val="Textkrper"/>
              <w:spacing w:before="120" w:after="12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Schnellere Befähigung neuer oder wechselnder Rollen.</w:t>
            </w:r>
          </w:p>
        </w:tc>
      </w:tr>
      <w:tr w:rsidR="00A4494E" w:rsidRPr="00325CBE" w14:paraId="5B724756"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2" w:type="dxa"/>
          </w:tcPr>
          <w:p w14:paraId="02990527" w14:textId="77777777" w:rsidR="00A4494E" w:rsidRPr="00325CBE" w:rsidRDefault="00A038EC">
            <w:pPr>
              <w:pStyle w:val="Textkrper"/>
              <w:spacing w:before="120" w:after="120"/>
              <w:rPr>
                <w:lang w:val="de-DE"/>
              </w:rPr>
            </w:pPr>
            <w:r w:rsidRPr="00325CBE">
              <w:rPr>
                <w:rFonts w:eastAsia="Cambria"/>
                <w:lang w:val="de-DE"/>
              </w:rPr>
              <w:t>MVG-Übergabeassistent</w:t>
            </w:r>
          </w:p>
        </w:tc>
        <w:tc>
          <w:tcPr>
            <w:tcW w:w="4110" w:type="dxa"/>
          </w:tcPr>
          <w:p w14:paraId="436766FC" w14:textId="6F49B7D9"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Führt offene Punkte, Betriebslogik und Prüfzyklen zusammen.</w:t>
            </w:r>
          </w:p>
        </w:tc>
        <w:tc>
          <w:tcPr>
            <w:tcW w:w="3418" w:type="dxa"/>
          </w:tcPr>
          <w:p w14:paraId="70E6A5C4" w14:textId="7A1F056D"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Strukturierter Übergang aus Beratungsmandat in Eigenbetrieb.</w:t>
            </w:r>
          </w:p>
        </w:tc>
      </w:tr>
    </w:tbl>
    <w:p w14:paraId="4A27A740" w14:textId="77777777" w:rsidR="00A4494E" w:rsidRPr="00325CBE" w:rsidRDefault="00A038EC">
      <w:pPr>
        <w:pStyle w:val="berschrift2"/>
        <w:rPr>
          <w:kern w:val="2"/>
        </w:rPr>
      </w:pPr>
      <w:bookmarkStart w:id="91" w:name="_Toc234746080"/>
      <w:bookmarkStart w:id="92" w:name="_Toc239764929"/>
      <w:r w:rsidRPr="00325CBE">
        <w:t>Befähigung mit Unterstützung des MVG Companion</w:t>
      </w:r>
      <w:bookmarkEnd w:id="91"/>
      <w:bookmarkEnd w:id="92"/>
    </w:p>
    <w:p w14:paraId="6E482980" w14:textId="132021B5" w:rsidR="00A4494E" w:rsidRPr="00325CBE" w:rsidRDefault="00A038EC">
      <w:pPr>
        <w:pStyle w:val="Textkrper"/>
        <w:rPr>
          <w:lang w:val="de-DE"/>
        </w:rPr>
      </w:pPr>
      <w:r w:rsidRPr="00325CBE">
        <w:rPr>
          <w:lang w:val="de-DE"/>
        </w:rPr>
        <w:t>Mit dem Companion wird Befähigung von der einmaligen Schulung zur wiederholbaren Anwendungskette: Schulung, Pilotierung, Übergabe und Regelbetrieb greifen auf dieselbe Logik zurück. Rollen lernen nicht nur Begriffe, sondern wenden Entscheidungs-IDs, Freigabefragen, Mandatslogik, Datenstandsprüfung und Routinen des Betriebshandbuchs in konkreten Entscheidungssituationen an.</w:t>
      </w:r>
    </w:p>
    <w:tbl>
      <w:tblPr>
        <w:tblStyle w:val="Gitternetztabelle4Akzent1"/>
        <w:tblW w:w="9620" w:type="dxa"/>
        <w:tblLayout w:type="fixed"/>
        <w:tblLook w:val="04A0" w:firstRow="1" w:lastRow="0" w:firstColumn="1" w:lastColumn="0" w:noHBand="0" w:noVBand="1"/>
      </w:tblPr>
      <w:tblGrid>
        <w:gridCol w:w="3185"/>
        <w:gridCol w:w="3190"/>
        <w:gridCol w:w="3245"/>
      </w:tblGrid>
      <w:tr w:rsidR="00A4494E" w:rsidRPr="00325CBE" w14:paraId="739D7F6A"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85" w:type="dxa"/>
            <w:tcBorders>
              <w:top w:val="single" w:sz="4" w:space="0" w:color="4F81BD"/>
              <w:left w:val="single" w:sz="4" w:space="0" w:color="4F81BD"/>
              <w:bottom w:val="single" w:sz="4" w:space="0" w:color="4F81BD"/>
              <w:right w:val="single" w:sz="4" w:space="0" w:color="4F81BD"/>
            </w:tcBorders>
          </w:tcPr>
          <w:p w14:paraId="616CF8E0" w14:textId="77777777" w:rsidR="00A4494E" w:rsidRPr="00325CBE" w:rsidRDefault="00A038EC">
            <w:pPr>
              <w:pStyle w:val="Textkrper"/>
              <w:spacing w:before="120" w:after="120"/>
              <w:rPr>
                <w:lang w:val="de-DE"/>
              </w:rPr>
            </w:pPr>
            <w:r w:rsidRPr="00325CBE">
              <w:rPr>
                <w:rFonts w:eastAsia="Cambria"/>
                <w:lang w:val="de-DE"/>
              </w:rPr>
              <w:t>Befähigungsschritt</w:t>
            </w:r>
          </w:p>
        </w:tc>
        <w:tc>
          <w:tcPr>
            <w:tcW w:w="3190" w:type="dxa"/>
            <w:tcBorders>
              <w:top w:val="single" w:sz="4" w:space="0" w:color="4F81BD"/>
              <w:left w:val="single" w:sz="4" w:space="0" w:color="4F81BD"/>
              <w:bottom w:val="single" w:sz="4" w:space="0" w:color="4F81BD"/>
              <w:right w:val="single" w:sz="4" w:space="0" w:color="4F81BD"/>
            </w:tcBorders>
          </w:tcPr>
          <w:p w14:paraId="2C94A070" w14:textId="77777777" w:rsidR="00A4494E" w:rsidRPr="00325CBE" w:rsidRDefault="00A038EC">
            <w:pPr>
              <w:pStyle w:val="Textkrper"/>
              <w:spacing w:before="120" w:after="12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Companion-Beitrag</w:t>
            </w:r>
          </w:p>
        </w:tc>
        <w:tc>
          <w:tcPr>
            <w:tcW w:w="3245" w:type="dxa"/>
            <w:tcBorders>
              <w:top w:val="single" w:sz="4" w:space="0" w:color="4F81BD"/>
              <w:left w:val="single" w:sz="4" w:space="0" w:color="4F81BD"/>
              <w:bottom w:val="single" w:sz="4" w:space="0" w:color="4F81BD"/>
              <w:right w:val="single" w:sz="4" w:space="0" w:color="4F81BD"/>
            </w:tcBorders>
          </w:tcPr>
          <w:p w14:paraId="5CDBB437" w14:textId="77777777" w:rsidR="00A4494E" w:rsidRPr="00325CBE" w:rsidRDefault="00A038EC">
            <w:pPr>
              <w:pStyle w:val="Textkrper"/>
              <w:spacing w:before="120" w:after="12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Ergebnis</w:t>
            </w:r>
          </w:p>
        </w:tc>
      </w:tr>
      <w:tr w:rsidR="00A4494E" w:rsidRPr="00325CBE" w14:paraId="0EAFF883"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85" w:type="dxa"/>
          </w:tcPr>
          <w:p w14:paraId="7C2DF2C0" w14:textId="77777777" w:rsidR="00A4494E" w:rsidRPr="00325CBE" w:rsidRDefault="00A038EC">
            <w:pPr>
              <w:pStyle w:val="Textkrper"/>
              <w:spacing w:before="120" w:after="120"/>
              <w:rPr>
                <w:lang w:val="de-DE"/>
              </w:rPr>
            </w:pPr>
            <w:r w:rsidRPr="00325CBE">
              <w:rPr>
                <w:rFonts w:eastAsia="Cambria"/>
                <w:lang w:val="de-DE"/>
              </w:rPr>
              <w:t>Schulung</w:t>
            </w:r>
          </w:p>
        </w:tc>
        <w:tc>
          <w:tcPr>
            <w:tcW w:w="3190" w:type="dxa"/>
          </w:tcPr>
          <w:p w14:paraId="09C6A9A9" w14:textId="77777777"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Rollenführung, Beispiele und Anwendungspfade.</w:t>
            </w:r>
          </w:p>
        </w:tc>
        <w:tc>
          <w:tcPr>
            <w:tcW w:w="3245" w:type="dxa"/>
          </w:tcPr>
          <w:p w14:paraId="25678041" w14:textId="52B9E103"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Gemeinsames Verständnis der MVG-Logik.</w:t>
            </w:r>
          </w:p>
        </w:tc>
      </w:tr>
      <w:tr w:rsidR="00A4494E" w:rsidRPr="00325CBE" w14:paraId="4E8BAD01"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185" w:type="dxa"/>
          </w:tcPr>
          <w:p w14:paraId="0FDD643A" w14:textId="77777777" w:rsidR="00A4494E" w:rsidRPr="00325CBE" w:rsidRDefault="00A038EC">
            <w:pPr>
              <w:pStyle w:val="Textkrper"/>
              <w:spacing w:before="120" w:after="120"/>
              <w:rPr>
                <w:lang w:val="de-DE"/>
              </w:rPr>
            </w:pPr>
            <w:r w:rsidRPr="00325CBE">
              <w:rPr>
                <w:rFonts w:eastAsia="Cambria"/>
                <w:lang w:val="de-DE"/>
              </w:rPr>
              <w:t>Pilotierung</w:t>
            </w:r>
          </w:p>
        </w:tc>
        <w:tc>
          <w:tcPr>
            <w:tcW w:w="3190" w:type="dxa"/>
          </w:tcPr>
          <w:p w14:paraId="3B5AC61C" w14:textId="77777777" w:rsidR="00A4494E" w:rsidRPr="00325CBE" w:rsidRDefault="00A038EC">
            <w:pPr>
              <w:pStyle w:val="Textkrper"/>
              <w:spacing w:before="120" w:after="12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Begleitung realer Entscheidungen und Freigabevorbereitung.</w:t>
            </w:r>
          </w:p>
        </w:tc>
        <w:tc>
          <w:tcPr>
            <w:tcW w:w="3245" w:type="dxa"/>
          </w:tcPr>
          <w:p w14:paraId="246EED20" w14:textId="3FFA1C23" w:rsidR="00A4494E" w:rsidRPr="00325CBE" w:rsidRDefault="00A038EC">
            <w:pPr>
              <w:pStyle w:val="Textkrper"/>
              <w:spacing w:before="120" w:after="12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Kalibrierte Schwellen und praxistaugliche Routinen.</w:t>
            </w:r>
          </w:p>
        </w:tc>
      </w:tr>
      <w:tr w:rsidR="00A4494E" w:rsidRPr="00325CBE" w14:paraId="2408A9E0"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85" w:type="dxa"/>
          </w:tcPr>
          <w:p w14:paraId="5F78EB09" w14:textId="77777777" w:rsidR="00A4494E" w:rsidRPr="00325CBE" w:rsidRDefault="00A038EC">
            <w:pPr>
              <w:pStyle w:val="Textkrper"/>
              <w:spacing w:before="120" w:after="120"/>
              <w:rPr>
                <w:lang w:val="de-DE"/>
              </w:rPr>
            </w:pPr>
            <w:r w:rsidRPr="00325CBE">
              <w:rPr>
                <w:rFonts w:eastAsia="Cambria"/>
                <w:lang w:val="de-DE"/>
              </w:rPr>
              <w:t>Übergabe</w:t>
            </w:r>
          </w:p>
        </w:tc>
        <w:tc>
          <w:tcPr>
            <w:tcW w:w="3190" w:type="dxa"/>
          </w:tcPr>
          <w:p w14:paraId="3CDD92C9" w14:textId="77777777"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Betriebshandbuch-Assistent, offene Punkte, Prüfrhythmus.</w:t>
            </w:r>
          </w:p>
        </w:tc>
        <w:tc>
          <w:tcPr>
            <w:tcW w:w="3245" w:type="dxa"/>
          </w:tcPr>
          <w:p w14:paraId="1B54ECAF" w14:textId="791641B4" w:rsidR="00A4494E" w:rsidRPr="00325CBE" w:rsidRDefault="00A038EC">
            <w:pPr>
              <w:pStyle w:val="Textkrper"/>
              <w:spacing w:before="120" w:after="12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Geordnete Übergabe in die Bauherrenorganisation.</w:t>
            </w:r>
          </w:p>
        </w:tc>
      </w:tr>
      <w:tr w:rsidR="00A4494E" w:rsidRPr="00325CBE" w14:paraId="3073CE5F"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185" w:type="dxa"/>
          </w:tcPr>
          <w:p w14:paraId="7B69C7F8" w14:textId="77777777" w:rsidR="00A4494E" w:rsidRPr="00325CBE" w:rsidRDefault="00A038EC">
            <w:pPr>
              <w:pStyle w:val="Textkrper"/>
              <w:spacing w:before="120" w:after="120"/>
              <w:rPr>
                <w:lang w:val="de-DE"/>
              </w:rPr>
            </w:pPr>
            <w:r w:rsidRPr="00325CBE">
              <w:rPr>
                <w:rFonts w:eastAsia="Cambria"/>
                <w:lang w:val="de-DE"/>
              </w:rPr>
              <w:t>Regelbetrieb</w:t>
            </w:r>
          </w:p>
        </w:tc>
        <w:tc>
          <w:tcPr>
            <w:tcW w:w="3190" w:type="dxa"/>
          </w:tcPr>
          <w:p w14:paraId="24296DE1" w14:textId="65E3922C" w:rsidR="00A4494E" w:rsidRPr="00325CBE" w:rsidRDefault="00A038EC">
            <w:pPr>
              <w:pStyle w:val="Textkrper"/>
              <w:spacing w:before="120" w:after="12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Wiederkehrende Anwendungshilfe für Entscheidungen, Freigaben und Prüfungen.</w:t>
            </w:r>
          </w:p>
        </w:tc>
        <w:tc>
          <w:tcPr>
            <w:tcW w:w="3245" w:type="dxa"/>
          </w:tcPr>
          <w:p w14:paraId="64692315" w14:textId="666B7E85" w:rsidR="00A4494E" w:rsidRPr="00325CBE" w:rsidRDefault="00A038EC">
            <w:pPr>
              <w:pStyle w:val="Textkrper"/>
              <w:spacing w:before="120" w:after="12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Dauerhaft verfügbare Anwendungslogik.</w:t>
            </w:r>
          </w:p>
        </w:tc>
      </w:tr>
    </w:tbl>
    <w:p w14:paraId="65C0E202" w14:textId="77777777" w:rsidR="00A4494E" w:rsidRPr="00325CBE" w:rsidRDefault="00A038EC">
      <w:pPr>
        <w:pStyle w:val="berschrift2"/>
        <w:rPr>
          <w:kern w:val="2"/>
        </w:rPr>
      </w:pPr>
      <w:bookmarkStart w:id="93" w:name="_Toc234746081"/>
      <w:bookmarkStart w:id="94" w:name="_Toc239764930"/>
      <w:r w:rsidRPr="00325CBE">
        <w:lastRenderedPageBreak/>
        <w:t>Rahmenbedingungen und Datenstand</w:t>
      </w:r>
      <w:bookmarkEnd w:id="93"/>
      <w:bookmarkEnd w:id="94"/>
    </w:p>
    <w:tbl>
      <w:tblPr>
        <w:tblW w:w="9747" w:type="dxa"/>
        <w:jc w:val="center"/>
        <w:tblLayout w:type="fixed"/>
        <w:tblLook w:val="04A0" w:firstRow="1" w:lastRow="0" w:firstColumn="1" w:lastColumn="0" w:noHBand="0" w:noVBand="1"/>
      </w:tblPr>
      <w:tblGrid>
        <w:gridCol w:w="9747"/>
      </w:tblGrid>
      <w:tr w:rsidR="00A4494E" w:rsidRPr="00325CBE" w14:paraId="4AA2ED60" w14:textId="77777777" w:rsidTr="00325CBE">
        <w:trPr>
          <w:cantSplit/>
          <w:jc w:val="center"/>
        </w:trPr>
        <w:tc>
          <w:tcPr>
            <w:tcW w:w="9747" w:type="dxa"/>
            <w:tcBorders>
              <w:top w:val="single" w:sz="6" w:space="0" w:color="B8C7D3"/>
              <w:left w:val="single" w:sz="6" w:space="0" w:color="B8C7D3"/>
              <w:bottom w:val="single" w:sz="6" w:space="0" w:color="B8C7D3"/>
              <w:right w:val="single" w:sz="6" w:space="0" w:color="B8C7D3"/>
            </w:tcBorders>
            <w:shd w:val="clear" w:color="auto" w:fill="FFF4E5"/>
          </w:tcPr>
          <w:p w14:paraId="33AB5C37" w14:textId="77777777" w:rsidR="00A4494E" w:rsidRPr="00325CBE" w:rsidRDefault="00A038EC">
            <w:pPr>
              <w:pStyle w:val="Textkrper"/>
              <w:rPr>
                <w:lang w:val="de-DE"/>
              </w:rPr>
            </w:pPr>
            <w:r w:rsidRPr="00325CBE">
              <w:rPr>
                <w:lang w:val="de-DE"/>
              </w:rPr>
              <w:t>Rahmenbedingungen</w:t>
            </w:r>
          </w:p>
          <w:p w14:paraId="4FFD7CA0" w14:textId="77777777" w:rsidR="00A4494E" w:rsidRPr="00325CBE" w:rsidRDefault="00A038EC">
            <w:pPr>
              <w:pStyle w:val="Textkrper"/>
              <w:rPr>
                <w:lang w:val="de-DE"/>
              </w:rPr>
            </w:pPr>
            <w:r w:rsidRPr="00325CBE">
              <w:rPr>
                <w:lang w:val="de-DE"/>
              </w:rPr>
              <w:t>Der MVG Companion ersetzt keine Bauherrenentscheidung, keine Gremienfreigabe, keine Rechtsberatung, keine Fachplanung und keine Projektsteuerung. Seine Funktion liegt in Strukturierung, Orientierung, Anwendungshilfe und Befähigung. Verbindlich bleiben freigegebene Datenstände, definierte Rollenrechte, Datenschutzanforderungen und die bauherrenseitige Legitimation der Entscheidung.</w:t>
            </w:r>
          </w:p>
        </w:tc>
      </w:tr>
    </w:tbl>
    <w:p w14:paraId="67796140" w14:textId="77777777" w:rsidR="00A4494E" w:rsidRPr="00325CBE" w:rsidRDefault="00A038EC">
      <w:pPr>
        <w:pStyle w:val="Textkrper"/>
        <w:rPr>
          <w:kern w:val="2"/>
          <w:lang w:val="de-DE"/>
        </w:rPr>
      </w:pPr>
      <w:r w:rsidRPr="00325CBE">
        <w:rPr>
          <w:lang w:val="de-DE"/>
        </w:rPr>
        <w:t>Der MVG Companion ist ein lokal lauffähiges, browserbasiertes Governance-Arbeitsbuch. Er dient als optionales Arbeitsmittel, um MVG-Logik für Entscheidungen, Freigaben, Nachweise, Schulung und Übergabe anwendungsnah verfügbar zu machen. Der Companion führt keine Entscheidung herbei und ersetzt keine verbindlichen Systeme, Rollenrechte oder Freigaben des Bauherrn.</w:t>
      </w:r>
    </w:p>
    <w:p w14:paraId="3694CB3D" w14:textId="77777777" w:rsidR="00A4494E" w:rsidRPr="00325CBE" w:rsidRDefault="00A038EC">
      <w:pPr>
        <w:pStyle w:val="Textkrper"/>
        <w:rPr>
          <w:kern w:val="2"/>
          <w:lang w:val="de-DE"/>
        </w:rPr>
      </w:pPr>
      <w:r w:rsidRPr="00325CBE">
        <w:rPr>
          <w:lang w:val="de-DE"/>
        </w:rPr>
        <w:t>Praktisch kann der MVG Companion vorhandene Strukturen einer zentralen Datenquelle abbilden oder referenzieren, etwa über eine projektübergreifende Sicht, eine Projekt-Steuerungsübersicht, Entscheidungsvorlagen, Risiko-, Frühwarnungs-, Änderungs- und Maßnahmenregister, das Freigaberegister, RACI und Mandate, den Governance-Kalender, Managementberichte sowie Übergabe und Betriebshandbuch. Führend bleiben die vom Bauherrn freigegebenen Datenquellen und Dokumentenstände.</w:t>
      </w:r>
    </w:p>
    <w:p w14:paraId="0545A7B9" w14:textId="77777777" w:rsidR="00A4494E" w:rsidRPr="00325CBE" w:rsidRDefault="00A038EC">
      <w:pPr>
        <w:pStyle w:val="Textkrper"/>
        <w:rPr>
          <w:kern w:val="2"/>
          <w:lang w:val="de-DE"/>
        </w:rPr>
      </w:pPr>
      <w:r w:rsidRPr="00325CBE">
        <w:rPr>
          <w:lang w:val="de-DE"/>
        </w:rPr>
        <w:t xml:space="preserve">Der MVG Companion ist ein optionales Arbeitsmittel und für Beratungskunden kostenfrei; es fällt kein separates Lizenzentgelt an, und es bestehen unbegrenzte Nutzungsrechte auch nach Mandatsende. Abgrenzung: keine Einführung von Drittsoftware und keine Bereitstellung von Software als Dienst (SaaS); die Bereitstellung des MVG </w:t>
      </w:r>
      <w:proofErr w:type="spellStart"/>
      <w:r w:rsidRPr="00325CBE">
        <w:rPr>
          <w:lang w:val="de-DE"/>
        </w:rPr>
        <w:t>Companions</w:t>
      </w:r>
      <w:proofErr w:type="spellEnd"/>
      <w:r w:rsidRPr="00325CBE">
        <w:rPr>
          <w:lang w:val="de-DE"/>
        </w:rPr>
        <w:t xml:space="preserve"> ist ein methodisches Arbeitsmittel innerhalb der Beratung. Das Bauherren-Führungsmodell funktioniert unabhängig davon mit vorhandenen Büro- und Projektwerkzeugen.</w:t>
      </w:r>
    </w:p>
    <w:p w14:paraId="5C401F66" w14:textId="77777777" w:rsidR="00A4494E" w:rsidRPr="00325CBE" w:rsidRDefault="00A038EC">
      <w:pPr>
        <w:pStyle w:val="Textkrper"/>
        <w:rPr>
          <w:lang w:val="de-DE"/>
        </w:rPr>
      </w:pPr>
      <w:r w:rsidRPr="00325CBE">
        <w:rPr>
          <w:lang w:val="de-DE"/>
        </w:rPr>
        <w:t>Für den Companion gilt eine klare Datenstandslogik: Er arbeitet mit benannten, versionierten und zugriffsberechtigten Informationen. Ergebnisse sind Entscheidungsunterstützung und werden vor Verwendung in Freigaben oder Gremien durch die zuständigen Rollen geprüft.</w:t>
      </w:r>
    </w:p>
    <w:p w14:paraId="230178ED" w14:textId="77777777" w:rsidR="00A4494E" w:rsidRPr="00325CBE" w:rsidRDefault="00A038EC">
      <w:pPr>
        <w:pStyle w:val="Textkrper"/>
        <w:rPr>
          <w:lang w:val="de-DE"/>
        </w:rPr>
      </w:pPr>
      <w:r w:rsidRPr="00325CBE">
        <w:rPr>
          <w:lang w:val="de-DE"/>
        </w:rPr>
        <w:br w:type="column"/>
      </w:r>
    </w:p>
    <w:p w14:paraId="0A88F305" w14:textId="77777777" w:rsidR="00A4494E" w:rsidRPr="00325CBE" w:rsidRDefault="00A038EC">
      <w:pPr>
        <w:pStyle w:val="berschrift2"/>
      </w:pPr>
      <w:bookmarkStart w:id="95" w:name="_Toc234746082"/>
      <w:bookmarkStart w:id="96" w:name="_Toc239764931"/>
      <w:r w:rsidRPr="00325CBE">
        <w:t>Zusammenarbeit im MVG Companion</w:t>
      </w:r>
      <w:bookmarkEnd w:id="95"/>
      <w:bookmarkEnd w:id="96"/>
    </w:p>
    <w:p w14:paraId="05660FE8" w14:textId="73D28F03" w:rsidR="00C649E2" w:rsidRPr="00325CBE" w:rsidRDefault="00C649E2" w:rsidP="00C649E2">
      <w:pPr>
        <w:pStyle w:val="Textkrper"/>
        <w:rPr>
          <w:lang w:val="de-DE"/>
        </w:rPr>
      </w:pPr>
      <w:r w:rsidRPr="00325CBE">
        <w:rPr>
          <w:noProof/>
          <w:lang w:val="de-DE"/>
        </w:rPr>
        <w:drawing>
          <wp:inline distT="0" distB="0" distL="0" distR="0" wp14:anchorId="2C093CEF" wp14:editId="36A97108">
            <wp:extent cx="5971540" cy="3333115"/>
            <wp:effectExtent l="0" t="0" r="0" b="0"/>
            <wp:docPr id="161685474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3333115"/>
                    </a:xfrm>
                    <a:prstGeom prst="rect">
                      <a:avLst/>
                    </a:prstGeom>
                    <a:noFill/>
                    <a:ln>
                      <a:noFill/>
                    </a:ln>
                  </pic:spPr>
                </pic:pic>
              </a:graphicData>
            </a:graphic>
          </wp:inline>
        </w:drawing>
      </w:r>
    </w:p>
    <w:p w14:paraId="42DFAEE7" w14:textId="77777777" w:rsidR="00A4494E" w:rsidRPr="00325CBE" w:rsidRDefault="00A038EC">
      <w:pPr>
        <w:pStyle w:val="Textkrper"/>
        <w:rPr>
          <w:lang w:val="de-DE"/>
        </w:rPr>
      </w:pPr>
      <w:r w:rsidRPr="00325CBE">
        <w:rPr>
          <w:lang w:val="de-DE"/>
        </w:rPr>
        <w:t>Governance wirkt nur, wenn Register, Rollen und Taktung eindeutig zusammenarbeiten. Diese kompakte Ansicht beschreibt, wer welches Register pflegt, wie Themen durch den Governance-Fluss laufen und wann Eskalation oder Entscheidung erforderlich wird. Der Zweck ist nicht zusätzliche Bürokratie, sondern ein gemeinsamer Arbeitsstandard für verantwortliche Rollen, Projektleitung, PMO, Controlling und Lenkungskreis.</w:t>
      </w:r>
    </w:p>
    <w:p w14:paraId="7F2D5160" w14:textId="77777777" w:rsidR="00A4494E" w:rsidRPr="00325CBE" w:rsidRDefault="00A038EC">
      <w:pPr>
        <w:pStyle w:val="berschrift3"/>
        <w:rPr>
          <w:lang w:val="de-DE"/>
        </w:rPr>
      </w:pPr>
      <w:r w:rsidRPr="00325CBE">
        <w:rPr>
          <w:lang w:val="de-DE"/>
        </w:rPr>
        <w:t xml:space="preserve"> </w:t>
      </w:r>
      <w:bookmarkStart w:id="97" w:name="_Toc239764932"/>
      <w:r w:rsidRPr="00325CBE">
        <w:rPr>
          <w:lang w:val="de-DE"/>
        </w:rPr>
        <w:t>Grundlogik der Zusammenarbeit</w:t>
      </w:r>
      <w:bookmarkEnd w:id="97"/>
    </w:p>
    <w:p w14:paraId="0897D840" w14:textId="77777777" w:rsidR="00A4494E" w:rsidRPr="00325CBE" w:rsidRDefault="00A038EC">
      <w:pPr>
        <w:pStyle w:val="Textkrper"/>
        <w:rPr>
          <w:lang w:val="de-DE"/>
        </w:rPr>
      </w:pPr>
      <w:r w:rsidRPr="00325CBE">
        <w:rPr>
          <w:lang w:val="de-DE"/>
        </w:rPr>
        <w:t>Jedes Register hat eine verantwortliche Rolle, einen Pflegezyklus und einen definierten nächsten Schritt.</w:t>
      </w:r>
    </w:p>
    <w:p w14:paraId="444FB2D7" w14:textId="77777777" w:rsidR="00A4494E" w:rsidRPr="00325CBE" w:rsidRDefault="00A038EC">
      <w:pPr>
        <w:pStyle w:val="Textkrper"/>
        <w:rPr>
          <w:lang w:val="de-DE"/>
        </w:rPr>
      </w:pPr>
      <w:r w:rsidRPr="00325CBE">
        <w:rPr>
          <w:lang w:val="de-DE"/>
        </w:rPr>
        <w:t>Die RACI-Logik klärt je Prozess: ausführungsverantwortlich, letztverantwortlich, konsultiert und informiert.</w:t>
      </w:r>
    </w:p>
    <w:p w14:paraId="408CC6A9" w14:textId="77777777" w:rsidR="00A4494E" w:rsidRPr="00325CBE" w:rsidRDefault="00A038EC">
      <w:pPr>
        <w:pStyle w:val="Textkrper"/>
        <w:rPr>
          <w:lang w:val="de-DE"/>
        </w:rPr>
      </w:pPr>
      <w:r w:rsidRPr="00325CBE">
        <w:rPr>
          <w:lang w:val="de-DE"/>
        </w:rPr>
        <w:t>Entscheidungsbedürftige Themen werden nicht nur berichtet, sondern über das Entscheidungsregister und eine Entscheidungsvorlage entscheidungsreif gemacht.</w:t>
      </w:r>
    </w:p>
    <w:p w14:paraId="73AE1217" w14:textId="44E19AAB" w:rsidR="00A4494E" w:rsidRPr="00325CBE" w:rsidRDefault="00A038EC">
      <w:pPr>
        <w:pStyle w:val="Textkrper"/>
        <w:rPr>
          <w:lang w:val="de-DE"/>
        </w:rPr>
      </w:pPr>
      <w:r w:rsidRPr="00325CBE">
        <w:rPr>
          <w:lang w:val="de-DE"/>
        </w:rPr>
        <w:t>Der Managementbericht – der aggregierte Gremienbericht – ist der gemeinsame Sammelpunkt für Gremien; das Entscheidungsregister ist nur die Warteschlange für echte Entscheidungen.</w:t>
      </w:r>
    </w:p>
    <w:p w14:paraId="77F8EE3E" w14:textId="77777777" w:rsidR="00A4494E" w:rsidRPr="00325CBE" w:rsidRDefault="00A038EC">
      <w:pPr>
        <w:pStyle w:val="berschrift3"/>
        <w:rPr>
          <w:lang w:val="de-DE"/>
        </w:rPr>
      </w:pPr>
      <w:bookmarkStart w:id="98" w:name="_Toc239764933"/>
      <w:r w:rsidRPr="00325CBE">
        <w:rPr>
          <w:lang w:val="de-DE"/>
        </w:rPr>
        <w:t>Registerpflege und Takt</w:t>
      </w:r>
      <w:bookmarkEnd w:id="98"/>
    </w:p>
    <w:tbl>
      <w:tblPr>
        <w:tblStyle w:val="Gitternetztabelle4Akzent1"/>
        <w:tblW w:w="9620" w:type="dxa"/>
        <w:tblLayout w:type="fixed"/>
        <w:tblLook w:val="04A0" w:firstRow="1" w:lastRow="0" w:firstColumn="1" w:lastColumn="0" w:noHBand="0" w:noVBand="1"/>
      </w:tblPr>
      <w:tblGrid>
        <w:gridCol w:w="3166"/>
        <w:gridCol w:w="3314"/>
        <w:gridCol w:w="3140"/>
      </w:tblGrid>
      <w:tr w:rsidR="00A4494E" w:rsidRPr="00325CBE" w14:paraId="7DDDC2DA"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6" w:type="dxa"/>
            <w:tcBorders>
              <w:top w:val="single" w:sz="4" w:space="0" w:color="4F81BD"/>
              <w:left w:val="single" w:sz="4" w:space="0" w:color="4F81BD"/>
              <w:bottom w:val="single" w:sz="4" w:space="0" w:color="4F81BD"/>
              <w:right w:val="single" w:sz="4" w:space="0" w:color="4F81BD"/>
            </w:tcBorders>
          </w:tcPr>
          <w:p w14:paraId="23D8C453" w14:textId="77777777" w:rsidR="00A4494E" w:rsidRPr="00325CBE" w:rsidRDefault="00A038EC">
            <w:pPr>
              <w:pStyle w:val="Textkrper"/>
              <w:spacing w:before="80" w:after="80"/>
              <w:rPr>
                <w:lang w:val="de-DE"/>
              </w:rPr>
            </w:pPr>
            <w:r w:rsidRPr="00325CBE">
              <w:rPr>
                <w:rFonts w:eastAsia="Cambria"/>
                <w:lang w:val="de-DE"/>
              </w:rPr>
              <w:t>Registergruppe</w:t>
            </w:r>
          </w:p>
        </w:tc>
        <w:tc>
          <w:tcPr>
            <w:tcW w:w="3314" w:type="dxa"/>
            <w:tcBorders>
              <w:top w:val="single" w:sz="4" w:space="0" w:color="4F81BD"/>
              <w:left w:val="single" w:sz="4" w:space="0" w:color="4F81BD"/>
              <w:bottom w:val="single" w:sz="4" w:space="0" w:color="4F81BD"/>
              <w:right w:val="single" w:sz="4" w:space="0" w:color="4F81BD"/>
            </w:tcBorders>
          </w:tcPr>
          <w:p w14:paraId="4DF06B1C" w14:textId="77777777" w:rsidR="00A4494E" w:rsidRPr="00325CBE" w:rsidRDefault="00A038EC">
            <w:pPr>
              <w:pStyle w:val="Textkrper"/>
              <w:spacing w:before="80" w:after="8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Verantwortliche Rolle</w:t>
            </w:r>
          </w:p>
        </w:tc>
        <w:tc>
          <w:tcPr>
            <w:tcW w:w="3140" w:type="dxa"/>
            <w:tcBorders>
              <w:top w:val="single" w:sz="4" w:space="0" w:color="4F81BD"/>
              <w:left w:val="single" w:sz="4" w:space="0" w:color="4F81BD"/>
              <w:bottom w:val="single" w:sz="4" w:space="0" w:color="4F81BD"/>
              <w:right w:val="single" w:sz="4" w:space="0" w:color="4F81BD"/>
            </w:tcBorders>
          </w:tcPr>
          <w:p w14:paraId="1B49EB8A" w14:textId="77777777" w:rsidR="00A4494E" w:rsidRPr="00325CBE" w:rsidRDefault="00A038EC">
            <w:pPr>
              <w:pStyle w:val="Textkrper"/>
              <w:spacing w:before="80" w:after="8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Turnus</w:t>
            </w:r>
          </w:p>
        </w:tc>
      </w:tr>
      <w:tr w:rsidR="00A4494E" w:rsidRPr="00325CBE" w14:paraId="63368F20"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6" w:type="dxa"/>
          </w:tcPr>
          <w:p w14:paraId="3F892E77" w14:textId="77777777" w:rsidR="00A4494E" w:rsidRPr="00325CBE" w:rsidRDefault="00A038EC">
            <w:pPr>
              <w:pStyle w:val="Textkrper"/>
              <w:spacing w:before="80" w:after="80"/>
              <w:rPr>
                <w:lang w:val="de-DE"/>
              </w:rPr>
            </w:pPr>
            <w:r w:rsidRPr="00325CBE">
              <w:rPr>
                <w:rFonts w:eastAsia="Cambria"/>
                <w:lang w:val="de-DE"/>
              </w:rPr>
              <w:t>Entscheidungsregister, Änderungsregister, Freigaberegister</w:t>
            </w:r>
          </w:p>
        </w:tc>
        <w:tc>
          <w:tcPr>
            <w:tcW w:w="3314" w:type="dxa"/>
          </w:tcPr>
          <w:p w14:paraId="0CC85C15"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Bauherren-PL</w:t>
            </w:r>
          </w:p>
        </w:tc>
        <w:tc>
          <w:tcPr>
            <w:tcW w:w="3140" w:type="dxa"/>
          </w:tcPr>
          <w:p w14:paraId="7D8144BA"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laufend / anlassbezogen; Änderungsgremium monatlich, zzgl. anlassbezogener Sondersitzungen</w:t>
            </w:r>
          </w:p>
        </w:tc>
      </w:tr>
      <w:tr w:rsidR="00A4494E" w:rsidRPr="00325CBE" w14:paraId="696FC4BE"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166" w:type="dxa"/>
          </w:tcPr>
          <w:p w14:paraId="3F1DACB2" w14:textId="77777777" w:rsidR="00A4494E" w:rsidRPr="00325CBE" w:rsidRDefault="00A038EC">
            <w:pPr>
              <w:pStyle w:val="Textkrper"/>
              <w:spacing w:before="80" w:after="80"/>
              <w:rPr>
                <w:rFonts w:eastAsia="Cambria"/>
                <w:lang w:val="de-DE"/>
              </w:rPr>
            </w:pPr>
            <w:r w:rsidRPr="00325CBE">
              <w:rPr>
                <w:rFonts w:eastAsia="Cambria"/>
                <w:lang w:val="de-DE"/>
              </w:rPr>
              <w:lastRenderedPageBreak/>
              <w:t>Risikoregister, Frühwarnungsregister</w:t>
            </w:r>
          </w:p>
        </w:tc>
        <w:tc>
          <w:tcPr>
            <w:tcW w:w="3314" w:type="dxa"/>
          </w:tcPr>
          <w:p w14:paraId="7076FBFB"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Projektsteuerung</w:t>
            </w:r>
          </w:p>
        </w:tc>
        <w:tc>
          <w:tcPr>
            <w:tcW w:w="3140" w:type="dxa"/>
          </w:tcPr>
          <w:p w14:paraId="1FADCBCA"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monatlich (Prüfung); wöchentliche Sichtung</w:t>
            </w:r>
          </w:p>
        </w:tc>
      </w:tr>
      <w:tr w:rsidR="00A4494E" w:rsidRPr="00325CBE" w14:paraId="251680A6"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6" w:type="dxa"/>
          </w:tcPr>
          <w:p w14:paraId="7FDBAE59" w14:textId="77777777" w:rsidR="00A4494E" w:rsidRPr="00325CBE" w:rsidRDefault="00A038EC">
            <w:pPr>
              <w:pStyle w:val="Textkrper"/>
              <w:spacing w:before="80" w:after="80"/>
              <w:rPr>
                <w:rFonts w:eastAsia="Cambria"/>
                <w:lang w:val="de-DE"/>
              </w:rPr>
            </w:pPr>
            <w:r w:rsidRPr="00325CBE">
              <w:rPr>
                <w:rFonts w:eastAsia="Cambria"/>
                <w:lang w:val="de-DE"/>
              </w:rPr>
              <w:t>Maßnahmenregister, Problemregister, Governance-Kalender, Protokolle</w:t>
            </w:r>
          </w:p>
        </w:tc>
        <w:tc>
          <w:tcPr>
            <w:tcW w:w="3314" w:type="dxa"/>
          </w:tcPr>
          <w:p w14:paraId="29BC79CE"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PMO</w:t>
            </w:r>
          </w:p>
        </w:tc>
        <w:tc>
          <w:tcPr>
            <w:tcW w:w="3140" w:type="dxa"/>
          </w:tcPr>
          <w:p w14:paraId="3E9995D9"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wöchentlich bis monatlich</w:t>
            </w:r>
          </w:p>
        </w:tc>
      </w:tr>
      <w:tr w:rsidR="00A4494E" w:rsidRPr="00325CBE" w14:paraId="36C16DA9"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166" w:type="dxa"/>
          </w:tcPr>
          <w:p w14:paraId="6B521979" w14:textId="77777777" w:rsidR="00A4494E" w:rsidRPr="00325CBE" w:rsidRDefault="00A038EC">
            <w:pPr>
              <w:pStyle w:val="Textkrper"/>
              <w:spacing w:before="80" w:after="80"/>
              <w:rPr>
                <w:lang w:val="de-DE"/>
              </w:rPr>
            </w:pPr>
            <w:r w:rsidRPr="00325CBE">
              <w:rPr>
                <w:rFonts w:eastAsia="Cambria"/>
                <w:lang w:val="de-DE"/>
              </w:rPr>
              <w:t>CTC und Prognose, Kostengruppen DIN 276, Schwellenwerte</w:t>
            </w:r>
          </w:p>
        </w:tc>
        <w:tc>
          <w:tcPr>
            <w:tcW w:w="3314" w:type="dxa"/>
          </w:tcPr>
          <w:p w14:paraId="47A82780"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Controlling</w:t>
            </w:r>
          </w:p>
        </w:tc>
        <w:tc>
          <w:tcPr>
            <w:tcW w:w="3140" w:type="dxa"/>
          </w:tcPr>
          <w:p w14:paraId="19002CBF"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monatlich</w:t>
            </w:r>
          </w:p>
        </w:tc>
      </w:tr>
      <w:tr w:rsidR="00A4494E" w:rsidRPr="00325CBE" w14:paraId="413A60C8"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6" w:type="dxa"/>
          </w:tcPr>
          <w:p w14:paraId="3598B0CE" w14:textId="77777777" w:rsidR="00A4494E" w:rsidRPr="00325CBE" w:rsidRDefault="00A038EC">
            <w:pPr>
              <w:pStyle w:val="Textkrper"/>
              <w:spacing w:before="80" w:after="80"/>
              <w:rPr>
                <w:lang w:val="de-DE"/>
              </w:rPr>
            </w:pPr>
            <w:r w:rsidRPr="00325CBE">
              <w:rPr>
                <w:rFonts w:eastAsia="Cambria"/>
                <w:lang w:val="de-DE"/>
              </w:rPr>
              <w:t>Nachweise und Verknüpfungen, Übergabe / Betriebshandbuch</w:t>
            </w:r>
          </w:p>
        </w:tc>
        <w:tc>
          <w:tcPr>
            <w:tcW w:w="3314" w:type="dxa"/>
          </w:tcPr>
          <w:p w14:paraId="3DC3A275"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PMO mit Fachrollen</w:t>
            </w:r>
          </w:p>
        </w:tc>
        <w:tc>
          <w:tcPr>
            <w:tcW w:w="3140" w:type="dxa"/>
          </w:tcPr>
          <w:p w14:paraId="153C3142"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anlassbezogen</w:t>
            </w:r>
          </w:p>
        </w:tc>
      </w:tr>
    </w:tbl>
    <w:p w14:paraId="779FAE25" w14:textId="77777777" w:rsidR="00A4494E" w:rsidRPr="00325CBE" w:rsidRDefault="00A038EC">
      <w:pPr>
        <w:pStyle w:val="berschrift3"/>
        <w:rPr>
          <w:lang w:val="de-DE"/>
        </w:rPr>
      </w:pPr>
      <w:bookmarkStart w:id="99" w:name="_Toc239764934"/>
      <w:r w:rsidRPr="00325CBE">
        <w:rPr>
          <w:lang w:val="de-DE"/>
        </w:rPr>
        <w:t>Kanonischer Governance-Fluss</w:t>
      </w:r>
      <w:bookmarkEnd w:id="99"/>
    </w:p>
    <w:p w14:paraId="43E8CB4F" w14:textId="77777777" w:rsidR="00A4494E" w:rsidRPr="00325CBE" w:rsidRDefault="00A038EC">
      <w:pPr>
        <w:pStyle w:val="Textkrper"/>
        <w:rPr>
          <w:lang w:val="de-DE"/>
        </w:rPr>
      </w:pPr>
      <w:r w:rsidRPr="00325CBE">
        <w:rPr>
          <w:b/>
          <w:lang w:val="de-DE"/>
        </w:rPr>
        <w:t>EW (unbewertetes Signal) → bestätigt → Risiko → Entscheidung → Freigabe → Maßnahme → Managementbericht</w:t>
      </w:r>
    </w:p>
    <w:p w14:paraId="54CC77EE" w14:textId="77777777" w:rsidR="00A4494E" w:rsidRPr="00325CBE" w:rsidRDefault="00A038EC">
      <w:pPr>
        <w:pStyle w:val="Textkrper"/>
        <w:rPr>
          <w:lang w:val="de-DE"/>
        </w:rPr>
      </w:pPr>
      <w:r w:rsidRPr="00325CBE">
        <w:rPr>
          <w:lang w:val="de-DE"/>
        </w:rPr>
        <w:t>Eine Frühwarnung (EW) ist ein unbewertetes Signal. Wird sie bestätigt, wird daraus ein bewertetes Risiko. Aus Risiken, Änderungen oder Problemen kann Entscheidungsbedarf entstehen; CTC- oder Schwellenwertverletzungen erzeugen neue Frühwarnungen als neue Signale, nicht als Rückrichtung aus einem bestehenden Risiko. Die Entscheidungsvorlage bündelt Frage, Datenstand, Optionen, Bewertung und Empfehlung. Beschlüsse werden anschließend als Maßnahmen mit einer verantwortlichen Rolle und einer Frist nachverfolgt.</w:t>
      </w:r>
    </w:p>
    <w:p w14:paraId="4321C452" w14:textId="77777777" w:rsidR="00A4494E" w:rsidRPr="00325CBE" w:rsidRDefault="00A038EC">
      <w:pPr>
        <w:pStyle w:val="berschrift3"/>
        <w:rPr>
          <w:lang w:val="de-DE"/>
        </w:rPr>
      </w:pPr>
      <w:bookmarkStart w:id="100" w:name="_Toc239764935"/>
      <w:r w:rsidRPr="00325CBE">
        <w:rPr>
          <w:lang w:val="de-DE"/>
        </w:rPr>
        <w:t>Register-Abgrenzung</w:t>
      </w:r>
      <w:bookmarkEnd w:id="100"/>
    </w:p>
    <w:tbl>
      <w:tblPr>
        <w:tblStyle w:val="Gitternetztabelle4Akzent1"/>
        <w:tblW w:w="9620" w:type="dxa"/>
        <w:tblLayout w:type="fixed"/>
        <w:tblLook w:val="04A0" w:firstRow="1" w:lastRow="0" w:firstColumn="1" w:lastColumn="0" w:noHBand="0" w:noVBand="1"/>
      </w:tblPr>
      <w:tblGrid>
        <w:gridCol w:w="3081"/>
        <w:gridCol w:w="3259"/>
        <w:gridCol w:w="3280"/>
      </w:tblGrid>
      <w:tr w:rsidR="00A4494E" w:rsidRPr="00325CBE" w14:paraId="0711E0CA"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81" w:type="dxa"/>
            <w:tcBorders>
              <w:top w:val="single" w:sz="4" w:space="0" w:color="4F81BD"/>
              <w:left w:val="single" w:sz="4" w:space="0" w:color="4F81BD"/>
              <w:bottom w:val="single" w:sz="4" w:space="0" w:color="4F81BD"/>
              <w:right w:val="single" w:sz="4" w:space="0" w:color="4F81BD"/>
            </w:tcBorders>
          </w:tcPr>
          <w:p w14:paraId="017555FC" w14:textId="77777777" w:rsidR="00A4494E" w:rsidRPr="00325CBE" w:rsidRDefault="00A038EC">
            <w:pPr>
              <w:pStyle w:val="Textkrper"/>
              <w:spacing w:before="80" w:after="80"/>
              <w:rPr>
                <w:lang w:val="de-DE"/>
              </w:rPr>
            </w:pPr>
            <w:r w:rsidRPr="00325CBE">
              <w:rPr>
                <w:rFonts w:eastAsia="Cambria"/>
                <w:lang w:val="de-DE"/>
              </w:rPr>
              <w:t>Register</w:t>
            </w:r>
          </w:p>
        </w:tc>
        <w:tc>
          <w:tcPr>
            <w:tcW w:w="3259" w:type="dxa"/>
            <w:tcBorders>
              <w:top w:val="single" w:sz="4" w:space="0" w:color="4F81BD"/>
              <w:left w:val="single" w:sz="4" w:space="0" w:color="4F81BD"/>
              <w:bottom w:val="single" w:sz="4" w:space="0" w:color="4F81BD"/>
              <w:right w:val="single" w:sz="4" w:space="0" w:color="4F81BD"/>
            </w:tcBorders>
          </w:tcPr>
          <w:p w14:paraId="0D705002" w14:textId="77777777" w:rsidR="00A4494E" w:rsidRPr="00325CBE" w:rsidRDefault="00A038EC">
            <w:pPr>
              <w:pStyle w:val="Textkrper"/>
              <w:spacing w:before="80" w:after="8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Bedeutung</w:t>
            </w:r>
          </w:p>
        </w:tc>
        <w:tc>
          <w:tcPr>
            <w:tcW w:w="3280" w:type="dxa"/>
            <w:tcBorders>
              <w:top w:val="single" w:sz="4" w:space="0" w:color="4F81BD"/>
              <w:left w:val="single" w:sz="4" w:space="0" w:color="4F81BD"/>
              <w:bottom w:val="single" w:sz="4" w:space="0" w:color="4F81BD"/>
              <w:right w:val="single" w:sz="4" w:space="0" w:color="4F81BD"/>
            </w:tcBorders>
          </w:tcPr>
          <w:p w14:paraId="28BA1DB1" w14:textId="77777777" w:rsidR="00A4494E" w:rsidRPr="00325CBE" w:rsidRDefault="00A038EC">
            <w:pPr>
              <w:pStyle w:val="Textkrper"/>
              <w:spacing w:before="80" w:after="8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Nächster Schritt</w:t>
            </w:r>
          </w:p>
        </w:tc>
      </w:tr>
      <w:tr w:rsidR="00A4494E" w:rsidRPr="00325CBE" w14:paraId="4E31E382"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81" w:type="dxa"/>
          </w:tcPr>
          <w:p w14:paraId="53E95A2B" w14:textId="77777777" w:rsidR="00A4494E" w:rsidRPr="00325CBE" w:rsidRDefault="00A038EC">
            <w:pPr>
              <w:pStyle w:val="Textkrper"/>
              <w:spacing w:before="80" w:after="80"/>
              <w:rPr>
                <w:lang w:val="de-DE"/>
              </w:rPr>
            </w:pPr>
            <w:r w:rsidRPr="00325CBE">
              <w:rPr>
                <w:rFonts w:eastAsia="Cambria"/>
                <w:lang w:val="de-DE"/>
              </w:rPr>
              <w:t>Frühwarnung</w:t>
            </w:r>
          </w:p>
        </w:tc>
        <w:tc>
          <w:tcPr>
            <w:tcW w:w="3259" w:type="dxa"/>
          </w:tcPr>
          <w:p w14:paraId="3A350F55"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unbewertetes Signal</w:t>
            </w:r>
          </w:p>
        </w:tc>
        <w:tc>
          <w:tcPr>
            <w:tcW w:w="3280" w:type="dxa"/>
          </w:tcPr>
          <w:p w14:paraId="2099FAA9"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bestätigen; bei Bestätigung Risiko</w:t>
            </w:r>
          </w:p>
        </w:tc>
      </w:tr>
      <w:tr w:rsidR="00A4494E" w:rsidRPr="00325CBE" w14:paraId="25E26C07"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081" w:type="dxa"/>
          </w:tcPr>
          <w:p w14:paraId="6AF1E251" w14:textId="77777777" w:rsidR="00A4494E" w:rsidRPr="00325CBE" w:rsidRDefault="00A038EC">
            <w:pPr>
              <w:pStyle w:val="Textkrper"/>
              <w:spacing w:before="80" w:after="80"/>
              <w:rPr>
                <w:lang w:val="de-DE"/>
              </w:rPr>
            </w:pPr>
            <w:r w:rsidRPr="00325CBE">
              <w:rPr>
                <w:rFonts w:eastAsia="Cambria"/>
                <w:lang w:val="de-DE"/>
              </w:rPr>
              <w:t>Risikoregister</w:t>
            </w:r>
          </w:p>
        </w:tc>
        <w:tc>
          <w:tcPr>
            <w:tcW w:w="3259" w:type="dxa"/>
          </w:tcPr>
          <w:p w14:paraId="5C843370"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bewertetes mögliches Ereignis</w:t>
            </w:r>
          </w:p>
        </w:tc>
        <w:tc>
          <w:tcPr>
            <w:tcW w:w="3280" w:type="dxa"/>
          </w:tcPr>
          <w:p w14:paraId="56B62CD3"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Risikominderung oder Entscheidung</w:t>
            </w:r>
          </w:p>
        </w:tc>
      </w:tr>
      <w:tr w:rsidR="00A4494E" w:rsidRPr="00325CBE" w14:paraId="5CD50AF1"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81" w:type="dxa"/>
          </w:tcPr>
          <w:p w14:paraId="7A57060E" w14:textId="77777777" w:rsidR="00A4494E" w:rsidRPr="00325CBE" w:rsidRDefault="00A038EC">
            <w:pPr>
              <w:pStyle w:val="Textkrper"/>
              <w:spacing w:before="80" w:after="80"/>
              <w:rPr>
                <w:lang w:val="de-DE"/>
              </w:rPr>
            </w:pPr>
            <w:r w:rsidRPr="00325CBE">
              <w:rPr>
                <w:rFonts w:eastAsia="Cambria"/>
                <w:lang w:val="de-DE"/>
              </w:rPr>
              <w:t>Problemregister</w:t>
            </w:r>
          </w:p>
        </w:tc>
        <w:tc>
          <w:tcPr>
            <w:tcW w:w="3259" w:type="dxa"/>
          </w:tcPr>
          <w:p w14:paraId="77904C28"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eingetretenes Problem</w:t>
            </w:r>
          </w:p>
        </w:tc>
        <w:tc>
          <w:tcPr>
            <w:tcW w:w="3280" w:type="dxa"/>
          </w:tcPr>
          <w:p w14:paraId="75C68B25"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Maßnahme, ggf. Entscheidung</w:t>
            </w:r>
          </w:p>
        </w:tc>
      </w:tr>
      <w:tr w:rsidR="00A4494E" w:rsidRPr="00325CBE" w14:paraId="5E7FCFD3"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081" w:type="dxa"/>
          </w:tcPr>
          <w:p w14:paraId="7411AD2B" w14:textId="77777777" w:rsidR="00A4494E" w:rsidRPr="00325CBE" w:rsidRDefault="00A038EC">
            <w:pPr>
              <w:pStyle w:val="Textkrper"/>
              <w:spacing w:before="80" w:after="80"/>
              <w:rPr>
                <w:lang w:val="de-DE"/>
              </w:rPr>
            </w:pPr>
            <w:r w:rsidRPr="00325CBE">
              <w:rPr>
                <w:rFonts w:eastAsia="Cambria"/>
                <w:lang w:val="de-DE"/>
              </w:rPr>
              <w:t>Änderungsregister</w:t>
            </w:r>
          </w:p>
        </w:tc>
        <w:tc>
          <w:tcPr>
            <w:tcW w:w="3259" w:type="dxa"/>
          </w:tcPr>
          <w:p w14:paraId="652D40DB"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gewollte Änderung</w:t>
            </w:r>
          </w:p>
        </w:tc>
        <w:tc>
          <w:tcPr>
            <w:tcW w:w="3280" w:type="dxa"/>
          </w:tcPr>
          <w:p w14:paraId="141E03AD"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Auswirkung, Freigabeweg</w:t>
            </w:r>
          </w:p>
        </w:tc>
      </w:tr>
      <w:tr w:rsidR="00A4494E" w:rsidRPr="00325CBE" w14:paraId="7CAE781E"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81" w:type="dxa"/>
          </w:tcPr>
          <w:p w14:paraId="6854B288" w14:textId="77777777" w:rsidR="00A4494E" w:rsidRPr="00325CBE" w:rsidRDefault="00A038EC">
            <w:pPr>
              <w:pStyle w:val="Textkrper"/>
              <w:spacing w:before="80" w:after="80"/>
              <w:rPr>
                <w:lang w:val="de-DE"/>
              </w:rPr>
            </w:pPr>
            <w:r w:rsidRPr="00325CBE">
              <w:rPr>
                <w:rFonts w:eastAsia="Cambria"/>
                <w:lang w:val="de-DE"/>
              </w:rPr>
              <w:t>Entscheidungsregister</w:t>
            </w:r>
          </w:p>
        </w:tc>
        <w:tc>
          <w:tcPr>
            <w:tcW w:w="3259" w:type="dxa"/>
          </w:tcPr>
          <w:p w14:paraId="1452064B"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offener Entscheidungsbedarf</w:t>
            </w:r>
          </w:p>
        </w:tc>
        <w:tc>
          <w:tcPr>
            <w:tcW w:w="3280" w:type="dxa"/>
          </w:tcPr>
          <w:p w14:paraId="29C81A87"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Entscheidungsvorlage</w:t>
            </w:r>
          </w:p>
        </w:tc>
      </w:tr>
      <w:tr w:rsidR="00A4494E" w:rsidRPr="00325CBE" w14:paraId="74D60967"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081" w:type="dxa"/>
          </w:tcPr>
          <w:p w14:paraId="4C431740" w14:textId="77777777" w:rsidR="00A4494E" w:rsidRPr="00325CBE" w:rsidRDefault="00A038EC">
            <w:pPr>
              <w:pStyle w:val="Textkrper"/>
              <w:spacing w:before="80" w:after="80"/>
              <w:rPr>
                <w:lang w:val="de-DE"/>
              </w:rPr>
            </w:pPr>
            <w:r w:rsidRPr="00325CBE">
              <w:rPr>
                <w:rFonts w:eastAsia="Cambria"/>
                <w:lang w:val="de-DE"/>
              </w:rPr>
              <w:t>Freigabe</w:t>
            </w:r>
          </w:p>
        </w:tc>
        <w:tc>
          <w:tcPr>
            <w:tcW w:w="3259" w:type="dxa"/>
          </w:tcPr>
          <w:p w14:paraId="44DFD1EF" w14:textId="1DF7709C"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Entscheidung des Bauherrn am Abschluss der Leistungsphase</w:t>
            </w:r>
          </w:p>
        </w:tc>
        <w:tc>
          <w:tcPr>
            <w:tcW w:w="3280" w:type="dxa"/>
          </w:tcPr>
          <w:p w14:paraId="598595F0"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Status und Freigabeentscheidung dokumentieren</w:t>
            </w:r>
          </w:p>
        </w:tc>
      </w:tr>
      <w:tr w:rsidR="00A4494E" w:rsidRPr="00325CBE" w14:paraId="74530651"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81" w:type="dxa"/>
          </w:tcPr>
          <w:p w14:paraId="52339FDD" w14:textId="77777777" w:rsidR="00A4494E" w:rsidRPr="00325CBE" w:rsidRDefault="00A038EC">
            <w:pPr>
              <w:pStyle w:val="Textkrper"/>
              <w:spacing w:before="80" w:after="80"/>
              <w:rPr>
                <w:lang w:val="de-DE"/>
              </w:rPr>
            </w:pPr>
            <w:r w:rsidRPr="00325CBE">
              <w:rPr>
                <w:rFonts w:eastAsia="Cambria"/>
                <w:lang w:val="de-DE"/>
              </w:rPr>
              <w:t>Management­bericht</w:t>
            </w:r>
          </w:p>
        </w:tc>
        <w:tc>
          <w:tcPr>
            <w:tcW w:w="3259" w:type="dxa"/>
          </w:tcPr>
          <w:p w14:paraId="2188CD69"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aggregierter Gremienbericht</w:t>
            </w:r>
          </w:p>
        </w:tc>
        <w:tc>
          <w:tcPr>
            <w:tcW w:w="3280" w:type="dxa"/>
          </w:tcPr>
          <w:p w14:paraId="183CECBE"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Information und Beschlussvorbereitung</w:t>
            </w:r>
          </w:p>
        </w:tc>
      </w:tr>
    </w:tbl>
    <w:p w14:paraId="302654B4" w14:textId="77777777" w:rsidR="00A4494E" w:rsidRPr="00325CBE" w:rsidRDefault="00A038EC">
      <w:pPr>
        <w:pStyle w:val="Textkrper"/>
        <w:rPr>
          <w:lang w:val="de-DE"/>
        </w:rPr>
      </w:pPr>
      <w:r w:rsidRPr="00325CBE">
        <w:rPr>
          <w:lang w:val="de-DE"/>
        </w:rPr>
        <w:t xml:space="preserve">Die Statusbegriffe bleiben vom Freigabeprozess getrennt: Entscheidungen – Offen · In Bearbeitung · Entscheidungsreif · </w:t>
      </w:r>
      <w:proofErr w:type="gramStart"/>
      <w:r w:rsidRPr="00325CBE">
        <w:rPr>
          <w:lang w:val="de-DE"/>
        </w:rPr>
        <w:t>Entschieden</w:t>
      </w:r>
      <w:proofErr w:type="gramEnd"/>
      <w:r w:rsidRPr="00325CBE">
        <w:rPr>
          <w:lang w:val="de-DE"/>
        </w:rPr>
        <w:t xml:space="preserve"> · </w:t>
      </w:r>
      <w:proofErr w:type="gramStart"/>
      <w:r w:rsidRPr="00325CBE">
        <w:rPr>
          <w:lang w:val="de-DE"/>
        </w:rPr>
        <w:t>Verworfen</w:t>
      </w:r>
      <w:proofErr w:type="gramEnd"/>
      <w:r w:rsidRPr="00325CBE">
        <w:rPr>
          <w:lang w:val="de-DE"/>
        </w:rPr>
        <w:t xml:space="preserve">; Risiken – aktiv · beobachtet · gemindert · geschlossen; Änderungen – Beantragt · In Prüfung · </w:t>
      </w:r>
      <w:proofErr w:type="gramStart"/>
      <w:r w:rsidRPr="00325CBE">
        <w:rPr>
          <w:lang w:val="de-DE"/>
        </w:rPr>
        <w:t>Beschlossen</w:t>
      </w:r>
      <w:proofErr w:type="gramEnd"/>
      <w:r w:rsidRPr="00325CBE">
        <w:rPr>
          <w:lang w:val="de-DE"/>
        </w:rPr>
        <w:t xml:space="preserve"> · </w:t>
      </w:r>
      <w:proofErr w:type="gramStart"/>
      <w:r w:rsidRPr="00325CBE">
        <w:rPr>
          <w:lang w:val="de-DE"/>
        </w:rPr>
        <w:t>Abgelehnt</w:t>
      </w:r>
      <w:proofErr w:type="gramEnd"/>
      <w:r w:rsidRPr="00325CBE">
        <w:rPr>
          <w:lang w:val="de-DE"/>
        </w:rPr>
        <w:t xml:space="preserve"> · </w:t>
      </w:r>
      <w:proofErr w:type="gramStart"/>
      <w:r w:rsidRPr="00325CBE">
        <w:rPr>
          <w:lang w:val="de-DE"/>
        </w:rPr>
        <w:t>Umgesetzt</w:t>
      </w:r>
      <w:proofErr w:type="gramEnd"/>
      <w:r w:rsidRPr="00325CBE">
        <w:rPr>
          <w:lang w:val="de-DE"/>
        </w:rPr>
        <w:t>; Freigaben – Status offen → in Vorbereitung → abgeschlossen und Ergebnis Freigabe / keine Freigabe / Freigabe mit Auflagen.</w:t>
      </w:r>
    </w:p>
    <w:p w14:paraId="498C39DC" w14:textId="77777777" w:rsidR="00A4494E" w:rsidRPr="00325CBE" w:rsidRDefault="00A038EC">
      <w:pPr>
        <w:pStyle w:val="berschrift3"/>
        <w:rPr>
          <w:lang w:val="de-DE"/>
        </w:rPr>
      </w:pPr>
      <w:bookmarkStart w:id="101" w:name="_Toc239764936"/>
      <w:r w:rsidRPr="00325CBE">
        <w:rPr>
          <w:lang w:val="de-DE"/>
        </w:rPr>
        <w:lastRenderedPageBreak/>
        <w:t>Rhythmus, Rollen und Eskalation</w:t>
      </w:r>
      <w:bookmarkEnd w:id="101"/>
    </w:p>
    <w:tbl>
      <w:tblPr>
        <w:tblStyle w:val="Gitternetztabelle4Akzent1"/>
        <w:tblW w:w="9620" w:type="dxa"/>
        <w:tblLayout w:type="fixed"/>
        <w:tblLook w:val="04A0" w:firstRow="1" w:lastRow="0" w:firstColumn="1" w:lastColumn="0" w:noHBand="0" w:noVBand="1"/>
      </w:tblPr>
      <w:tblGrid>
        <w:gridCol w:w="3206"/>
        <w:gridCol w:w="3228"/>
        <w:gridCol w:w="3186"/>
      </w:tblGrid>
      <w:tr w:rsidR="00A4494E" w:rsidRPr="00325CBE" w14:paraId="09967A39"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Borders>
              <w:top w:val="single" w:sz="4" w:space="0" w:color="4F81BD"/>
              <w:left w:val="single" w:sz="4" w:space="0" w:color="4F81BD"/>
              <w:bottom w:val="single" w:sz="4" w:space="0" w:color="4F81BD"/>
              <w:right w:val="single" w:sz="4" w:space="0" w:color="4F81BD"/>
            </w:tcBorders>
          </w:tcPr>
          <w:p w14:paraId="239476CE" w14:textId="77777777" w:rsidR="00A4494E" w:rsidRPr="00325CBE" w:rsidRDefault="00A038EC">
            <w:pPr>
              <w:pStyle w:val="Textkrper"/>
              <w:spacing w:before="80" w:after="80"/>
              <w:rPr>
                <w:lang w:val="de-DE"/>
              </w:rPr>
            </w:pPr>
            <w:r w:rsidRPr="00325CBE">
              <w:rPr>
                <w:rFonts w:eastAsia="Cambria"/>
                <w:lang w:val="de-DE"/>
              </w:rPr>
              <w:t>Rhythmus</w:t>
            </w:r>
          </w:p>
        </w:tc>
        <w:tc>
          <w:tcPr>
            <w:tcW w:w="3228" w:type="dxa"/>
            <w:tcBorders>
              <w:top w:val="single" w:sz="4" w:space="0" w:color="4F81BD"/>
              <w:left w:val="single" w:sz="4" w:space="0" w:color="4F81BD"/>
              <w:bottom w:val="single" w:sz="4" w:space="0" w:color="4F81BD"/>
              <w:right w:val="single" w:sz="4" w:space="0" w:color="4F81BD"/>
            </w:tcBorders>
          </w:tcPr>
          <w:p w14:paraId="119E7410" w14:textId="77777777" w:rsidR="00A4494E" w:rsidRPr="00325CBE" w:rsidRDefault="00A038EC">
            <w:pPr>
              <w:pStyle w:val="Textkrper"/>
              <w:spacing w:before="80" w:after="8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Beteiligte</w:t>
            </w:r>
          </w:p>
        </w:tc>
        <w:tc>
          <w:tcPr>
            <w:tcW w:w="3186" w:type="dxa"/>
            <w:tcBorders>
              <w:top w:val="single" w:sz="4" w:space="0" w:color="4F81BD"/>
              <w:left w:val="single" w:sz="4" w:space="0" w:color="4F81BD"/>
              <w:bottom w:val="single" w:sz="4" w:space="0" w:color="4F81BD"/>
              <w:right w:val="single" w:sz="4" w:space="0" w:color="4F81BD"/>
            </w:tcBorders>
          </w:tcPr>
          <w:p w14:paraId="06D73846" w14:textId="77777777" w:rsidR="00A4494E" w:rsidRPr="00325CBE" w:rsidRDefault="00A038EC">
            <w:pPr>
              <w:pStyle w:val="Textkrper"/>
              <w:spacing w:before="80" w:after="8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Fokus</w:t>
            </w:r>
          </w:p>
        </w:tc>
      </w:tr>
      <w:tr w:rsidR="00A4494E" w:rsidRPr="00325CBE" w14:paraId="432D67A7"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Pr>
          <w:p w14:paraId="6CDB974C" w14:textId="77777777" w:rsidR="00A4494E" w:rsidRPr="00325CBE" w:rsidRDefault="00A038EC">
            <w:pPr>
              <w:pStyle w:val="Textkrper"/>
              <w:spacing w:before="80" w:after="80"/>
              <w:rPr>
                <w:lang w:val="de-DE"/>
              </w:rPr>
            </w:pPr>
            <w:r w:rsidRPr="00325CBE">
              <w:rPr>
                <w:rFonts w:eastAsia="Cambria"/>
                <w:lang w:val="de-DE"/>
              </w:rPr>
              <w:t>täglich</w:t>
            </w:r>
          </w:p>
        </w:tc>
        <w:tc>
          <w:tcPr>
            <w:tcW w:w="3228" w:type="dxa"/>
          </w:tcPr>
          <w:p w14:paraId="3F484076"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verantwortliche Rollen, PMO</w:t>
            </w:r>
          </w:p>
        </w:tc>
        <w:tc>
          <w:tcPr>
            <w:tcW w:w="3186" w:type="dxa"/>
          </w:tcPr>
          <w:p w14:paraId="51DDC077"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Maßnahmen, Probleme, Fristen</w:t>
            </w:r>
          </w:p>
        </w:tc>
      </w:tr>
      <w:tr w:rsidR="00A4494E" w:rsidRPr="00325CBE" w14:paraId="4B28F0DD"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206" w:type="dxa"/>
          </w:tcPr>
          <w:p w14:paraId="3FEE4404" w14:textId="77777777" w:rsidR="00A4494E" w:rsidRPr="00325CBE" w:rsidRDefault="00A038EC">
            <w:pPr>
              <w:pStyle w:val="Textkrper"/>
              <w:spacing w:before="80" w:after="80"/>
              <w:rPr>
                <w:lang w:val="de-DE"/>
              </w:rPr>
            </w:pPr>
            <w:r w:rsidRPr="00325CBE">
              <w:rPr>
                <w:rFonts w:eastAsia="Cambria"/>
                <w:lang w:val="de-DE"/>
              </w:rPr>
              <w:t>wöchentlich</w:t>
            </w:r>
          </w:p>
        </w:tc>
        <w:tc>
          <w:tcPr>
            <w:tcW w:w="3228" w:type="dxa"/>
          </w:tcPr>
          <w:p w14:paraId="32B418D5"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Bauherren-PL, Projektsteuerung, verantwortliche Rolle</w:t>
            </w:r>
          </w:p>
        </w:tc>
        <w:tc>
          <w:tcPr>
            <w:tcW w:w="3186" w:type="dxa"/>
          </w:tcPr>
          <w:p w14:paraId="422972E1"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wöchentliche Risikosichtung im regelmäßigen Abstimmungstermin; offene Entscheidungen und Maßnahmen</w:t>
            </w:r>
          </w:p>
        </w:tc>
      </w:tr>
      <w:tr w:rsidR="00A4494E" w:rsidRPr="00325CBE" w14:paraId="62AFB080"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Pr>
          <w:p w14:paraId="7CAD20ED" w14:textId="77777777" w:rsidR="00A4494E" w:rsidRPr="00325CBE" w:rsidRDefault="00A038EC">
            <w:pPr>
              <w:pStyle w:val="Textkrper"/>
              <w:spacing w:before="80" w:after="80"/>
              <w:rPr>
                <w:lang w:val="de-DE"/>
              </w:rPr>
            </w:pPr>
            <w:r w:rsidRPr="00325CBE">
              <w:rPr>
                <w:rFonts w:eastAsia="Cambria"/>
                <w:lang w:val="de-DE"/>
              </w:rPr>
              <w:t>monatlich</w:t>
            </w:r>
          </w:p>
        </w:tc>
        <w:tc>
          <w:tcPr>
            <w:tcW w:w="3228" w:type="dxa"/>
          </w:tcPr>
          <w:p w14:paraId="18D531B7"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Projektsteuerung</w:t>
            </w:r>
          </w:p>
        </w:tc>
        <w:tc>
          <w:tcPr>
            <w:tcW w:w="3186" w:type="dxa"/>
          </w:tcPr>
          <w:p w14:paraId="45E0F8A5" w14:textId="77777777" w:rsidR="00A4494E" w:rsidRPr="00325CBE" w:rsidRDefault="00A038EC">
            <w:pPr>
              <w:pStyle w:val="Textkrper"/>
              <w:spacing w:before="80" w:after="8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formale Risikoprüfung und Bericht → Management­bericht</w:t>
            </w:r>
          </w:p>
        </w:tc>
      </w:tr>
      <w:tr w:rsidR="00A4494E" w:rsidRPr="00325CBE" w14:paraId="1E72053A"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206" w:type="dxa"/>
          </w:tcPr>
          <w:p w14:paraId="0913012F" w14:textId="77777777" w:rsidR="00A4494E" w:rsidRPr="00325CBE" w:rsidRDefault="00A038EC">
            <w:pPr>
              <w:pStyle w:val="Textkrper"/>
              <w:spacing w:before="80" w:after="80"/>
              <w:rPr>
                <w:lang w:val="de-DE"/>
              </w:rPr>
            </w:pPr>
            <w:r w:rsidRPr="00325CBE">
              <w:rPr>
                <w:rFonts w:eastAsia="Cambria"/>
                <w:lang w:val="de-DE"/>
              </w:rPr>
              <w:t>monatlich, zzgl. anlassbezogener Sondersitzungen</w:t>
            </w:r>
          </w:p>
        </w:tc>
        <w:tc>
          <w:tcPr>
            <w:tcW w:w="3228" w:type="dxa"/>
          </w:tcPr>
          <w:p w14:paraId="39212405"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Bauherren-PL, Änderungsgremium</w:t>
            </w:r>
          </w:p>
        </w:tc>
        <w:tc>
          <w:tcPr>
            <w:tcW w:w="3186" w:type="dxa"/>
          </w:tcPr>
          <w:p w14:paraId="476F9348" w14:textId="77777777" w:rsidR="00A4494E" w:rsidRPr="00325CBE" w:rsidRDefault="00A038EC">
            <w:pPr>
              <w:pStyle w:val="Textkrper"/>
              <w:spacing w:before="80" w:after="80"/>
              <w:cnfStyle w:val="000000000000" w:firstRow="0" w:lastRow="0" w:firstColumn="0" w:lastColumn="0" w:oddVBand="0" w:evenVBand="0" w:oddHBand="0" w:evenHBand="0" w:firstRowFirstColumn="0" w:firstRowLastColumn="0" w:lastRowFirstColumn="0" w:lastRowLastColumn="0"/>
              <w:rPr>
                <w:rFonts w:eastAsia="Cambria"/>
                <w:lang w:val="de-DE"/>
              </w:rPr>
            </w:pPr>
            <w:r w:rsidRPr="00325CBE">
              <w:rPr>
                <w:rFonts w:eastAsia="Cambria"/>
                <w:lang w:val="de-DE"/>
              </w:rPr>
              <w:t>Änderungen bewerten und entscheiden</w:t>
            </w:r>
          </w:p>
        </w:tc>
      </w:tr>
      <w:tr w:rsidR="00A4494E" w:rsidRPr="00325CBE" w14:paraId="26DB1A8C"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Pr>
          <w:p w14:paraId="173F5445" w14:textId="77777777" w:rsidR="00A4494E" w:rsidRPr="00325CBE" w:rsidRDefault="00A038EC">
            <w:pPr>
              <w:pStyle w:val="Textkrper"/>
              <w:rPr>
                <w:rFonts w:eastAsia="Cambria"/>
                <w:b w:val="0"/>
                <w:bCs w:val="0"/>
                <w:lang w:val="de-DE"/>
              </w:rPr>
            </w:pPr>
            <w:r w:rsidRPr="00325CBE">
              <w:rPr>
                <w:rFonts w:eastAsia="Cambria"/>
                <w:lang w:val="de-DE"/>
              </w:rPr>
              <w:t>monatlich</w:t>
            </w:r>
          </w:p>
        </w:tc>
        <w:tc>
          <w:tcPr>
            <w:tcW w:w="3228" w:type="dxa"/>
          </w:tcPr>
          <w:p w14:paraId="73909881" w14:textId="77777777" w:rsidR="00A4494E" w:rsidRPr="00325CBE" w:rsidRDefault="00A038EC">
            <w:pPr>
              <w:pStyle w:val="Textkrper"/>
              <w:cnfStyle w:val="000000100000" w:firstRow="0" w:lastRow="0" w:firstColumn="0" w:lastColumn="0" w:oddVBand="0" w:evenVBand="0" w:oddHBand="1" w:evenHBand="0" w:firstRowFirstColumn="0" w:firstRowLastColumn="0" w:lastRowFirstColumn="0" w:lastRowLastColumn="0"/>
              <w:rPr>
                <w:rFonts w:eastAsia="Cambria"/>
                <w:lang w:val="de-DE"/>
              </w:rPr>
            </w:pPr>
            <w:r w:rsidRPr="00325CBE">
              <w:rPr>
                <w:rFonts w:eastAsia="Cambria"/>
                <w:lang w:val="de-DE"/>
              </w:rPr>
              <w:t>Bauherren-PL, Controlling, PMO</w:t>
            </w:r>
          </w:p>
        </w:tc>
        <w:tc>
          <w:tcPr>
            <w:tcW w:w="3186" w:type="dxa"/>
          </w:tcPr>
          <w:p w14:paraId="0D378AF9" w14:textId="77777777" w:rsidR="00A4494E" w:rsidRPr="00325CBE" w:rsidRDefault="00A038EC">
            <w:pPr>
              <w:pStyle w:val="Textkrper"/>
              <w:cnfStyle w:val="000000100000" w:firstRow="0" w:lastRow="0" w:firstColumn="0" w:lastColumn="0" w:oddVBand="0" w:evenVBand="0" w:oddHBand="1" w:evenHBand="0" w:firstRowFirstColumn="0" w:firstRowLastColumn="0" w:lastRowFirstColumn="0" w:lastRowLastColumn="0"/>
              <w:rPr>
                <w:rFonts w:eastAsia="Cambria"/>
                <w:lang w:val="de-DE"/>
              </w:rPr>
            </w:pPr>
            <w:r w:rsidRPr="00325CBE">
              <w:rPr>
                <w:rFonts w:eastAsia="Cambria"/>
                <w:lang w:val="de-DE"/>
              </w:rPr>
              <w:t>CTC und Prognose, Management­bericht</w:t>
            </w:r>
          </w:p>
        </w:tc>
      </w:tr>
      <w:tr w:rsidR="00A4494E" w:rsidRPr="00325CBE" w14:paraId="33618FBC"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206" w:type="dxa"/>
          </w:tcPr>
          <w:p w14:paraId="3E962727" w14:textId="77777777" w:rsidR="00A4494E" w:rsidRPr="00325CBE" w:rsidRDefault="00A038EC">
            <w:pPr>
              <w:pStyle w:val="Textkrper"/>
              <w:rPr>
                <w:rFonts w:eastAsia="Cambria"/>
                <w:b w:val="0"/>
                <w:bCs w:val="0"/>
                <w:lang w:val="de-DE"/>
              </w:rPr>
            </w:pPr>
            <w:r w:rsidRPr="00325CBE">
              <w:rPr>
                <w:rFonts w:eastAsia="Cambria"/>
                <w:lang w:val="de-DE"/>
              </w:rPr>
              <w:t>je Freigabe</w:t>
            </w:r>
          </w:p>
        </w:tc>
        <w:tc>
          <w:tcPr>
            <w:tcW w:w="3228" w:type="dxa"/>
          </w:tcPr>
          <w:p w14:paraId="2168E926" w14:textId="38A7C606" w:rsidR="00A4494E" w:rsidRPr="00325CBE" w:rsidRDefault="00A038EC">
            <w:pPr>
              <w:pStyle w:val="Textkrper"/>
              <w:cnfStyle w:val="000000000000" w:firstRow="0" w:lastRow="0" w:firstColumn="0" w:lastColumn="0" w:oddVBand="0" w:evenVBand="0" w:oddHBand="0" w:evenHBand="0" w:firstRowFirstColumn="0" w:firstRowLastColumn="0" w:lastRowFirstColumn="0" w:lastRowLastColumn="0"/>
              <w:rPr>
                <w:rFonts w:eastAsia="Cambria"/>
                <w:lang w:val="de-DE"/>
              </w:rPr>
            </w:pPr>
            <w:r w:rsidRPr="00325CBE">
              <w:rPr>
                <w:rFonts w:eastAsia="Cambria"/>
                <w:lang w:val="de-DE"/>
              </w:rPr>
              <w:t>Bauherr – er erteilt jede Freigabe selbst auf Vorlage der Bauherren-PL; der Lenkungskreis berät und bereitet vor</w:t>
            </w:r>
          </w:p>
        </w:tc>
        <w:tc>
          <w:tcPr>
            <w:tcW w:w="3186" w:type="dxa"/>
          </w:tcPr>
          <w:p w14:paraId="50C51272" w14:textId="77777777" w:rsidR="00A4494E" w:rsidRPr="00325CBE" w:rsidRDefault="00A038EC">
            <w:pPr>
              <w:pStyle w:val="Textkrper"/>
              <w:cnfStyle w:val="000000000000" w:firstRow="0" w:lastRow="0" w:firstColumn="0" w:lastColumn="0" w:oddVBand="0" w:evenVBand="0" w:oddHBand="0" w:evenHBand="0" w:firstRowFirstColumn="0" w:firstRowLastColumn="0" w:lastRowFirstColumn="0" w:lastRowLastColumn="0"/>
              <w:rPr>
                <w:rFonts w:eastAsia="Cambria"/>
                <w:lang w:val="de-DE"/>
              </w:rPr>
            </w:pPr>
            <w:r w:rsidRPr="00325CBE">
              <w:rPr>
                <w:rFonts w:eastAsia="Cambria"/>
                <w:lang w:val="de-DE"/>
              </w:rPr>
              <w:t>Status offen → in Vorbereitung → abgeschlossen; Entscheidung Freigabe / keine Freigabe / Freigabe mit Auflagen</w:t>
            </w:r>
          </w:p>
        </w:tc>
      </w:tr>
    </w:tbl>
    <w:p w14:paraId="40D3DD7D" w14:textId="64BBD1C1" w:rsidR="00A4494E" w:rsidRPr="00325CBE" w:rsidRDefault="00A038EC">
      <w:pPr>
        <w:pStyle w:val="Textkrper"/>
        <w:rPr>
          <w:lang w:val="de-DE"/>
        </w:rPr>
      </w:pPr>
      <w:r w:rsidRPr="00325CBE">
        <w:rPr>
          <w:lang w:val="de-DE"/>
        </w:rPr>
        <w:t>Innerhalb des Mandats entscheiden die verantwortliche Rolle und die Bauherren-PL im definierten Rahmen und dokumentier</w:t>
      </w:r>
      <w:r w:rsidR="00325CBE">
        <w:rPr>
          <w:lang w:val="de-DE"/>
        </w:rPr>
        <w:t>t</w:t>
      </w:r>
      <w:r w:rsidRPr="00325CBE">
        <w:rPr>
          <w:lang w:val="de-DE"/>
        </w:rPr>
        <w:t xml:space="preserve"> im Register. Bei Überschreitung von Wert-, Risiko-, Frist- oder Mandatsschwellen wird entlang der Mandatsleiter an die Bauherren-PL, das Änderungsgremium oder zur Beschlussfassung durch den Bauherrn im Lenkungskreis eskaliert. Eskalation ist kein Fehlerbild, sondern Teil der Steuerungslogik. Companion und Bauherren-Führungsmodell brauchen allerdings einen geordneten Weg in die Organisation. Diesen Weg beschreibt die Leistungsarchitektur von Bauherr Mentoren im folgenden Kapitel.</w:t>
      </w:r>
    </w:p>
    <w:p w14:paraId="1AE4D51C" w14:textId="77777777" w:rsidR="00A4494E" w:rsidRPr="00325CBE" w:rsidRDefault="00A4494E">
      <w:pPr>
        <w:pStyle w:val="Textkrper"/>
        <w:rPr>
          <w:lang w:val="de-DE"/>
        </w:rPr>
      </w:pPr>
    </w:p>
    <w:p w14:paraId="57D05EB3" w14:textId="77777777" w:rsidR="00A4494E" w:rsidRPr="00325CBE" w:rsidRDefault="00A038EC">
      <w:pPr>
        <w:pStyle w:val="berschrift1"/>
        <w:spacing w:before="40" w:after="40"/>
        <w:rPr>
          <w:kern w:val="2"/>
          <w:lang w:val="de-DE"/>
        </w:rPr>
      </w:pPr>
      <w:bookmarkStart w:id="102" w:name="_Toc234746083"/>
      <w:bookmarkStart w:id="103" w:name="_Toc239764937"/>
      <w:r w:rsidRPr="00325CBE">
        <w:rPr>
          <w:lang w:val="de-DE"/>
        </w:rPr>
        <w:lastRenderedPageBreak/>
        <w:t>Leistungsarchitektur von Bauherr Mentoren</w:t>
      </w:r>
      <w:bookmarkEnd w:id="102"/>
      <w:bookmarkEnd w:id="103"/>
    </w:p>
    <w:p w14:paraId="6FCDD676" w14:textId="67DF6336" w:rsidR="00A4494E" w:rsidRPr="00325CBE" w:rsidRDefault="005B6209">
      <w:pPr>
        <w:pStyle w:val="Textkrper"/>
        <w:spacing w:before="120" w:after="120"/>
        <w:jc w:val="center"/>
        <w:rPr>
          <w:lang w:val="de-DE"/>
        </w:rPr>
      </w:pPr>
      <w:r w:rsidRPr="00325CBE">
        <w:rPr>
          <w:noProof/>
          <w:lang w:val="de-DE"/>
        </w:rPr>
        <w:drawing>
          <wp:inline distT="0" distB="0" distL="0" distR="0" wp14:anchorId="72207704" wp14:editId="56A5ECBA">
            <wp:extent cx="5971540" cy="3333115"/>
            <wp:effectExtent l="0" t="0" r="0" b="0"/>
            <wp:docPr id="52174306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3333115"/>
                    </a:xfrm>
                    <a:prstGeom prst="rect">
                      <a:avLst/>
                    </a:prstGeom>
                    <a:noFill/>
                    <a:ln>
                      <a:noFill/>
                    </a:ln>
                  </pic:spPr>
                </pic:pic>
              </a:graphicData>
            </a:graphic>
          </wp:inline>
        </w:drawing>
      </w:r>
    </w:p>
    <w:p w14:paraId="46A95A1D" w14:textId="77777777" w:rsidR="00A4494E" w:rsidRPr="00325CBE" w:rsidRDefault="00A038EC">
      <w:pPr>
        <w:pStyle w:val="Textkrper"/>
        <w:spacing w:before="120" w:after="120"/>
        <w:rPr>
          <w:kern w:val="2"/>
          <w:lang w:val="de-DE"/>
        </w:rPr>
      </w:pPr>
      <w:r w:rsidRPr="00325CBE">
        <w:rPr>
          <w:lang w:val="de-DE"/>
        </w:rPr>
        <w:t>Auf dieser Grundlage beschreibt die Leistungsarchitektur von Bauherr Mentoren den Weg von der Diagnose zur Anwendung. Sie ist kein Methodenbaukasten und keine Sammlung einzelner Spezialleistungen. Sie zeigt, wie die Bauherrenorganisation ihre nichtdelegierbaren Verantwortungen sichtbar, entscheidungsfähig, nachweisbar und dauerhaft ausübbar macht.</w:t>
      </w:r>
    </w:p>
    <w:p w14:paraId="69F2DE14" w14:textId="77777777" w:rsidR="00A4494E" w:rsidRPr="00325CBE" w:rsidRDefault="00A038EC">
      <w:pPr>
        <w:pStyle w:val="Textkrper"/>
        <w:spacing w:before="120" w:after="120"/>
        <w:rPr>
          <w:kern w:val="2"/>
          <w:lang w:val="de-DE"/>
        </w:rPr>
      </w:pPr>
      <w:r w:rsidRPr="00325CBE">
        <w:rPr>
          <w:lang w:val="de-DE"/>
        </w:rPr>
        <w:t>Der Umsetzungspfad folgt einer einfachen Logik: Diagnose, Konzeption, Pilotierung, Befähigung und Übergang in den Regelbetrieb. Für laufende Projekte mit eingeschränkter Steuerbarkeit kommt die MVG-Neuinitialisierung als gezieltes Sonderformat hinzu.</w:t>
      </w:r>
    </w:p>
    <w:p w14:paraId="253E936A" w14:textId="77777777" w:rsidR="00A4494E" w:rsidRPr="00325CBE" w:rsidRDefault="00A038EC">
      <w:pPr>
        <w:pStyle w:val="Compact"/>
        <w:numPr>
          <w:ilvl w:val="0"/>
          <w:numId w:val="6"/>
        </w:numPr>
        <w:spacing w:before="120" w:after="120"/>
        <w:rPr>
          <w:kern w:val="2"/>
          <w:lang w:val="de-DE"/>
        </w:rPr>
      </w:pPr>
      <w:r w:rsidRPr="00325CBE">
        <w:rPr>
          <w:lang w:val="de-DE"/>
        </w:rPr>
        <w:t>MVG-Reifegradanalyse</w:t>
      </w:r>
    </w:p>
    <w:p w14:paraId="6CA9FD6E" w14:textId="77777777" w:rsidR="00A4494E" w:rsidRPr="00325CBE" w:rsidRDefault="00A038EC">
      <w:pPr>
        <w:pStyle w:val="Compact"/>
        <w:numPr>
          <w:ilvl w:val="0"/>
          <w:numId w:val="7"/>
        </w:numPr>
        <w:spacing w:before="120" w:after="120"/>
        <w:rPr>
          <w:lang w:val="de-DE"/>
        </w:rPr>
      </w:pPr>
      <w:r w:rsidRPr="00325CBE">
        <w:rPr>
          <w:lang w:val="de-DE"/>
        </w:rPr>
        <w:t>MVG-Konzeption</w:t>
      </w:r>
    </w:p>
    <w:p w14:paraId="506C6071" w14:textId="77777777" w:rsidR="00A4494E" w:rsidRPr="00325CBE" w:rsidRDefault="00A038EC">
      <w:pPr>
        <w:pStyle w:val="Compact"/>
        <w:numPr>
          <w:ilvl w:val="0"/>
          <w:numId w:val="8"/>
        </w:numPr>
        <w:spacing w:before="120" w:after="120"/>
        <w:rPr>
          <w:lang w:val="de-DE"/>
        </w:rPr>
      </w:pPr>
      <w:r w:rsidRPr="00325CBE">
        <w:rPr>
          <w:lang w:val="de-DE"/>
        </w:rPr>
        <w:t>Pilotierung und Kalibrierung</w:t>
      </w:r>
    </w:p>
    <w:p w14:paraId="68BCB613" w14:textId="77777777" w:rsidR="00A4494E" w:rsidRPr="00325CBE" w:rsidRDefault="00A038EC">
      <w:pPr>
        <w:pStyle w:val="Compact"/>
        <w:numPr>
          <w:ilvl w:val="0"/>
          <w:numId w:val="9"/>
        </w:numPr>
        <w:spacing w:before="120" w:after="120"/>
        <w:rPr>
          <w:lang w:val="de-DE"/>
        </w:rPr>
      </w:pPr>
      <w:r w:rsidRPr="00325CBE">
        <w:rPr>
          <w:lang w:val="de-DE"/>
        </w:rPr>
        <w:t>Befähigung und Übergabe</w:t>
      </w:r>
    </w:p>
    <w:p w14:paraId="2AA1EDBE" w14:textId="77777777" w:rsidR="00A4494E" w:rsidRPr="00325CBE" w:rsidRDefault="00A038EC">
      <w:pPr>
        <w:pStyle w:val="Compact"/>
        <w:numPr>
          <w:ilvl w:val="0"/>
          <w:numId w:val="10"/>
        </w:numPr>
        <w:spacing w:before="120" w:after="120"/>
        <w:rPr>
          <w:lang w:val="de-DE"/>
        </w:rPr>
      </w:pPr>
      <w:r w:rsidRPr="00325CBE">
        <w:rPr>
          <w:lang w:val="de-DE"/>
        </w:rPr>
        <w:t>MVG-Neuinitialisierung</w:t>
      </w:r>
    </w:p>
    <w:p w14:paraId="212A48A6" w14:textId="77777777" w:rsidR="00A4494E" w:rsidRPr="00325CBE" w:rsidRDefault="00A038EC">
      <w:pPr>
        <w:pStyle w:val="berschrift2"/>
        <w:rPr>
          <w:kern w:val="2"/>
        </w:rPr>
      </w:pPr>
      <w:bookmarkStart w:id="104" w:name="_Toc234746084"/>
      <w:bookmarkStart w:id="105" w:name="_Toc239764938"/>
      <w:r w:rsidRPr="00325CBE">
        <w:t>MVG-Reifegradanalyse</w:t>
      </w:r>
      <w:bookmarkEnd w:id="104"/>
      <w:bookmarkEnd w:id="105"/>
    </w:p>
    <w:p w14:paraId="6E31CBBD" w14:textId="77777777" w:rsidR="00A4494E" w:rsidRPr="00325CBE" w:rsidRDefault="00A038EC">
      <w:pPr>
        <w:pStyle w:val="Textkrper"/>
        <w:spacing w:before="120" w:after="120"/>
        <w:rPr>
          <w:kern w:val="2"/>
          <w:lang w:val="de-DE"/>
        </w:rPr>
      </w:pPr>
      <w:bookmarkStart w:id="106" w:name="_Toc230094087"/>
      <w:r w:rsidRPr="00325CBE">
        <w:rPr>
          <w:lang w:val="de-DE"/>
        </w:rPr>
        <w:t>Die MVG-Reifegradanalyse ist der Einstieg in die neue Leistungsarchitektur. Sie erzeugt typischerweise in 2–4 Wochen ein evidenzbasiertes Lagebild zur Ausübungsfähigkeit des Bauherrn und liefert eine Bewertungsmatrix, Governance-Lücken, eine Entscheidungsliste sowie einen 30/60/90-Tage-Plan. Im Mittelpunkt steht nicht die Frage, ob Projektunterlagen vollständig wirken, sondern ob die Bauherrenorganisation ihre wesentlichen Entscheidungen, Mandate, Risikoannahmen, Freigaben, Datenstände und Nachweise ausreichend beherrscht.</w:t>
      </w:r>
      <w:bookmarkEnd w:id="106"/>
    </w:p>
    <w:p w14:paraId="0761FDC9" w14:textId="0EE09D44" w:rsidR="00A4494E" w:rsidRPr="00325CBE" w:rsidRDefault="00F54134">
      <w:pPr>
        <w:pStyle w:val="Textkrper"/>
        <w:jc w:val="center"/>
        <w:rPr>
          <w:lang w:val="de-DE"/>
        </w:rPr>
      </w:pPr>
      <w:r w:rsidRPr="00325CBE">
        <w:rPr>
          <w:noProof/>
          <w:lang w:val="de-DE"/>
        </w:rPr>
        <w:lastRenderedPageBreak/>
        <w:drawing>
          <wp:inline distT="0" distB="0" distL="0" distR="0" wp14:anchorId="73F8D29A" wp14:editId="3C079F79">
            <wp:extent cx="5971540" cy="3333115"/>
            <wp:effectExtent l="0" t="0" r="0" b="0"/>
            <wp:docPr id="201657375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1540" cy="3333115"/>
                    </a:xfrm>
                    <a:prstGeom prst="rect">
                      <a:avLst/>
                    </a:prstGeom>
                    <a:noFill/>
                    <a:ln>
                      <a:noFill/>
                    </a:ln>
                  </pic:spPr>
                </pic:pic>
              </a:graphicData>
            </a:graphic>
          </wp:inline>
        </w:drawing>
      </w:r>
    </w:p>
    <w:p w14:paraId="5551BFB1" w14:textId="77777777" w:rsidR="00A4494E" w:rsidRPr="00325CBE" w:rsidRDefault="00A038EC">
      <w:pPr>
        <w:pStyle w:val="Textkrper"/>
        <w:rPr>
          <w:lang w:val="de-DE"/>
        </w:rPr>
      </w:pPr>
      <w:r w:rsidRPr="00325CBE">
        <w:rPr>
          <w:lang w:val="de-DE"/>
        </w:rPr>
        <w:t>Die Reifegradbewertung der MVG-Reifegradanalyse bewertet die 10 MVG-Domänen mit 49 Fragen in der Logik Ja = 100, Teilweise = 50 und Nein = 0 auf einer Skala von 0–100. Die Lesart lautet: &lt; 55 kritisch, 55–79 mit Lücken, ≥ 80 steuerbar. Die sechs Verantwortungsfelder strukturieren als Kernmodell die Bauherrenverantwortung; gemessen wird ausschließlich über die 10 Domänen. Die zehn Domänen sind mitsamt ihren Prüffragen im Erhebungsinstrument der MVG-Reifegradanalyse dokumentiert.</w:t>
      </w:r>
    </w:p>
    <w:tbl>
      <w:tblPr>
        <w:tblStyle w:val="Gitternetztabelle4Akzent1"/>
        <w:tblW w:w="5000" w:type="pct"/>
        <w:tblLayout w:type="fixed"/>
        <w:tblLook w:val="04A0" w:firstRow="1" w:lastRow="0" w:firstColumn="1" w:lastColumn="0" w:noHBand="0" w:noVBand="1"/>
      </w:tblPr>
      <w:tblGrid>
        <w:gridCol w:w="1915"/>
        <w:gridCol w:w="7705"/>
      </w:tblGrid>
      <w:tr w:rsidR="00A4494E" w:rsidRPr="00325CBE" w14:paraId="119FA870"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4F81BD"/>
              <w:left w:val="single" w:sz="4" w:space="0" w:color="4F81BD"/>
              <w:bottom w:val="single" w:sz="4" w:space="0" w:color="4F81BD"/>
              <w:right w:val="single" w:sz="4" w:space="0" w:color="4F81BD"/>
            </w:tcBorders>
          </w:tcPr>
          <w:p w14:paraId="3C33C191" w14:textId="77777777" w:rsidR="00A4494E" w:rsidRPr="00325CBE" w:rsidRDefault="00A038EC">
            <w:pPr>
              <w:pStyle w:val="Compact"/>
              <w:spacing w:before="0" w:after="40"/>
              <w:rPr>
                <w:lang w:val="de-DE"/>
              </w:rPr>
            </w:pPr>
            <w:r w:rsidRPr="00325CBE">
              <w:rPr>
                <w:rFonts w:eastAsia="Cambria"/>
                <w:lang w:val="de-DE"/>
              </w:rPr>
              <w:t>Aspekt</w:t>
            </w:r>
          </w:p>
        </w:tc>
        <w:tc>
          <w:tcPr>
            <w:tcW w:w="7531" w:type="dxa"/>
            <w:tcBorders>
              <w:top w:val="single" w:sz="4" w:space="0" w:color="4F81BD"/>
              <w:left w:val="single" w:sz="4" w:space="0" w:color="4F81BD"/>
              <w:bottom w:val="single" w:sz="4" w:space="0" w:color="4F81BD"/>
              <w:right w:val="single" w:sz="4" w:space="0" w:color="4F81BD"/>
            </w:tcBorders>
          </w:tcPr>
          <w:p w14:paraId="2895B078"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Beschreibung</w:t>
            </w:r>
          </w:p>
        </w:tc>
      </w:tr>
      <w:tr w:rsidR="00A4494E" w:rsidRPr="00325CBE" w14:paraId="72AA904B"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350D970C" w14:textId="77777777" w:rsidR="00A4494E" w:rsidRPr="00325CBE" w:rsidRDefault="00A038EC">
            <w:pPr>
              <w:pStyle w:val="Compact"/>
              <w:spacing w:before="0" w:after="40"/>
              <w:rPr>
                <w:lang w:val="de-DE"/>
              </w:rPr>
            </w:pPr>
            <w:r w:rsidRPr="00325CBE">
              <w:rPr>
                <w:rFonts w:eastAsia="Cambria"/>
                <w:lang w:val="de-DE"/>
              </w:rPr>
              <w:t>Zweck</w:t>
            </w:r>
          </w:p>
        </w:tc>
        <w:tc>
          <w:tcPr>
            <w:tcW w:w="7531" w:type="dxa"/>
          </w:tcPr>
          <w:p w14:paraId="65687056"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Schnelles Lagebild der bauherrenseitigen Entscheidungs- und Nachweis­fähigkeit.</w:t>
            </w:r>
          </w:p>
        </w:tc>
      </w:tr>
      <w:tr w:rsidR="00A4494E" w:rsidRPr="00325CBE" w14:paraId="2B240450"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872" w:type="dxa"/>
          </w:tcPr>
          <w:p w14:paraId="146E9385" w14:textId="77777777" w:rsidR="00A4494E" w:rsidRPr="00325CBE" w:rsidRDefault="00A038EC">
            <w:pPr>
              <w:pStyle w:val="Compact"/>
              <w:spacing w:before="0" w:after="40"/>
              <w:rPr>
                <w:lang w:val="de-DE"/>
              </w:rPr>
            </w:pPr>
            <w:r w:rsidRPr="00325CBE">
              <w:rPr>
                <w:rFonts w:eastAsia="Cambria"/>
                <w:lang w:val="de-DE"/>
              </w:rPr>
              <w:t>Typische Ausgangslage</w:t>
            </w:r>
          </w:p>
        </w:tc>
        <w:tc>
          <w:tcPr>
            <w:tcW w:w="7531" w:type="dxa"/>
          </w:tcPr>
          <w:p w14:paraId="711E1BF9"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Unklare Mandate, Entscheidungsstau, divergierende Datenstände, Brüche bei Freigaben sowie schleichende Risiko- oder Änderungsentwicklungen.</w:t>
            </w:r>
          </w:p>
        </w:tc>
      </w:tr>
      <w:tr w:rsidR="00A4494E" w:rsidRPr="00325CBE" w14:paraId="13A75BAD"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1FC6376C" w14:textId="77777777" w:rsidR="00A4494E" w:rsidRPr="00325CBE" w:rsidRDefault="00A038EC">
            <w:pPr>
              <w:pStyle w:val="Compact"/>
              <w:spacing w:before="0" w:after="40"/>
              <w:rPr>
                <w:lang w:val="de-DE"/>
              </w:rPr>
            </w:pPr>
            <w:r w:rsidRPr="00325CBE">
              <w:rPr>
                <w:rFonts w:eastAsia="Cambria"/>
                <w:lang w:val="de-DE"/>
              </w:rPr>
              <w:t>Zentrale Arbeitsfragen</w:t>
            </w:r>
          </w:p>
        </w:tc>
        <w:tc>
          <w:tcPr>
            <w:tcW w:w="7531" w:type="dxa"/>
          </w:tcPr>
          <w:p w14:paraId="1248F338"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kern w:val="2"/>
                <w:lang w:val="de-DE"/>
              </w:rPr>
            </w:pPr>
            <w:r w:rsidRPr="00325CBE">
              <w:rPr>
                <w:rFonts w:eastAsia="Cambria"/>
                <w:color w:val="000000"/>
                <w:lang w:val="de-DE"/>
              </w:rPr>
              <w:t>Welche Entscheidungen sind kritisch? Welche Verantwortung bleibt beim Bauherrn? Welche Mandate fehlen? Welche Datenstände sind widersprüchlich? Welche Entscheidungen sind noch nicht entscheidungsreif?</w:t>
            </w:r>
          </w:p>
        </w:tc>
      </w:tr>
      <w:tr w:rsidR="00A4494E" w:rsidRPr="00325CBE" w14:paraId="6F16FD2F"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872" w:type="dxa"/>
          </w:tcPr>
          <w:p w14:paraId="1674B565" w14:textId="77777777" w:rsidR="00A4494E" w:rsidRPr="00325CBE" w:rsidRDefault="00A038EC">
            <w:pPr>
              <w:pStyle w:val="Compact"/>
              <w:spacing w:before="0" w:after="40"/>
              <w:rPr>
                <w:lang w:val="de-DE"/>
              </w:rPr>
            </w:pPr>
            <w:r w:rsidRPr="00325CBE">
              <w:rPr>
                <w:rFonts w:eastAsia="Cambria"/>
                <w:lang w:val="de-DE"/>
              </w:rPr>
              <w:t>Typische Ergebnisse</w:t>
            </w:r>
          </w:p>
        </w:tc>
        <w:tc>
          <w:tcPr>
            <w:tcW w:w="7531" w:type="dxa"/>
          </w:tcPr>
          <w:p w14:paraId="165FAA5A"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rFonts w:eastAsia="Cambria"/>
                <w:lang w:val="de-DE"/>
              </w:rPr>
            </w:pPr>
            <w:r w:rsidRPr="00325CBE">
              <w:rPr>
                <w:rFonts w:eastAsia="Cambria"/>
                <w:lang w:val="de-DE"/>
              </w:rPr>
              <w:t>Bewertungsmatrix, wichtigste Risiken, Verantwortungslücken, Entscheidungsliste, 30/60/90-Tage-Plan.</w:t>
            </w:r>
          </w:p>
        </w:tc>
      </w:tr>
      <w:tr w:rsidR="00A4494E" w:rsidRPr="00325CBE" w14:paraId="7DEB4422"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5FFBE0A5" w14:textId="77777777" w:rsidR="00A4494E" w:rsidRPr="00325CBE" w:rsidRDefault="00A038EC">
            <w:pPr>
              <w:pStyle w:val="Compact"/>
              <w:spacing w:before="0" w:after="40"/>
              <w:rPr>
                <w:lang w:val="de-DE"/>
              </w:rPr>
            </w:pPr>
            <w:r w:rsidRPr="00325CBE">
              <w:rPr>
                <w:rFonts w:eastAsia="Cambria"/>
                <w:lang w:val="de-DE"/>
              </w:rPr>
              <w:t>Rolle des Bauherrn</w:t>
            </w:r>
          </w:p>
        </w:tc>
        <w:tc>
          <w:tcPr>
            <w:tcW w:w="7531" w:type="dxa"/>
          </w:tcPr>
          <w:p w14:paraId="5CE5FB6C"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Benennung einer verantwortlichen Rolle, Bereitstellung der Kernunterlagen, Teilnahme an Gesprächen und am Management­bericht, Entscheidung über Prioritäten.</w:t>
            </w:r>
          </w:p>
        </w:tc>
      </w:tr>
      <w:tr w:rsidR="00A4494E" w:rsidRPr="00325CBE" w14:paraId="3E3E7C7D"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872" w:type="dxa"/>
          </w:tcPr>
          <w:p w14:paraId="45A1CDC1" w14:textId="77777777" w:rsidR="00A4494E" w:rsidRPr="00325CBE" w:rsidRDefault="00A038EC">
            <w:pPr>
              <w:pStyle w:val="Compact"/>
              <w:spacing w:before="0" w:after="40"/>
              <w:rPr>
                <w:lang w:val="de-DE"/>
              </w:rPr>
            </w:pPr>
            <w:r w:rsidRPr="00325CBE">
              <w:rPr>
                <w:rFonts w:eastAsia="Cambria"/>
                <w:lang w:val="de-DE"/>
              </w:rPr>
              <w:t>Rolle von Bauherr Mentoren</w:t>
            </w:r>
          </w:p>
        </w:tc>
        <w:tc>
          <w:tcPr>
            <w:tcW w:w="7531" w:type="dxa"/>
          </w:tcPr>
          <w:p w14:paraId="6B5F3343"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Diagnose, Strukturierung, Moderation, Verdichtung, Empfehlung und priorisierte Umsetzungslogik.</w:t>
            </w:r>
          </w:p>
        </w:tc>
      </w:tr>
    </w:tbl>
    <w:p w14:paraId="7E3A97A8" w14:textId="77777777" w:rsidR="00A4494E" w:rsidRPr="00325CBE" w:rsidRDefault="00A038EC">
      <w:pPr>
        <w:pStyle w:val="berschrift2"/>
        <w:rPr>
          <w:kern w:val="2"/>
        </w:rPr>
      </w:pPr>
      <w:bookmarkStart w:id="107" w:name="mvg-readiness-check"/>
      <w:bookmarkStart w:id="108" w:name="_Toc234746085"/>
      <w:bookmarkStart w:id="109" w:name="_Toc239764939"/>
      <w:bookmarkEnd w:id="107"/>
      <w:r w:rsidRPr="00325CBE">
        <w:t>MVG-Konzeption</w:t>
      </w:r>
      <w:bookmarkEnd w:id="108"/>
      <w:bookmarkEnd w:id="109"/>
    </w:p>
    <w:p w14:paraId="28D8F67A" w14:textId="77777777" w:rsidR="00A4494E" w:rsidRPr="00325CBE" w:rsidRDefault="00A038EC">
      <w:pPr>
        <w:pStyle w:val="Textkrper"/>
        <w:rPr>
          <w:kern w:val="2"/>
          <w:lang w:val="de-DE"/>
        </w:rPr>
      </w:pPr>
      <w:r w:rsidRPr="00325CBE">
        <w:rPr>
          <w:lang w:val="de-DE"/>
        </w:rPr>
        <w:t>Die MVG-Konzeption übersetzt den Befund in ein konkretes Bauherren-Führungsmodell. Sie definiert Zielsystem, Mandatsmodell, Leistungsphasen- und Freigabemodell, System der Entscheidungs-IDs, Datenstandslogik, Eskalation, Risiko-/Änderungs-/Maßnahmenverknüpfung und die Logik des Betriebshandbuchs.</w:t>
      </w:r>
    </w:p>
    <w:tbl>
      <w:tblPr>
        <w:tblStyle w:val="Gitternetztabelle4Akzent1"/>
        <w:tblW w:w="5000" w:type="pct"/>
        <w:tblLayout w:type="fixed"/>
        <w:tblLook w:val="04A0" w:firstRow="1" w:lastRow="0" w:firstColumn="1" w:lastColumn="0" w:noHBand="0" w:noVBand="1"/>
      </w:tblPr>
      <w:tblGrid>
        <w:gridCol w:w="2008"/>
        <w:gridCol w:w="7612"/>
      </w:tblGrid>
      <w:tr w:rsidR="00A4494E" w:rsidRPr="00325CBE" w14:paraId="1933D880"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63" w:type="dxa"/>
            <w:tcBorders>
              <w:top w:val="single" w:sz="4" w:space="0" w:color="4F81BD"/>
              <w:left w:val="single" w:sz="4" w:space="0" w:color="4F81BD"/>
              <w:bottom w:val="single" w:sz="4" w:space="0" w:color="4F81BD"/>
              <w:right w:val="single" w:sz="4" w:space="0" w:color="4F81BD"/>
            </w:tcBorders>
          </w:tcPr>
          <w:p w14:paraId="26747645" w14:textId="77777777" w:rsidR="00A4494E" w:rsidRPr="00325CBE" w:rsidRDefault="00A038EC">
            <w:pPr>
              <w:pStyle w:val="Compact"/>
              <w:spacing w:before="0" w:after="40"/>
              <w:rPr>
                <w:lang w:val="de-DE"/>
              </w:rPr>
            </w:pPr>
            <w:r w:rsidRPr="00325CBE">
              <w:rPr>
                <w:rFonts w:eastAsia="Cambria"/>
                <w:lang w:val="de-DE"/>
              </w:rPr>
              <w:lastRenderedPageBreak/>
              <w:t>Aspekt</w:t>
            </w:r>
          </w:p>
        </w:tc>
        <w:tc>
          <w:tcPr>
            <w:tcW w:w="7440" w:type="dxa"/>
            <w:tcBorders>
              <w:top w:val="single" w:sz="4" w:space="0" w:color="4F81BD"/>
              <w:left w:val="single" w:sz="4" w:space="0" w:color="4F81BD"/>
              <w:bottom w:val="single" w:sz="4" w:space="0" w:color="4F81BD"/>
              <w:right w:val="single" w:sz="4" w:space="0" w:color="4F81BD"/>
            </w:tcBorders>
          </w:tcPr>
          <w:p w14:paraId="5CEA07A3"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Beschreibung</w:t>
            </w:r>
          </w:p>
        </w:tc>
      </w:tr>
      <w:tr w:rsidR="00A4494E" w:rsidRPr="00325CBE" w14:paraId="35783763"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63" w:type="dxa"/>
          </w:tcPr>
          <w:p w14:paraId="750569A2" w14:textId="77777777" w:rsidR="00A4494E" w:rsidRPr="00325CBE" w:rsidRDefault="00A038EC">
            <w:pPr>
              <w:pStyle w:val="Compact"/>
              <w:spacing w:before="0" w:after="40"/>
              <w:rPr>
                <w:lang w:val="de-DE"/>
              </w:rPr>
            </w:pPr>
            <w:r w:rsidRPr="00325CBE">
              <w:rPr>
                <w:rFonts w:eastAsia="Cambria"/>
                <w:lang w:val="de-DE"/>
              </w:rPr>
              <w:t>Zweck</w:t>
            </w:r>
          </w:p>
        </w:tc>
        <w:tc>
          <w:tcPr>
            <w:tcW w:w="7440" w:type="dxa"/>
          </w:tcPr>
          <w:p w14:paraId="6BB26276"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Entwurf eines belastbaren Mandats-, Rollen-, Freigabe- und Entscheidungsmodells.</w:t>
            </w:r>
          </w:p>
        </w:tc>
      </w:tr>
      <w:tr w:rsidR="00A4494E" w:rsidRPr="00325CBE" w14:paraId="505F32FD"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963" w:type="dxa"/>
          </w:tcPr>
          <w:p w14:paraId="5FF1A7CE" w14:textId="77777777" w:rsidR="00A4494E" w:rsidRPr="00325CBE" w:rsidRDefault="00A038EC">
            <w:pPr>
              <w:pStyle w:val="Compact"/>
              <w:spacing w:before="0" w:after="40"/>
              <w:rPr>
                <w:lang w:val="de-DE"/>
              </w:rPr>
            </w:pPr>
            <w:r w:rsidRPr="00325CBE">
              <w:rPr>
                <w:rFonts w:eastAsia="Cambria"/>
                <w:lang w:val="de-DE"/>
              </w:rPr>
              <w:t>Typische Ausgangslage</w:t>
            </w:r>
          </w:p>
        </w:tc>
        <w:tc>
          <w:tcPr>
            <w:tcW w:w="7440" w:type="dxa"/>
          </w:tcPr>
          <w:p w14:paraId="54BF77AE"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Diagnose liegt vor; die Organisation braucht ein funktionsfähiges Mindestmodell.</w:t>
            </w:r>
          </w:p>
        </w:tc>
      </w:tr>
      <w:tr w:rsidR="00A4494E" w:rsidRPr="00325CBE" w14:paraId="3F8FE989"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63" w:type="dxa"/>
          </w:tcPr>
          <w:p w14:paraId="6F33F983" w14:textId="77777777" w:rsidR="00A4494E" w:rsidRPr="00325CBE" w:rsidRDefault="00A038EC">
            <w:pPr>
              <w:pStyle w:val="Compact"/>
              <w:spacing w:before="0" w:after="40"/>
              <w:rPr>
                <w:lang w:val="de-DE"/>
              </w:rPr>
            </w:pPr>
            <w:r w:rsidRPr="00325CBE">
              <w:rPr>
                <w:rFonts w:eastAsia="Cambria"/>
                <w:lang w:val="de-DE"/>
              </w:rPr>
              <w:t>Zentrale Arbeitsfragen</w:t>
            </w:r>
          </w:p>
        </w:tc>
        <w:tc>
          <w:tcPr>
            <w:tcW w:w="7440" w:type="dxa"/>
          </w:tcPr>
          <w:p w14:paraId="37F7FC1E"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Welche Freigaben sind für das Projekt verbindlich? Welche Entscheidungen sind wesentlich? Welche Schwellen gelten? Welche Datenstände müssen je Entscheidung referenziert werden?</w:t>
            </w:r>
          </w:p>
        </w:tc>
      </w:tr>
      <w:tr w:rsidR="00A4494E" w:rsidRPr="00325CBE" w14:paraId="358B6845"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963" w:type="dxa"/>
          </w:tcPr>
          <w:p w14:paraId="0EFEF00F" w14:textId="77777777" w:rsidR="00A4494E" w:rsidRPr="00325CBE" w:rsidRDefault="00A038EC">
            <w:pPr>
              <w:pStyle w:val="Compact"/>
              <w:spacing w:before="0" w:after="40"/>
              <w:rPr>
                <w:lang w:val="de-DE"/>
              </w:rPr>
            </w:pPr>
            <w:r w:rsidRPr="00325CBE">
              <w:rPr>
                <w:rFonts w:eastAsia="Cambria"/>
                <w:lang w:val="de-DE"/>
              </w:rPr>
              <w:t>Typische Ergebnisse</w:t>
            </w:r>
          </w:p>
        </w:tc>
        <w:tc>
          <w:tcPr>
            <w:tcW w:w="7440" w:type="dxa"/>
          </w:tcPr>
          <w:p w14:paraId="654C2745"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Zielsystem, Mandatsmodell, Leistungsphasen- und Freigabemodell, System der Entscheidungs-IDs, Datenstandslogik, Eskalationslogik, Struktur des Betriebshandbuchs.</w:t>
            </w:r>
          </w:p>
        </w:tc>
      </w:tr>
      <w:tr w:rsidR="00A4494E" w:rsidRPr="00325CBE" w14:paraId="021AF898"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63" w:type="dxa"/>
          </w:tcPr>
          <w:p w14:paraId="402BEF9D" w14:textId="77777777" w:rsidR="00A4494E" w:rsidRPr="00325CBE" w:rsidRDefault="00A038EC">
            <w:pPr>
              <w:pStyle w:val="Compact"/>
              <w:spacing w:before="0" w:after="40"/>
              <w:rPr>
                <w:lang w:val="de-DE"/>
              </w:rPr>
            </w:pPr>
            <w:r w:rsidRPr="00325CBE">
              <w:rPr>
                <w:rFonts w:eastAsia="Cambria"/>
                <w:lang w:val="de-DE"/>
              </w:rPr>
              <w:t>Rolle des Bauherrn</w:t>
            </w:r>
          </w:p>
        </w:tc>
        <w:tc>
          <w:tcPr>
            <w:tcW w:w="7440" w:type="dxa"/>
          </w:tcPr>
          <w:p w14:paraId="70943DFD"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Entscheidung über Zielprioritäten, Mandate, Schwellen, das Leistungsphasen- und Freigabemodell sowie die Regelbetriebslogik.</w:t>
            </w:r>
          </w:p>
        </w:tc>
      </w:tr>
      <w:tr w:rsidR="00A4494E" w:rsidRPr="00325CBE" w14:paraId="0349DC49"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963" w:type="dxa"/>
          </w:tcPr>
          <w:p w14:paraId="5FBF7F10" w14:textId="77777777" w:rsidR="00A4494E" w:rsidRPr="00325CBE" w:rsidRDefault="00A038EC">
            <w:pPr>
              <w:pStyle w:val="Compact"/>
              <w:spacing w:before="0" w:after="40"/>
              <w:rPr>
                <w:lang w:val="de-DE"/>
              </w:rPr>
            </w:pPr>
            <w:r w:rsidRPr="00325CBE">
              <w:rPr>
                <w:rFonts w:eastAsia="Cambria"/>
                <w:lang w:val="de-DE"/>
              </w:rPr>
              <w:t>Rolle von Bauherr Mentoren</w:t>
            </w:r>
          </w:p>
        </w:tc>
        <w:tc>
          <w:tcPr>
            <w:tcW w:w="7440" w:type="dxa"/>
          </w:tcPr>
          <w:p w14:paraId="507A6A39"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Konzeption, Strukturierung, Entscheidungsmoderation, Konsolidierung und Operationalisierung.</w:t>
            </w:r>
          </w:p>
        </w:tc>
      </w:tr>
    </w:tbl>
    <w:p w14:paraId="43948C40" w14:textId="77777777" w:rsidR="00A4494E" w:rsidRPr="00325CBE" w:rsidRDefault="00A038EC">
      <w:pPr>
        <w:pStyle w:val="berschrift2"/>
        <w:rPr>
          <w:kern w:val="2"/>
        </w:rPr>
      </w:pPr>
      <w:bookmarkStart w:id="110" w:name="_Toc234746086"/>
      <w:bookmarkStart w:id="111" w:name="_Toc239764940"/>
      <w:r w:rsidRPr="00325CBE">
        <w:t>Pilotierung und Kalibrierung</w:t>
      </w:r>
      <w:bookmarkEnd w:id="110"/>
      <w:bookmarkEnd w:id="111"/>
    </w:p>
    <w:p w14:paraId="34D541C7" w14:textId="1764943F" w:rsidR="00A4494E" w:rsidRPr="00325CBE" w:rsidRDefault="00A038EC">
      <w:pPr>
        <w:pStyle w:val="Textkrper"/>
        <w:rPr>
          <w:kern w:val="2"/>
          <w:lang w:val="de-DE"/>
        </w:rPr>
      </w:pPr>
      <w:r w:rsidRPr="00325CBE">
        <w:rPr>
          <w:lang w:val="de-DE"/>
        </w:rPr>
        <w:t>Pilotierung und Kalibrierung erproben das MVG-Modell an realen Entscheidungen, Freigaben, Risiken oder Änderungen. Die Pilotierung ist notwendig, weil Governance nicht nur auf Papier funktionieren darf. Erst im echten Entscheidungsfall zeigt sich, ob Schwellen praktikabel, Datenstände belastbar, Mandate klar und Gremienunterlagen entscheidungsfähig sind.</w:t>
      </w:r>
    </w:p>
    <w:tbl>
      <w:tblPr>
        <w:tblStyle w:val="Gitternetztabelle4Akzent1"/>
        <w:tblW w:w="5000" w:type="pct"/>
        <w:tblLayout w:type="fixed"/>
        <w:tblLook w:val="04A0" w:firstRow="1" w:lastRow="0" w:firstColumn="1" w:lastColumn="0" w:noHBand="0" w:noVBand="1"/>
      </w:tblPr>
      <w:tblGrid>
        <w:gridCol w:w="2236"/>
        <w:gridCol w:w="7384"/>
      </w:tblGrid>
      <w:tr w:rsidR="00A4494E" w:rsidRPr="00325CBE" w14:paraId="6CF462F0"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6" w:type="dxa"/>
            <w:tcBorders>
              <w:top w:val="single" w:sz="4" w:space="0" w:color="4F81BD"/>
              <w:left w:val="single" w:sz="4" w:space="0" w:color="4F81BD"/>
              <w:bottom w:val="single" w:sz="4" w:space="0" w:color="4F81BD"/>
              <w:right w:val="single" w:sz="4" w:space="0" w:color="4F81BD"/>
            </w:tcBorders>
          </w:tcPr>
          <w:p w14:paraId="7449478E" w14:textId="77777777" w:rsidR="00A4494E" w:rsidRPr="00325CBE" w:rsidRDefault="00A038EC">
            <w:pPr>
              <w:pStyle w:val="Compact"/>
              <w:spacing w:before="0" w:after="40"/>
              <w:rPr>
                <w:lang w:val="de-DE"/>
              </w:rPr>
            </w:pPr>
            <w:r w:rsidRPr="00325CBE">
              <w:rPr>
                <w:rFonts w:eastAsia="Cambria"/>
                <w:lang w:val="de-DE"/>
              </w:rPr>
              <w:t>Aspekt</w:t>
            </w:r>
          </w:p>
        </w:tc>
        <w:tc>
          <w:tcPr>
            <w:tcW w:w="7217" w:type="dxa"/>
            <w:tcBorders>
              <w:top w:val="single" w:sz="4" w:space="0" w:color="4F81BD"/>
              <w:left w:val="single" w:sz="4" w:space="0" w:color="4F81BD"/>
              <w:bottom w:val="single" w:sz="4" w:space="0" w:color="4F81BD"/>
              <w:right w:val="single" w:sz="4" w:space="0" w:color="4F81BD"/>
            </w:tcBorders>
          </w:tcPr>
          <w:p w14:paraId="3A4B11BD"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Beschreibung</w:t>
            </w:r>
          </w:p>
        </w:tc>
      </w:tr>
      <w:tr w:rsidR="00A4494E" w:rsidRPr="00325CBE" w14:paraId="40EE74B9"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6" w:type="dxa"/>
          </w:tcPr>
          <w:p w14:paraId="768484E0" w14:textId="77777777" w:rsidR="00A4494E" w:rsidRPr="00325CBE" w:rsidRDefault="00A038EC">
            <w:pPr>
              <w:pStyle w:val="Compact"/>
              <w:spacing w:before="0" w:after="40"/>
              <w:rPr>
                <w:lang w:val="de-DE"/>
              </w:rPr>
            </w:pPr>
            <w:r w:rsidRPr="00325CBE">
              <w:rPr>
                <w:rFonts w:eastAsia="Cambria"/>
                <w:lang w:val="de-DE"/>
              </w:rPr>
              <w:t>Zweck</w:t>
            </w:r>
          </w:p>
        </w:tc>
        <w:tc>
          <w:tcPr>
            <w:tcW w:w="7217" w:type="dxa"/>
          </w:tcPr>
          <w:p w14:paraId="54EA7099"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Test des Modells an realen Entscheidungs- und Freigabesituationen.</w:t>
            </w:r>
          </w:p>
        </w:tc>
      </w:tr>
      <w:tr w:rsidR="00A4494E" w:rsidRPr="00325CBE" w14:paraId="6F6AA968"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186" w:type="dxa"/>
          </w:tcPr>
          <w:p w14:paraId="1700C091" w14:textId="77777777" w:rsidR="00A4494E" w:rsidRPr="00325CBE" w:rsidRDefault="00A038EC">
            <w:pPr>
              <w:pStyle w:val="Compact"/>
              <w:spacing w:before="0" w:after="40"/>
              <w:rPr>
                <w:lang w:val="de-DE"/>
              </w:rPr>
            </w:pPr>
            <w:r w:rsidRPr="00325CBE">
              <w:rPr>
                <w:rFonts w:eastAsia="Cambria"/>
                <w:lang w:val="de-DE"/>
              </w:rPr>
              <w:t>Typische Ausgangslage</w:t>
            </w:r>
          </w:p>
        </w:tc>
        <w:tc>
          <w:tcPr>
            <w:tcW w:w="7217" w:type="dxa"/>
          </w:tcPr>
          <w:p w14:paraId="12E8289C"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Entwurf des Bauherren-Führungsmodells liegt vor, muss aber praktisch kalibriert werden.</w:t>
            </w:r>
          </w:p>
        </w:tc>
      </w:tr>
      <w:tr w:rsidR="00A4494E" w:rsidRPr="00325CBE" w14:paraId="10584C1B"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6" w:type="dxa"/>
          </w:tcPr>
          <w:p w14:paraId="69F1F895" w14:textId="77777777" w:rsidR="00A4494E" w:rsidRPr="00325CBE" w:rsidRDefault="00A038EC">
            <w:pPr>
              <w:pStyle w:val="Compact"/>
              <w:spacing w:before="0" w:after="40"/>
              <w:rPr>
                <w:lang w:val="de-DE"/>
              </w:rPr>
            </w:pPr>
            <w:r w:rsidRPr="00325CBE">
              <w:rPr>
                <w:rFonts w:eastAsia="Cambria"/>
                <w:lang w:val="de-DE"/>
              </w:rPr>
              <w:t>Zentrale Arbeitsfragen</w:t>
            </w:r>
          </w:p>
        </w:tc>
        <w:tc>
          <w:tcPr>
            <w:tcW w:w="7217" w:type="dxa"/>
          </w:tcPr>
          <w:p w14:paraId="02DA6B70"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Funktionieren Entscheidungs-IDs? Sind die Freigabeanforderungen angemessen? Sind Schwellen verständlich? Können Gremien entscheiden?</w:t>
            </w:r>
          </w:p>
        </w:tc>
      </w:tr>
      <w:tr w:rsidR="00A4494E" w:rsidRPr="00325CBE" w14:paraId="374552F6"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186" w:type="dxa"/>
          </w:tcPr>
          <w:p w14:paraId="266C65EE" w14:textId="77777777" w:rsidR="00A4494E" w:rsidRPr="00325CBE" w:rsidRDefault="00A038EC">
            <w:pPr>
              <w:pStyle w:val="Compact"/>
              <w:spacing w:before="0" w:after="40"/>
              <w:rPr>
                <w:lang w:val="de-DE"/>
              </w:rPr>
            </w:pPr>
            <w:r w:rsidRPr="00325CBE">
              <w:rPr>
                <w:rFonts w:eastAsia="Cambria"/>
                <w:lang w:val="de-DE"/>
              </w:rPr>
              <w:t>Typische Ergebnisse</w:t>
            </w:r>
          </w:p>
        </w:tc>
        <w:tc>
          <w:tcPr>
            <w:tcW w:w="7217" w:type="dxa"/>
          </w:tcPr>
          <w:p w14:paraId="278F15D5"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Berichte zur Pilotierung, kalibrierte Schwellen, angepasste Routinen, Erkenntnisse, Abnahmevorschlag.</w:t>
            </w:r>
          </w:p>
        </w:tc>
      </w:tr>
      <w:tr w:rsidR="00A4494E" w:rsidRPr="00325CBE" w14:paraId="32EF7696"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6" w:type="dxa"/>
          </w:tcPr>
          <w:p w14:paraId="798C8540" w14:textId="77777777" w:rsidR="00A4494E" w:rsidRPr="00325CBE" w:rsidRDefault="00A038EC">
            <w:pPr>
              <w:pStyle w:val="Compact"/>
              <w:spacing w:before="0" w:after="40"/>
              <w:rPr>
                <w:lang w:val="de-DE"/>
              </w:rPr>
            </w:pPr>
            <w:r w:rsidRPr="00325CBE">
              <w:rPr>
                <w:rFonts w:eastAsia="Cambria"/>
                <w:lang w:val="de-DE"/>
              </w:rPr>
              <w:t>Rolle des Bauherrn</w:t>
            </w:r>
          </w:p>
        </w:tc>
        <w:tc>
          <w:tcPr>
            <w:tcW w:w="7217" w:type="dxa"/>
          </w:tcPr>
          <w:p w14:paraId="1EE0D8F2"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Anwendung im echten Entscheidungsfall, Rückmeldung, Freigabe von Anpassungen.</w:t>
            </w:r>
          </w:p>
        </w:tc>
      </w:tr>
      <w:tr w:rsidR="00A4494E" w:rsidRPr="00325CBE" w14:paraId="1FEA9C05"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186" w:type="dxa"/>
          </w:tcPr>
          <w:p w14:paraId="27A51496" w14:textId="77777777" w:rsidR="00A4494E" w:rsidRPr="00325CBE" w:rsidRDefault="00A038EC">
            <w:pPr>
              <w:pStyle w:val="Compact"/>
              <w:spacing w:before="0" w:after="40"/>
              <w:rPr>
                <w:lang w:val="de-DE"/>
              </w:rPr>
            </w:pPr>
            <w:r w:rsidRPr="00325CBE">
              <w:rPr>
                <w:rFonts w:eastAsia="Cambria"/>
                <w:lang w:val="de-DE"/>
              </w:rPr>
              <w:t>Rolle von Bauherr Mentoren</w:t>
            </w:r>
          </w:p>
        </w:tc>
        <w:tc>
          <w:tcPr>
            <w:tcW w:w="7217" w:type="dxa"/>
          </w:tcPr>
          <w:p w14:paraId="03138BE6"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Begleitung, Beobachtung, Kalibrie­rung, Moderation und Konsolidierung der Lernergebnisse.</w:t>
            </w:r>
          </w:p>
        </w:tc>
      </w:tr>
    </w:tbl>
    <w:p w14:paraId="06703EC5" w14:textId="77777777" w:rsidR="00A4494E" w:rsidRPr="00325CBE" w:rsidRDefault="00A038EC">
      <w:pPr>
        <w:pStyle w:val="berschrift2"/>
        <w:rPr>
          <w:kern w:val="2"/>
        </w:rPr>
      </w:pPr>
      <w:bookmarkStart w:id="112" w:name="_Toc234746087"/>
      <w:bookmarkStart w:id="113" w:name="_Toc239764941"/>
      <w:r w:rsidRPr="00325CBE">
        <w:t>Befähigung und Übergabe</w:t>
      </w:r>
      <w:bookmarkEnd w:id="112"/>
      <w:bookmarkEnd w:id="113"/>
    </w:p>
    <w:p w14:paraId="1B24B29B" w14:textId="77777777" w:rsidR="00A4494E" w:rsidRPr="00325CBE" w:rsidRDefault="00A038EC">
      <w:pPr>
        <w:pStyle w:val="Textkrper"/>
        <w:rPr>
          <w:kern w:val="2"/>
          <w:lang w:val="de-DE"/>
        </w:rPr>
      </w:pPr>
      <w:r w:rsidRPr="00325CBE">
        <w:rPr>
          <w:lang w:val="de-DE"/>
        </w:rPr>
        <w:t>Befähigung und Übergabe sind Pflichtbestandteile eines vollständigen MVG-Mandats, weil das Bauherren-Führungsmodell nach Abschluss des Mandats in der Bauherrenorganisation tragfähig weiterlaufen muss.</w:t>
      </w:r>
    </w:p>
    <w:p w14:paraId="69E4B022" w14:textId="77777777" w:rsidR="00A4494E" w:rsidRPr="00325CBE" w:rsidRDefault="00A038EC">
      <w:pPr>
        <w:pStyle w:val="Textkrper"/>
        <w:rPr>
          <w:lang w:val="de-DE"/>
        </w:rPr>
      </w:pPr>
      <w:r w:rsidRPr="00325CBE">
        <w:rPr>
          <w:lang w:val="de-DE"/>
        </w:rPr>
        <w:t xml:space="preserve">Befähigung richtet sich an Bauherren-Projektleitung, </w:t>
      </w:r>
      <w:proofErr w:type="spellStart"/>
      <w:r w:rsidRPr="00325CBE">
        <w:rPr>
          <w:lang w:val="de-DE"/>
        </w:rPr>
        <w:t>Auftraggeberlogik</w:t>
      </w:r>
      <w:proofErr w:type="spellEnd"/>
      <w:r w:rsidRPr="00325CBE">
        <w:rPr>
          <w:lang w:val="de-DE"/>
        </w:rPr>
        <w:t>, PMO, Projektsteuerung, Gremienrollen und ausgewählte Fachrollen. Sie stellt sicher, dass Rollen nicht nur wissen, welche Dokumente existieren, sondern wie sie Entscheidungen vorbereiten, Schwellen anwenden, Datenstände referenzieren, Risiken eskalieren und Freigaben nachhalten.</w:t>
      </w:r>
    </w:p>
    <w:p w14:paraId="054601AA" w14:textId="77777777" w:rsidR="00A4494E" w:rsidRPr="00325CBE" w:rsidRDefault="00A038EC">
      <w:pPr>
        <w:pStyle w:val="Textkrper"/>
        <w:rPr>
          <w:lang w:val="de-DE"/>
        </w:rPr>
      </w:pPr>
      <w:r w:rsidRPr="00325CBE">
        <w:rPr>
          <w:lang w:val="de-DE"/>
        </w:rPr>
        <w:br w:type="column"/>
      </w:r>
    </w:p>
    <w:tbl>
      <w:tblPr>
        <w:tblStyle w:val="Gitternetztabelle4Akzent1"/>
        <w:tblW w:w="5000" w:type="pct"/>
        <w:tblLayout w:type="fixed"/>
        <w:tblLook w:val="04A0" w:firstRow="1" w:lastRow="0" w:firstColumn="1" w:lastColumn="0" w:noHBand="0" w:noVBand="1"/>
      </w:tblPr>
      <w:tblGrid>
        <w:gridCol w:w="2202"/>
        <w:gridCol w:w="7418"/>
      </w:tblGrid>
      <w:tr w:rsidR="00A4494E" w:rsidRPr="00325CBE" w14:paraId="2CD783B8"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2" w:type="dxa"/>
            <w:tcBorders>
              <w:top w:val="single" w:sz="4" w:space="0" w:color="4F81BD"/>
              <w:left w:val="single" w:sz="4" w:space="0" w:color="4F81BD"/>
              <w:bottom w:val="single" w:sz="4" w:space="0" w:color="4F81BD"/>
              <w:right w:val="single" w:sz="4" w:space="0" w:color="4F81BD"/>
            </w:tcBorders>
          </w:tcPr>
          <w:p w14:paraId="69BA8D27" w14:textId="77777777" w:rsidR="00A4494E" w:rsidRPr="00325CBE" w:rsidRDefault="00A038EC">
            <w:pPr>
              <w:pStyle w:val="Compact"/>
              <w:spacing w:before="0" w:after="40"/>
              <w:rPr>
                <w:lang w:val="de-DE"/>
              </w:rPr>
            </w:pPr>
            <w:r w:rsidRPr="00325CBE">
              <w:rPr>
                <w:rFonts w:eastAsia="Cambria"/>
                <w:lang w:val="de-DE"/>
              </w:rPr>
              <w:t>Aspekt</w:t>
            </w:r>
          </w:p>
        </w:tc>
        <w:tc>
          <w:tcPr>
            <w:tcW w:w="7251" w:type="dxa"/>
            <w:tcBorders>
              <w:top w:val="single" w:sz="4" w:space="0" w:color="4F81BD"/>
              <w:left w:val="single" w:sz="4" w:space="0" w:color="4F81BD"/>
              <w:bottom w:val="single" w:sz="4" w:space="0" w:color="4F81BD"/>
              <w:right w:val="single" w:sz="4" w:space="0" w:color="4F81BD"/>
            </w:tcBorders>
          </w:tcPr>
          <w:p w14:paraId="34C60C6D"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Beschreibung</w:t>
            </w:r>
          </w:p>
        </w:tc>
      </w:tr>
      <w:tr w:rsidR="00A4494E" w:rsidRPr="00325CBE" w14:paraId="74EE2FE6"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2" w:type="dxa"/>
          </w:tcPr>
          <w:p w14:paraId="62E506AE" w14:textId="77777777" w:rsidR="00A4494E" w:rsidRPr="00325CBE" w:rsidRDefault="00A038EC">
            <w:pPr>
              <w:pStyle w:val="Compact"/>
              <w:spacing w:before="0" w:after="40"/>
              <w:rPr>
                <w:lang w:val="de-DE"/>
              </w:rPr>
            </w:pPr>
            <w:r w:rsidRPr="00325CBE">
              <w:rPr>
                <w:rFonts w:eastAsia="Cambria"/>
                <w:lang w:val="de-DE"/>
              </w:rPr>
              <w:t>Zweck</w:t>
            </w:r>
          </w:p>
        </w:tc>
        <w:tc>
          <w:tcPr>
            <w:tcW w:w="7251" w:type="dxa"/>
          </w:tcPr>
          <w:p w14:paraId="073E1D14"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Verankerung des MVG-Modells in Schlüsselrollen und Übergabe in den Regelbetrieb.</w:t>
            </w:r>
          </w:p>
        </w:tc>
      </w:tr>
      <w:tr w:rsidR="00A4494E" w:rsidRPr="00325CBE" w14:paraId="5A015659"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152" w:type="dxa"/>
          </w:tcPr>
          <w:p w14:paraId="70B08E20" w14:textId="77777777" w:rsidR="00A4494E" w:rsidRPr="00325CBE" w:rsidRDefault="00A038EC">
            <w:pPr>
              <w:pStyle w:val="Compact"/>
              <w:spacing w:before="0" w:after="40"/>
              <w:rPr>
                <w:lang w:val="de-DE"/>
              </w:rPr>
            </w:pPr>
            <w:r w:rsidRPr="00325CBE">
              <w:rPr>
                <w:rFonts w:eastAsia="Cambria"/>
                <w:lang w:val="de-DE"/>
              </w:rPr>
              <w:t>Typische Ausgangslage</w:t>
            </w:r>
          </w:p>
        </w:tc>
        <w:tc>
          <w:tcPr>
            <w:tcW w:w="7251" w:type="dxa"/>
          </w:tcPr>
          <w:p w14:paraId="40496054"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Das Bauherren-Führungsmodell ist definiert und in der Pilotierung erprobt, aber noch nicht stabil in Routinen überführt.</w:t>
            </w:r>
          </w:p>
        </w:tc>
      </w:tr>
      <w:tr w:rsidR="00A4494E" w:rsidRPr="00325CBE" w14:paraId="25D4F59A"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2" w:type="dxa"/>
          </w:tcPr>
          <w:p w14:paraId="005A7A63" w14:textId="77777777" w:rsidR="00A4494E" w:rsidRPr="00325CBE" w:rsidRDefault="00A038EC">
            <w:pPr>
              <w:pStyle w:val="Compact"/>
              <w:spacing w:before="0" w:after="40"/>
              <w:rPr>
                <w:lang w:val="de-DE"/>
              </w:rPr>
            </w:pPr>
            <w:r w:rsidRPr="00325CBE">
              <w:rPr>
                <w:rFonts w:eastAsia="Cambria"/>
                <w:lang w:val="de-DE"/>
              </w:rPr>
              <w:t>Zentrale Arbeitsfragen</w:t>
            </w:r>
          </w:p>
        </w:tc>
        <w:tc>
          <w:tcPr>
            <w:tcW w:w="7251" w:type="dxa"/>
          </w:tcPr>
          <w:p w14:paraId="2A15EA94"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Wer betreibt das Modell? Wer pflegt welche Routine? Wie werden neue Entscheidungen aufgenommen? Wie wird nachjustiert?</w:t>
            </w:r>
          </w:p>
        </w:tc>
      </w:tr>
      <w:tr w:rsidR="00A4494E" w:rsidRPr="00325CBE" w14:paraId="75D048A5"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152" w:type="dxa"/>
          </w:tcPr>
          <w:p w14:paraId="75DEE1E5" w14:textId="77777777" w:rsidR="00A4494E" w:rsidRPr="00325CBE" w:rsidRDefault="00A038EC">
            <w:pPr>
              <w:pStyle w:val="Compact"/>
              <w:spacing w:before="0" w:after="40"/>
              <w:rPr>
                <w:lang w:val="de-DE"/>
              </w:rPr>
            </w:pPr>
            <w:r w:rsidRPr="00325CBE">
              <w:rPr>
                <w:rFonts w:eastAsia="Cambria"/>
                <w:lang w:val="de-DE"/>
              </w:rPr>
              <w:t>Typische Ergebnisse</w:t>
            </w:r>
          </w:p>
        </w:tc>
        <w:tc>
          <w:tcPr>
            <w:tcW w:w="7251" w:type="dxa"/>
          </w:tcPr>
          <w:p w14:paraId="028CFCF1"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Schulungen, Rollenkarten, Betriebshandbuch, Verbesserungsvorrat, Übergabebericht, Abnahmekriterien.</w:t>
            </w:r>
          </w:p>
        </w:tc>
      </w:tr>
      <w:tr w:rsidR="00A4494E" w:rsidRPr="00325CBE" w14:paraId="6F11A5C0"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2" w:type="dxa"/>
          </w:tcPr>
          <w:p w14:paraId="527FCA65" w14:textId="77777777" w:rsidR="00A4494E" w:rsidRPr="00325CBE" w:rsidRDefault="00A038EC">
            <w:pPr>
              <w:pStyle w:val="Compact"/>
              <w:spacing w:before="0" w:after="40"/>
              <w:rPr>
                <w:lang w:val="de-DE"/>
              </w:rPr>
            </w:pPr>
            <w:r w:rsidRPr="00325CBE">
              <w:rPr>
                <w:rFonts w:eastAsia="Cambria"/>
                <w:lang w:val="de-DE"/>
              </w:rPr>
              <w:t>Rolle des Bauherrn</w:t>
            </w:r>
          </w:p>
        </w:tc>
        <w:tc>
          <w:tcPr>
            <w:tcW w:w="7251" w:type="dxa"/>
          </w:tcPr>
          <w:p w14:paraId="0B845731"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Übernahme der Betriebsverantwortung, Benennung der Rollen, Teilnahme an Befähigungsmaßnahmen und Prüfungen.</w:t>
            </w:r>
          </w:p>
        </w:tc>
      </w:tr>
      <w:tr w:rsidR="00A4494E" w:rsidRPr="00325CBE" w14:paraId="14DEA171"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152" w:type="dxa"/>
          </w:tcPr>
          <w:p w14:paraId="1310A460" w14:textId="77777777" w:rsidR="00A4494E" w:rsidRPr="00325CBE" w:rsidRDefault="00A038EC">
            <w:pPr>
              <w:pStyle w:val="Compact"/>
              <w:spacing w:before="0" w:after="40"/>
              <w:rPr>
                <w:lang w:val="de-DE"/>
              </w:rPr>
            </w:pPr>
            <w:r w:rsidRPr="00325CBE">
              <w:rPr>
                <w:rFonts w:eastAsia="Cambria"/>
                <w:lang w:val="de-DE"/>
              </w:rPr>
              <w:t>Rolle von Bauherr Mentoren</w:t>
            </w:r>
          </w:p>
        </w:tc>
        <w:tc>
          <w:tcPr>
            <w:tcW w:w="7251" w:type="dxa"/>
          </w:tcPr>
          <w:p w14:paraId="007EA077"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Schulung, Praxisbegleitung, Übergabe, Qualitätssicherung und Abschlussbericht.</w:t>
            </w:r>
          </w:p>
        </w:tc>
      </w:tr>
    </w:tbl>
    <w:p w14:paraId="3BE425F9" w14:textId="77777777" w:rsidR="00A4494E" w:rsidRPr="00325CBE" w:rsidRDefault="00A038EC">
      <w:pPr>
        <w:pStyle w:val="berschrift2"/>
        <w:rPr>
          <w:kern w:val="2"/>
        </w:rPr>
      </w:pPr>
      <w:bookmarkStart w:id="114" w:name="_Toc234746088"/>
      <w:bookmarkStart w:id="115" w:name="_Toc239764942"/>
      <w:r w:rsidRPr="00325CBE">
        <w:t>MVG-Neuinitialisierung</w:t>
      </w:r>
      <w:bookmarkEnd w:id="114"/>
      <w:bookmarkEnd w:id="115"/>
    </w:p>
    <w:p w14:paraId="3A919018" w14:textId="77777777" w:rsidR="00A4494E" w:rsidRPr="00325CBE" w:rsidRDefault="00A038EC">
      <w:pPr>
        <w:pStyle w:val="Textkrper"/>
        <w:rPr>
          <w:kern w:val="2"/>
          <w:lang w:val="de-DE"/>
        </w:rPr>
      </w:pPr>
      <w:r w:rsidRPr="00325CBE">
        <w:rPr>
          <w:lang w:val="de-DE"/>
        </w:rPr>
        <w:t>Die MVG-Neuinitialisierung ist ein Sonderformat für laufende Projekte mit eingeschränkter Steuerbarkeit. Sie bedeutet keinen vollständigen Projektneustart, sondern eine gezielte Neuordnung der Steuerungs- und Entscheidungslogik. Kapitel 11 vertieft die typischen Auslöser, die neu zu ordnenden Felder und das Ergebnisbild einer MVG-Neuinitialisierung.</w:t>
      </w:r>
    </w:p>
    <w:tbl>
      <w:tblPr>
        <w:tblStyle w:val="Gitternetztabelle4Akzent1"/>
        <w:tblW w:w="5000" w:type="pct"/>
        <w:tblLayout w:type="fixed"/>
        <w:tblLook w:val="0420" w:firstRow="1" w:lastRow="0" w:firstColumn="0" w:lastColumn="0" w:noHBand="0" w:noVBand="1"/>
      </w:tblPr>
      <w:tblGrid>
        <w:gridCol w:w="1785"/>
        <w:gridCol w:w="7835"/>
      </w:tblGrid>
      <w:tr w:rsidR="00A4494E" w:rsidRPr="00325CBE" w14:paraId="011A7610" w14:textId="77777777" w:rsidTr="00A4494E">
        <w:trPr>
          <w:cnfStyle w:val="100000000000" w:firstRow="1" w:lastRow="0" w:firstColumn="0" w:lastColumn="0" w:oddVBand="0" w:evenVBand="0" w:oddHBand="0" w:evenHBand="0" w:firstRowFirstColumn="0" w:firstRowLastColumn="0" w:lastRowFirstColumn="0" w:lastRowLastColumn="0"/>
          <w:cantSplit/>
        </w:trPr>
        <w:tc>
          <w:tcPr>
            <w:tcW w:w="1745" w:type="dxa"/>
            <w:tcBorders>
              <w:top w:val="single" w:sz="4" w:space="0" w:color="4F81BD"/>
              <w:left w:val="single" w:sz="4" w:space="0" w:color="4F81BD"/>
              <w:bottom w:val="single" w:sz="4" w:space="0" w:color="4F81BD"/>
              <w:right w:val="single" w:sz="4" w:space="0" w:color="4F81BD"/>
            </w:tcBorders>
          </w:tcPr>
          <w:p w14:paraId="67C898E6" w14:textId="77777777" w:rsidR="00A4494E" w:rsidRPr="00325CBE" w:rsidRDefault="00A038EC">
            <w:pPr>
              <w:pStyle w:val="Compact"/>
              <w:spacing w:before="0" w:after="40"/>
              <w:rPr>
                <w:lang w:val="de-DE"/>
              </w:rPr>
            </w:pPr>
            <w:r w:rsidRPr="00325CBE">
              <w:rPr>
                <w:rFonts w:eastAsia="Cambria"/>
                <w:lang w:val="de-DE"/>
              </w:rPr>
              <w:t>Aspekt</w:t>
            </w:r>
          </w:p>
        </w:tc>
        <w:tc>
          <w:tcPr>
            <w:tcW w:w="7658" w:type="dxa"/>
            <w:tcBorders>
              <w:top w:val="single" w:sz="4" w:space="0" w:color="4F81BD"/>
              <w:left w:val="single" w:sz="4" w:space="0" w:color="4F81BD"/>
              <w:bottom w:val="single" w:sz="4" w:space="0" w:color="4F81BD"/>
              <w:right w:val="single" w:sz="4" w:space="0" w:color="4F81BD"/>
            </w:tcBorders>
          </w:tcPr>
          <w:p w14:paraId="159E9DDA" w14:textId="77777777" w:rsidR="00A4494E" w:rsidRPr="00325CBE" w:rsidRDefault="00A038EC">
            <w:pPr>
              <w:pStyle w:val="Compact"/>
              <w:spacing w:before="0" w:after="40"/>
              <w:rPr>
                <w:lang w:val="de-DE"/>
              </w:rPr>
            </w:pPr>
            <w:r w:rsidRPr="00325CBE">
              <w:rPr>
                <w:rFonts w:eastAsia="Cambria"/>
                <w:lang w:val="de-DE"/>
              </w:rPr>
              <w:t>Beschreibung</w:t>
            </w:r>
          </w:p>
        </w:tc>
      </w:tr>
      <w:tr w:rsidR="00A4494E" w:rsidRPr="00325CBE" w14:paraId="78AFD480" w14:textId="77777777" w:rsidTr="00A4494E">
        <w:trPr>
          <w:cnfStyle w:val="000000100000" w:firstRow="0" w:lastRow="0" w:firstColumn="0" w:lastColumn="0" w:oddVBand="0" w:evenVBand="0" w:oddHBand="1" w:evenHBand="0" w:firstRowFirstColumn="0" w:firstRowLastColumn="0" w:lastRowFirstColumn="0" w:lastRowLastColumn="0"/>
          <w:cantSplit/>
        </w:trPr>
        <w:tc>
          <w:tcPr>
            <w:tcW w:w="1745" w:type="dxa"/>
          </w:tcPr>
          <w:p w14:paraId="6F2FEA53" w14:textId="77777777" w:rsidR="00A4494E" w:rsidRPr="00325CBE" w:rsidRDefault="00A038EC">
            <w:pPr>
              <w:pStyle w:val="Compact"/>
              <w:spacing w:before="0" w:after="40"/>
              <w:rPr>
                <w:lang w:val="de-DE"/>
              </w:rPr>
            </w:pPr>
            <w:r w:rsidRPr="00325CBE">
              <w:rPr>
                <w:rFonts w:eastAsia="Cambria"/>
                <w:lang w:val="de-DE"/>
              </w:rPr>
              <w:t>Zweck</w:t>
            </w:r>
          </w:p>
        </w:tc>
        <w:tc>
          <w:tcPr>
            <w:tcW w:w="7658" w:type="dxa"/>
          </w:tcPr>
          <w:p w14:paraId="1C3D59EF" w14:textId="77777777" w:rsidR="00A4494E" w:rsidRPr="00325CBE" w:rsidRDefault="00A038EC">
            <w:pPr>
              <w:pStyle w:val="Compact"/>
              <w:spacing w:before="0" w:after="40"/>
              <w:rPr>
                <w:lang w:val="de-DE"/>
              </w:rPr>
            </w:pPr>
            <w:r w:rsidRPr="00325CBE">
              <w:rPr>
                <w:rFonts w:eastAsia="Cambria"/>
                <w:lang w:val="de-DE"/>
              </w:rPr>
              <w:t>Wiederherstellung belastbarer Steuerungs-, Entscheidungs- und Nachweis­fähigkeit.</w:t>
            </w:r>
          </w:p>
        </w:tc>
      </w:tr>
      <w:tr w:rsidR="00A4494E" w:rsidRPr="00325CBE" w14:paraId="76C954DE" w14:textId="77777777" w:rsidTr="00A4494E">
        <w:trPr>
          <w:cantSplit/>
        </w:trPr>
        <w:tc>
          <w:tcPr>
            <w:tcW w:w="1745" w:type="dxa"/>
          </w:tcPr>
          <w:p w14:paraId="0C7838ED" w14:textId="77777777" w:rsidR="00A4494E" w:rsidRPr="00325CBE" w:rsidRDefault="00A038EC">
            <w:pPr>
              <w:pStyle w:val="Compact"/>
              <w:spacing w:before="0" w:after="40"/>
              <w:rPr>
                <w:lang w:val="de-DE"/>
              </w:rPr>
            </w:pPr>
            <w:r w:rsidRPr="00325CBE">
              <w:rPr>
                <w:rFonts w:eastAsia="Cambria"/>
                <w:lang w:val="de-DE"/>
              </w:rPr>
              <w:t>Typische Ausgangslage</w:t>
            </w:r>
          </w:p>
        </w:tc>
        <w:tc>
          <w:tcPr>
            <w:tcW w:w="7658" w:type="dxa"/>
          </w:tcPr>
          <w:p w14:paraId="7B2C8A7A" w14:textId="77777777" w:rsidR="00A4494E" w:rsidRPr="00325CBE" w:rsidRDefault="00A038EC">
            <w:pPr>
              <w:pStyle w:val="Compact"/>
              <w:spacing w:before="0" w:after="40"/>
              <w:rPr>
                <w:lang w:val="de-DE"/>
              </w:rPr>
            </w:pPr>
            <w:r w:rsidRPr="00325CBE">
              <w:rPr>
                <w:rFonts w:eastAsia="Cambria"/>
                <w:lang w:val="de-DE"/>
              </w:rPr>
              <w:t>Projekt läuft, aber Entscheidungslogik, Datenstände, Prioritäten oder Mandate sind nicht mehr tragfähig.</w:t>
            </w:r>
          </w:p>
        </w:tc>
      </w:tr>
      <w:tr w:rsidR="00A4494E" w:rsidRPr="00325CBE" w14:paraId="3B302945" w14:textId="77777777" w:rsidTr="00A4494E">
        <w:trPr>
          <w:cnfStyle w:val="000000100000" w:firstRow="0" w:lastRow="0" w:firstColumn="0" w:lastColumn="0" w:oddVBand="0" w:evenVBand="0" w:oddHBand="1" w:evenHBand="0" w:firstRowFirstColumn="0" w:firstRowLastColumn="0" w:lastRowFirstColumn="0" w:lastRowLastColumn="0"/>
          <w:cantSplit/>
        </w:trPr>
        <w:tc>
          <w:tcPr>
            <w:tcW w:w="1745" w:type="dxa"/>
          </w:tcPr>
          <w:p w14:paraId="24C9ADE1" w14:textId="77777777" w:rsidR="00A4494E" w:rsidRPr="00325CBE" w:rsidRDefault="00A038EC">
            <w:pPr>
              <w:pStyle w:val="Compact"/>
              <w:spacing w:before="0" w:after="40"/>
              <w:rPr>
                <w:lang w:val="de-DE"/>
              </w:rPr>
            </w:pPr>
            <w:r w:rsidRPr="00325CBE">
              <w:rPr>
                <w:rFonts w:eastAsia="Cambria"/>
                <w:lang w:val="de-DE"/>
              </w:rPr>
              <w:t>Zentrale Arbeitsfragen</w:t>
            </w:r>
          </w:p>
        </w:tc>
        <w:tc>
          <w:tcPr>
            <w:tcW w:w="7658" w:type="dxa"/>
          </w:tcPr>
          <w:p w14:paraId="6820537F" w14:textId="77777777" w:rsidR="00A4494E" w:rsidRPr="00325CBE" w:rsidRDefault="00A038EC">
            <w:pPr>
              <w:pStyle w:val="Compact"/>
              <w:spacing w:before="0" w:after="40"/>
              <w:rPr>
                <w:lang w:val="de-DE"/>
              </w:rPr>
            </w:pPr>
            <w:r w:rsidRPr="00325CBE">
              <w:rPr>
                <w:rFonts w:eastAsia="Cambria"/>
                <w:lang w:val="de-DE"/>
              </w:rPr>
              <w:t>Welche Entscheidungen müssen neu legitimiert werden? Welche Datenstände gelten? Welche Freigaben müssen in der Folge nachgeholt oder wiederholt werden? Welche Prioritäten sind neu zu setzen?</w:t>
            </w:r>
          </w:p>
        </w:tc>
      </w:tr>
      <w:tr w:rsidR="00A4494E" w:rsidRPr="00325CBE" w14:paraId="30A9BFE0" w14:textId="77777777" w:rsidTr="00A4494E">
        <w:trPr>
          <w:cantSplit/>
        </w:trPr>
        <w:tc>
          <w:tcPr>
            <w:tcW w:w="1745" w:type="dxa"/>
          </w:tcPr>
          <w:p w14:paraId="41AC18C1" w14:textId="77777777" w:rsidR="00A4494E" w:rsidRPr="00325CBE" w:rsidRDefault="00A038EC">
            <w:pPr>
              <w:pStyle w:val="Compact"/>
              <w:spacing w:before="0" w:after="40"/>
              <w:rPr>
                <w:lang w:val="de-DE"/>
              </w:rPr>
            </w:pPr>
            <w:r w:rsidRPr="00325CBE">
              <w:rPr>
                <w:rFonts w:eastAsia="Cambria"/>
                <w:lang w:val="de-DE"/>
              </w:rPr>
              <w:t>Typische Ergebnisse</w:t>
            </w:r>
          </w:p>
        </w:tc>
        <w:tc>
          <w:tcPr>
            <w:tcW w:w="7658" w:type="dxa"/>
          </w:tcPr>
          <w:p w14:paraId="023E720B" w14:textId="77777777" w:rsidR="00A4494E" w:rsidRPr="00325CBE" w:rsidRDefault="00A038EC">
            <w:pPr>
              <w:pStyle w:val="Compact"/>
              <w:spacing w:before="0" w:after="40"/>
              <w:rPr>
                <w:lang w:val="de-DE"/>
              </w:rPr>
            </w:pPr>
            <w:r w:rsidRPr="00325CBE">
              <w:rPr>
                <w:rFonts w:eastAsia="Cambria"/>
                <w:lang w:val="de-DE"/>
              </w:rPr>
              <w:t>Governance-Lagebild, Neuordnung offener Entscheidungen, Logik zur Neufestlegung der Projektbasis, Eskalationsplan, stabilisierter Regelbetrieb.</w:t>
            </w:r>
          </w:p>
        </w:tc>
      </w:tr>
      <w:tr w:rsidR="00A4494E" w:rsidRPr="00325CBE" w14:paraId="18130388" w14:textId="77777777" w:rsidTr="00A4494E">
        <w:trPr>
          <w:cnfStyle w:val="000000100000" w:firstRow="0" w:lastRow="0" w:firstColumn="0" w:lastColumn="0" w:oddVBand="0" w:evenVBand="0" w:oddHBand="1" w:evenHBand="0" w:firstRowFirstColumn="0" w:firstRowLastColumn="0" w:lastRowFirstColumn="0" w:lastRowLastColumn="0"/>
          <w:cantSplit/>
        </w:trPr>
        <w:tc>
          <w:tcPr>
            <w:tcW w:w="1745" w:type="dxa"/>
          </w:tcPr>
          <w:p w14:paraId="7B32D0D6" w14:textId="77777777" w:rsidR="00A4494E" w:rsidRPr="00325CBE" w:rsidRDefault="00A038EC">
            <w:pPr>
              <w:pStyle w:val="Compact"/>
              <w:spacing w:before="0" w:after="40"/>
              <w:rPr>
                <w:lang w:val="de-DE"/>
              </w:rPr>
            </w:pPr>
            <w:r w:rsidRPr="00325CBE">
              <w:rPr>
                <w:rFonts w:eastAsia="Cambria"/>
                <w:lang w:val="de-DE"/>
              </w:rPr>
              <w:t>Rolle des Bauherrn</w:t>
            </w:r>
          </w:p>
        </w:tc>
        <w:tc>
          <w:tcPr>
            <w:tcW w:w="7658" w:type="dxa"/>
          </w:tcPr>
          <w:p w14:paraId="67829820" w14:textId="77777777" w:rsidR="00A4494E" w:rsidRPr="00325CBE" w:rsidRDefault="00A038EC">
            <w:pPr>
              <w:pStyle w:val="Compact"/>
              <w:spacing w:before="0" w:after="40"/>
              <w:rPr>
                <w:lang w:val="de-DE"/>
              </w:rPr>
            </w:pPr>
            <w:r w:rsidRPr="00325CBE">
              <w:rPr>
                <w:rFonts w:eastAsia="Cambria"/>
                <w:lang w:val="de-DE"/>
              </w:rPr>
              <w:t>Entscheidung über den Auftrag zur MVG-Neuinitialisierung, Prioritäten, Neufestlegung der Projektbasis, Freigaben und eine neue Mandatslogik.</w:t>
            </w:r>
          </w:p>
        </w:tc>
      </w:tr>
      <w:tr w:rsidR="00A4494E" w:rsidRPr="00325CBE" w14:paraId="3414ADEE" w14:textId="77777777" w:rsidTr="00A4494E">
        <w:trPr>
          <w:cantSplit/>
        </w:trPr>
        <w:tc>
          <w:tcPr>
            <w:tcW w:w="1745" w:type="dxa"/>
          </w:tcPr>
          <w:p w14:paraId="2C7B2E35" w14:textId="77777777" w:rsidR="00A4494E" w:rsidRPr="00325CBE" w:rsidRDefault="00A038EC">
            <w:pPr>
              <w:pStyle w:val="Compact"/>
              <w:spacing w:before="0" w:after="40"/>
              <w:rPr>
                <w:lang w:val="de-DE"/>
              </w:rPr>
            </w:pPr>
            <w:r w:rsidRPr="00325CBE">
              <w:rPr>
                <w:rFonts w:eastAsia="Cambria"/>
                <w:lang w:val="de-DE"/>
              </w:rPr>
              <w:t>Rolle von Bauherr Mentoren</w:t>
            </w:r>
          </w:p>
        </w:tc>
        <w:tc>
          <w:tcPr>
            <w:tcW w:w="7658" w:type="dxa"/>
          </w:tcPr>
          <w:p w14:paraId="0CA86AC5" w14:textId="77777777" w:rsidR="00A4494E" w:rsidRPr="00325CBE" w:rsidRDefault="00A038EC">
            <w:pPr>
              <w:pStyle w:val="Compact"/>
              <w:spacing w:before="0" w:after="40"/>
              <w:rPr>
                <w:lang w:val="de-DE"/>
              </w:rPr>
            </w:pPr>
            <w:r w:rsidRPr="00325CBE">
              <w:rPr>
                <w:rFonts w:eastAsia="Cambria"/>
                <w:lang w:val="de-DE"/>
              </w:rPr>
              <w:t>Strukturierung, Konzeption der MVG-Neuinitialisierung, Moderation, Entscheidungslogik, Übergabe und Stabilisierung.</w:t>
            </w:r>
          </w:p>
        </w:tc>
      </w:tr>
    </w:tbl>
    <w:p w14:paraId="18615D4D" w14:textId="77777777" w:rsidR="00A4494E" w:rsidRPr="00325CBE" w:rsidRDefault="00A038EC">
      <w:pPr>
        <w:pStyle w:val="berschrift2"/>
        <w:rPr>
          <w:kern w:val="2"/>
        </w:rPr>
      </w:pPr>
      <w:bookmarkStart w:id="116" w:name="_Toc234746089"/>
      <w:bookmarkStart w:id="117" w:name="_Toc239764943"/>
      <w:r w:rsidRPr="00325CBE">
        <w:t>Leistungsgrenzen</w:t>
      </w:r>
      <w:bookmarkEnd w:id="116"/>
      <w:bookmarkEnd w:id="117"/>
    </w:p>
    <w:p w14:paraId="6A4524A4" w14:textId="6761C45D" w:rsidR="004262BD" w:rsidRDefault="00A038EC">
      <w:pPr>
        <w:pStyle w:val="Textkrper"/>
        <w:rPr>
          <w:lang w:val="de-DE"/>
        </w:rPr>
      </w:pPr>
      <w:r w:rsidRPr="00325CBE">
        <w:rPr>
          <w:lang w:val="de-DE"/>
        </w:rPr>
        <w:t xml:space="preserve">Bauherr Mentoren übernimmt keine operative Dauer-Projektsteuerung und keine Linienfunktion. BM ersetzt keine Bauherrenentscheidung, keine Gremienentscheidung, keine Fachplanung, keine Bauleitung, keine Objektüberwachung und keine Rechtsberatung. BM übernimmt keine Einführung von Drittsoftware und erbringt keine SaaS-Leistungen; die Bereitstellung des MVG </w:t>
      </w:r>
      <w:proofErr w:type="spellStart"/>
      <w:r w:rsidRPr="00325CBE">
        <w:rPr>
          <w:lang w:val="de-DE"/>
        </w:rPr>
        <w:t>Companions</w:t>
      </w:r>
      <w:proofErr w:type="spellEnd"/>
      <w:r w:rsidRPr="00325CBE">
        <w:rPr>
          <w:lang w:val="de-DE"/>
        </w:rPr>
        <w:t xml:space="preserve"> ist ein methodisches Arbeitsmittel innerhalb der Beratung. BM liefert Struktur, Entscheidungsreife, Mandatsklarheit, Nachweislogik, Befähigung und Übergang in den Regelbetrieb.</w:t>
      </w:r>
    </w:p>
    <w:p w14:paraId="2162D3BD" w14:textId="77777777" w:rsidR="00A4494E" w:rsidRPr="00325CBE" w:rsidRDefault="004262BD">
      <w:pPr>
        <w:pStyle w:val="Textkrper"/>
        <w:rPr>
          <w:kern w:val="2"/>
          <w:lang w:val="de-DE"/>
        </w:rPr>
      </w:pPr>
      <w:r>
        <w:rPr>
          <w:lang w:val="de-DE"/>
        </w:rPr>
        <w:br w:type="column"/>
      </w:r>
    </w:p>
    <w:tbl>
      <w:tblPr>
        <w:tblStyle w:val="Gitternetztabelle4Akzent1"/>
        <w:tblW w:w="5000" w:type="pct"/>
        <w:tblLayout w:type="fixed"/>
        <w:tblLook w:val="04A0" w:firstRow="1" w:lastRow="0" w:firstColumn="1" w:lastColumn="0" w:noHBand="0" w:noVBand="1"/>
      </w:tblPr>
      <w:tblGrid>
        <w:gridCol w:w="1989"/>
        <w:gridCol w:w="3685"/>
        <w:gridCol w:w="3946"/>
      </w:tblGrid>
      <w:tr w:rsidR="00A4494E" w:rsidRPr="00325CBE" w14:paraId="6759E14A"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45" w:type="dxa"/>
            <w:tcBorders>
              <w:top w:val="single" w:sz="4" w:space="0" w:color="4F81BD"/>
              <w:left w:val="single" w:sz="4" w:space="0" w:color="4F81BD"/>
              <w:bottom w:val="single" w:sz="4" w:space="0" w:color="4F81BD"/>
              <w:right w:val="single" w:sz="4" w:space="0" w:color="4F81BD"/>
            </w:tcBorders>
          </w:tcPr>
          <w:p w14:paraId="799BA754" w14:textId="77777777" w:rsidR="00A4494E" w:rsidRPr="00325CBE" w:rsidRDefault="00A038EC">
            <w:pPr>
              <w:pStyle w:val="Compact"/>
              <w:spacing w:before="0" w:after="40"/>
              <w:rPr>
                <w:lang w:val="de-DE"/>
              </w:rPr>
            </w:pPr>
            <w:r w:rsidRPr="00325CBE">
              <w:rPr>
                <w:rFonts w:eastAsia="Cambria"/>
                <w:lang w:val="de-DE"/>
              </w:rPr>
              <w:t>Rolle</w:t>
            </w:r>
          </w:p>
        </w:tc>
        <w:tc>
          <w:tcPr>
            <w:tcW w:w="3602" w:type="dxa"/>
            <w:tcBorders>
              <w:top w:val="single" w:sz="4" w:space="0" w:color="4F81BD"/>
              <w:left w:val="single" w:sz="4" w:space="0" w:color="4F81BD"/>
              <w:bottom w:val="single" w:sz="4" w:space="0" w:color="4F81BD"/>
              <w:right w:val="single" w:sz="4" w:space="0" w:color="4F81BD"/>
            </w:tcBorders>
          </w:tcPr>
          <w:p w14:paraId="636F361A"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proofErr w:type="gramStart"/>
            <w:r w:rsidRPr="00325CBE">
              <w:rPr>
                <w:rFonts w:eastAsia="Cambria"/>
                <w:lang w:val="de-DE"/>
              </w:rPr>
              <w:t>Kann</w:t>
            </w:r>
            <w:proofErr w:type="gramEnd"/>
            <w:r w:rsidRPr="00325CBE">
              <w:rPr>
                <w:rFonts w:eastAsia="Cambria"/>
                <w:lang w:val="de-DE"/>
              </w:rPr>
              <w:t xml:space="preserve"> leisten</w:t>
            </w:r>
          </w:p>
        </w:tc>
        <w:tc>
          <w:tcPr>
            <w:tcW w:w="3857" w:type="dxa"/>
            <w:tcBorders>
              <w:top w:val="single" w:sz="4" w:space="0" w:color="4F81BD"/>
              <w:left w:val="single" w:sz="4" w:space="0" w:color="4F81BD"/>
              <w:bottom w:val="single" w:sz="4" w:space="0" w:color="4F81BD"/>
              <w:right w:val="single" w:sz="4" w:space="0" w:color="4F81BD"/>
            </w:tcBorders>
          </w:tcPr>
          <w:p w14:paraId="3C7B7590"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proofErr w:type="gramStart"/>
            <w:r w:rsidRPr="00325CBE">
              <w:rPr>
                <w:rFonts w:eastAsia="Cambria"/>
                <w:lang w:val="de-DE"/>
              </w:rPr>
              <w:t>Darf</w:t>
            </w:r>
            <w:proofErr w:type="gramEnd"/>
            <w:r w:rsidRPr="00325CBE">
              <w:rPr>
                <w:rFonts w:eastAsia="Cambria"/>
                <w:lang w:val="de-DE"/>
              </w:rPr>
              <w:t xml:space="preserve"> nicht ersetzen</w:t>
            </w:r>
          </w:p>
        </w:tc>
      </w:tr>
      <w:tr w:rsidR="00A4494E" w:rsidRPr="00325CBE" w14:paraId="061D9B47"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45" w:type="dxa"/>
          </w:tcPr>
          <w:p w14:paraId="7E24B4C3" w14:textId="77777777" w:rsidR="00A4494E" w:rsidRPr="00325CBE" w:rsidRDefault="00A038EC">
            <w:pPr>
              <w:pStyle w:val="Compact"/>
              <w:spacing w:before="0" w:after="40"/>
              <w:rPr>
                <w:lang w:val="de-DE"/>
              </w:rPr>
            </w:pPr>
            <w:r w:rsidRPr="00325CBE">
              <w:rPr>
                <w:rFonts w:eastAsia="Cambria"/>
                <w:lang w:val="de-DE"/>
              </w:rPr>
              <w:t>Bauherr Mentoren</w:t>
            </w:r>
          </w:p>
        </w:tc>
        <w:tc>
          <w:tcPr>
            <w:tcW w:w="3602" w:type="dxa"/>
          </w:tcPr>
          <w:p w14:paraId="613797B8"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Diagnose, Konzeption, Moderation, Strukturierung, Pilotierung, Befähigung, Übergabe.</w:t>
            </w:r>
          </w:p>
        </w:tc>
        <w:tc>
          <w:tcPr>
            <w:tcW w:w="3857" w:type="dxa"/>
          </w:tcPr>
          <w:p w14:paraId="2CC469DA"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Bauherrenentscheidung, Linienfunktion, Rechtsberatung, Projektsteuerung im Regelbetrieb.</w:t>
            </w:r>
          </w:p>
        </w:tc>
      </w:tr>
      <w:tr w:rsidR="00A4494E" w:rsidRPr="00325CBE" w14:paraId="11D0035B"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945" w:type="dxa"/>
          </w:tcPr>
          <w:p w14:paraId="38DAA66B" w14:textId="77777777" w:rsidR="00A4494E" w:rsidRPr="00325CBE" w:rsidRDefault="00A038EC">
            <w:pPr>
              <w:pStyle w:val="Compact"/>
              <w:spacing w:before="0" w:after="40"/>
              <w:rPr>
                <w:lang w:val="de-DE"/>
              </w:rPr>
            </w:pPr>
            <w:r w:rsidRPr="00325CBE">
              <w:rPr>
                <w:rFonts w:eastAsia="Cambria"/>
                <w:lang w:val="de-DE"/>
              </w:rPr>
              <w:t>Bauherren-PL</w:t>
            </w:r>
          </w:p>
        </w:tc>
        <w:tc>
          <w:tcPr>
            <w:tcW w:w="3602" w:type="dxa"/>
          </w:tcPr>
          <w:p w14:paraId="372F367B"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Vorbereitung, Koordination, Entscheidungsregister, Eskalation, Nachverfolgung.</w:t>
            </w:r>
          </w:p>
        </w:tc>
        <w:tc>
          <w:tcPr>
            <w:tcW w:w="3857" w:type="dxa"/>
          </w:tcPr>
          <w:p w14:paraId="2949DDD5"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Entscheidung des Bauherrn bzw. Beschlussfassung durch den Bauherrn im Lenkungskreis oberhalb der eigenen Schwelle.</w:t>
            </w:r>
          </w:p>
        </w:tc>
      </w:tr>
      <w:tr w:rsidR="00A4494E" w:rsidRPr="00325CBE" w14:paraId="42CE75EA"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45" w:type="dxa"/>
          </w:tcPr>
          <w:p w14:paraId="741D7EC4" w14:textId="77777777" w:rsidR="00A4494E" w:rsidRPr="00325CBE" w:rsidRDefault="00A038EC">
            <w:pPr>
              <w:pStyle w:val="Compact"/>
              <w:spacing w:before="0" w:after="40"/>
              <w:rPr>
                <w:lang w:val="de-DE"/>
              </w:rPr>
            </w:pPr>
            <w:r w:rsidRPr="00325CBE">
              <w:rPr>
                <w:rFonts w:eastAsia="Cambria"/>
                <w:lang w:val="de-DE"/>
              </w:rPr>
              <w:t>PMO und Projektsteuerung</w:t>
            </w:r>
          </w:p>
        </w:tc>
        <w:tc>
          <w:tcPr>
            <w:tcW w:w="3602" w:type="dxa"/>
          </w:tcPr>
          <w:p w14:paraId="2A9514B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Daten, Takt, Register, Management­berichte, Fortschritts- und Maßnahmenverfolgung.</w:t>
            </w:r>
          </w:p>
        </w:tc>
        <w:tc>
          <w:tcPr>
            <w:tcW w:w="3857" w:type="dxa"/>
          </w:tcPr>
          <w:p w14:paraId="3447D54B"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Zielpriorisierung, Risikoannahme, wesentliche Freigabe ohne Mandat.</w:t>
            </w:r>
          </w:p>
        </w:tc>
      </w:tr>
      <w:tr w:rsidR="00A4494E" w:rsidRPr="00325CBE" w14:paraId="1ABCCCF6"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945" w:type="dxa"/>
          </w:tcPr>
          <w:p w14:paraId="058E596B" w14:textId="77777777" w:rsidR="00A4494E" w:rsidRPr="00325CBE" w:rsidRDefault="00A038EC">
            <w:pPr>
              <w:pStyle w:val="Compact"/>
              <w:spacing w:before="0" w:after="40"/>
              <w:rPr>
                <w:lang w:val="de-DE"/>
              </w:rPr>
            </w:pPr>
            <w:r w:rsidRPr="00325CBE">
              <w:rPr>
                <w:rFonts w:eastAsia="Cambria"/>
                <w:lang w:val="de-DE"/>
              </w:rPr>
              <w:t>Planung / Fachberatung</w:t>
            </w:r>
          </w:p>
        </w:tc>
        <w:tc>
          <w:tcPr>
            <w:tcW w:w="3602" w:type="dxa"/>
          </w:tcPr>
          <w:p w14:paraId="41091551"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Varianten, technische Nachweise, Auswirkungsanalysen, Fachunterlagen.</w:t>
            </w:r>
          </w:p>
        </w:tc>
        <w:tc>
          <w:tcPr>
            <w:tcW w:w="3857" w:type="dxa"/>
          </w:tcPr>
          <w:p w14:paraId="1483AE27"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Bauherrenseitige Abwägung und Freigabeentscheidung.</w:t>
            </w:r>
          </w:p>
        </w:tc>
      </w:tr>
      <w:tr w:rsidR="00A4494E" w:rsidRPr="00325CBE" w14:paraId="4E56D233"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45" w:type="dxa"/>
          </w:tcPr>
          <w:p w14:paraId="580FB515" w14:textId="77777777" w:rsidR="00A4494E" w:rsidRPr="00325CBE" w:rsidRDefault="00A038EC">
            <w:pPr>
              <w:pStyle w:val="Compact"/>
              <w:spacing w:before="0" w:after="40"/>
              <w:rPr>
                <w:lang w:val="de-DE"/>
              </w:rPr>
            </w:pPr>
            <w:r w:rsidRPr="00325CBE">
              <w:rPr>
                <w:rFonts w:eastAsia="Cambria"/>
                <w:lang w:val="de-DE"/>
              </w:rPr>
              <w:t>Recht / Vergabe</w:t>
            </w:r>
          </w:p>
        </w:tc>
        <w:tc>
          <w:tcPr>
            <w:tcW w:w="3602" w:type="dxa"/>
          </w:tcPr>
          <w:p w14:paraId="6DA2DDEA"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Prüfung, Regelkonformität sowie vergabe- und vertragsbezogene Einschätzung.</w:t>
            </w:r>
          </w:p>
        </w:tc>
        <w:tc>
          <w:tcPr>
            <w:tcW w:w="3857" w:type="dxa"/>
          </w:tcPr>
          <w:p w14:paraId="1C283A71"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kern w:val="2"/>
                <w:lang w:val="de-DE"/>
              </w:rPr>
            </w:pPr>
            <w:r w:rsidRPr="00325CBE">
              <w:rPr>
                <w:rFonts w:eastAsia="Cambria"/>
                <w:color w:val="000000"/>
                <w:lang w:val="de-DE"/>
              </w:rPr>
              <w:t>Bauherrenseitige Abwägung, Vergabeentscheidung und operative Bauherrenführung.</w:t>
            </w:r>
          </w:p>
        </w:tc>
      </w:tr>
    </w:tbl>
    <w:p w14:paraId="73CABD80" w14:textId="77777777" w:rsidR="00A4494E" w:rsidRPr="00325CBE" w:rsidRDefault="00A038EC">
      <w:pPr>
        <w:pStyle w:val="Textkrper"/>
        <w:rPr>
          <w:lang w:val="de-DE"/>
        </w:rPr>
      </w:pPr>
      <w:r w:rsidRPr="00325CBE">
        <w:rPr>
          <w:lang w:val="de-DE"/>
        </w:rPr>
        <w:t>Wie diese Leistungspakete zeitlich ineinandergreifen und woran ihr Erfolg gemessen wird, zeigt das folgende Kapitel.</w:t>
      </w:r>
    </w:p>
    <w:p w14:paraId="43D4C293" w14:textId="77777777" w:rsidR="00A4494E" w:rsidRPr="00325CBE" w:rsidRDefault="00A038EC">
      <w:pPr>
        <w:pStyle w:val="berschrift1"/>
        <w:rPr>
          <w:kern w:val="2"/>
          <w:lang w:val="de-DE"/>
        </w:rPr>
      </w:pPr>
      <w:bookmarkStart w:id="118" w:name="_Toc234746090"/>
      <w:bookmarkStart w:id="119" w:name="_Toc239764944"/>
      <w:r w:rsidRPr="00325CBE">
        <w:rPr>
          <w:lang w:val="de-DE"/>
        </w:rPr>
        <w:t>Implementierung – von Diagnose zu Regelbetrieb</w:t>
      </w:r>
      <w:bookmarkEnd w:id="118"/>
      <w:bookmarkEnd w:id="119"/>
    </w:p>
    <w:p w14:paraId="34F007E8" w14:textId="31890A94" w:rsidR="00A4494E" w:rsidRPr="00325CBE" w:rsidRDefault="00A038EC" w:rsidP="004262BD">
      <w:pPr>
        <w:pStyle w:val="Textkrper"/>
        <w:jc w:val="center"/>
        <w:rPr>
          <w:kern w:val="2"/>
          <w:lang w:val="de-DE"/>
        </w:rPr>
      </w:pPr>
      <w:r w:rsidRPr="00325CBE">
        <w:rPr>
          <w:lang w:val="de-DE"/>
        </w:rPr>
        <w:t>MVG wird sequenziert eingeführt. Der Ansatz ist bewusst pragmatisch. Er beginnt mit einem Lagebild, übersetzt dieses in ein funktionsfähiges Mindestmodell, testet das Modell an echten Entscheidungen und übergibt es anschließend in den Regelbetrieb.</w:t>
      </w:r>
      <w:r w:rsidR="00410259" w:rsidRPr="00325CBE">
        <w:rPr>
          <w:noProof/>
          <w:kern w:val="2"/>
          <w:lang w:val="de-DE"/>
        </w:rPr>
        <w:drawing>
          <wp:inline distT="0" distB="0" distL="0" distR="0" wp14:anchorId="04BE46E4" wp14:editId="72DB937B">
            <wp:extent cx="5181600" cy="3366347"/>
            <wp:effectExtent l="0" t="0" r="0" b="0"/>
            <wp:docPr id="94057279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l="1276" t="3424" r="1106" b="2044"/>
                    <a:stretch>
                      <a:fillRect/>
                    </a:stretch>
                  </pic:blipFill>
                  <pic:spPr bwMode="auto">
                    <a:xfrm>
                      <a:off x="0" y="0"/>
                      <a:ext cx="5274015" cy="3426387"/>
                    </a:xfrm>
                    <a:prstGeom prst="rect">
                      <a:avLst/>
                    </a:prstGeom>
                    <a:noFill/>
                    <a:ln>
                      <a:noFill/>
                    </a:ln>
                    <a:extLst>
                      <a:ext uri="{53640926-AAD7-44D8-BBD7-CCE9431645EC}">
                        <a14:shadowObscured xmlns:a14="http://schemas.microsoft.com/office/drawing/2010/main"/>
                      </a:ext>
                    </a:extLst>
                  </pic:spPr>
                </pic:pic>
              </a:graphicData>
            </a:graphic>
          </wp:inline>
        </w:drawing>
      </w:r>
    </w:p>
    <w:p w14:paraId="776C22D3" w14:textId="77777777" w:rsidR="00A4494E" w:rsidRPr="00325CBE" w:rsidRDefault="00A038EC">
      <w:pPr>
        <w:pStyle w:val="berschrift2"/>
        <w:rPr>
          <w:kern w:val="2"/>
        </w:rPr>
      </w:pPr>
      <w:bookmarkStart w:id="120" w:name="_Toc234746091"/>
      <w:bookmarkStart w:id="121" w:name="_Toc239764945"/>
      <w:r w:rsidRPr="00325CBE">
        <w:lastRenderedPageBreak/>
        <w:t>Sequenziertes Vorgehen</w:t>
      </w:r>
      <w:bookmarkEnd w:id="120"/>
      <w:bookmarkEnd w:id="121"/>
    </w:p>
    <w:tbl>
      <w:tblPr>
        <w:tblStyle w:val="Gitternetztabelle4Akzent1"/>
        <w:tblW w:w="5000" w:type="pct"/>
        <w:tblLayout w:type="fixed"/>
        <w:tblLook w:val="04A0" w:firstRow="1" w:lastRow="0" w:firstColumn="1" w:lastColumn="0" w:noHBand="0" w:noVBand="1"/>
      </w:tblPr>
      <w:tblGrid>
        <w:gridCol w:w="1101"/>
        <w:gridCol w:w="1632"/>
        <w:gridCol w:w="1943"/>
        <w:gridCol w:w="1876"/>
        <w:gridCol w:w="1528"/>
        <w:gridCol w:w="1540"/>
      </w:tblGrid>
      <w:tr w:rsidR="00A4494E" w:rsidRPr="00325CBE" w14:paraId="6AF1300E"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6" w:type="dxa"/>
            <w:tcBorders>
              <w:top w:val="single" w:sz="4" w:space="0" w:color="4F81BD"/>
              <w:left w:val="single" w:sz="4" w:space="0" w:color="4F81BD"/>
              <w:bottom w:val="single" w:sz="4" w:space="0" w:color="4F81BD"/>
              <w:right w:val="single" w:sz="4" w:space="0" w:color="4F81BD"/>
            </w:tcBorders>
          </w:tcPr>
          <w:p w14:paraId="0A80E6CD" w14:textId="77777777" w:rsidR="00A4494E" w:rsidRPr="00325CBE" w:rsidRDefault="00A038EC">
            <w:pPr>
              <w:pStyle w:val="Compact"/>
              <w:spacing w:before="0" w:after="40"/>
              <w:rPr>
                <w:lang w:val="de-DE"/>
              </w:rPr>
            </w:pPr>
            <w:r w:rsidRPr="00325CBE">
              <w:rPr>
                <w:rFonts w:eastAsia="Cambria"/>
                <w:sz w:val="17"/>
                <w:szCs w:val="17"/>
                <w:lang w:val="de-DE"/>
              </w:rPr>
              <w:t>Vorgehensschritt</w:t>
            </w:r>
          </w:p>
        </w:tc>
        <w:tc>
          <w:tcPr>
            <w:tcW w:w="1595" w:type="dxa"/>
            <w:tcBorders>
              <w:top w:val="single" w:sz="4" w:space="0" w:color="4F81BD"/>
              <w:left w:val="single" w:sz="4" w:space="0" w:color="4F81BD"/>
              <w:bottom w:val="single" w:sz="4" w:space="0" w:color="4F81BD"/>
              <w:right w:val="single" w:sz="4" w:space="0" w:color="4F81BD"/>
            </w:tcBorders>
          </w:tcPr>
          <w:p w14:paraId="0E22FA8D"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Zweck</w:t>
            </w:r>
          </w:p>
        </w:tc>
        <w:tc>
          <w:tcPr>
            <w:tcW w:w="1899" w:type="dxa"/>
            <w:tcBorders>
              <w:top w:val="single" w:sz="4" w:space="0" w:color="4F81BD"/>
              <w:left w:val="single" w:sz="4" w:space="0" w:color="4F81BD"/>
              <w:bottom w:val="single" w:sz="4" w:space="0" w:color="4F81BD"/>
              <w:right w:val="single" w:sz="4" w:space="0" w:color="4F81BD"/>
            </w:tcBorders>
          </w:tcPr>
          <w:p w14:paraId="6EF2AFE9"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Kernaktivitäten</w:t>
            </w:r>
          </w:p>
        </w:tc>
        <w:tc>
          <w:tcPr>
            <w:tcW w:w="1834" w:type="dxa"/>
            <w:tcBorders>
              <w:top w:val="single" w:sz="4" w:space="0" w:color="4F81BD"/>
              <w:left w:val="single" w:sz="4" w:space="0" w:color="4F81BD"/>
              <w:bottom w:val="single" w:sz="4" w:space="0" w:color="4F81BD"/>
              <w:right w:val="single" w:sz="4" w:space="0" w:color="4F81BD"/>
            </w:tcBorders>
          </w:tcPr>
          <w:p w14:paraId="6F5382CA"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Ergebnisse</w:t>
            </w:r>
          </w:p>
        </w:tc>
        <w:tc>
          <w:tcPr>
            <w:tcW w:w="1494" w:type="dxa"/>
            <w:tcBorders>
              <w:top w:val="single" w:sz="4" w:space="0" w:color="4F81BD"/>
              <w:left w:val="single" w:sz="4" w:space="0" w:color="4F81BD"/>
              <w:bottom w:val="single" w:sz="4" w:space="0" w:color="4F81BD"/>
              <w:right w:val="single" w:sz="4" w:space="0" w:color="4F81BD"/>
            </w:tcBorders>
          </w:tcPr>
          <w:p w14:paraId="71CD770A"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Mitwirkung</w:t>
            </w:r>
          </w:p>
        </w:tc>
        <w:tc>
          <w:tcPr>
            <w:tcW w:w="1505" w:type="dxa"/>
            <w:tcBorders>
              <w:top w:val="single" w:sz="4" w:space="0" w:color="4F81BD"/>
              <w:left w:val="single" w:sz="4" w:space="0" w:color="4F81BD"/>
              <w:bottom w:val="single" w:sz="4" w:space="0" w:color="4F81BD"/>
              <w:right w:val="single" w:sz="4" w:space="0" w:color="4F81BD"/>
            </w:tcBorders>
          </w:tcPr>
          <w:p w14:paraId="725CBDFB"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Abnahme</w:t>
            </w:r>
          </w:p>
        </w:tc>
      </w:tr>
      <w:tr w:rsidR="00A4494E" w:rsidRPr="00325CBE" w14:paraId="42A04BF1"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6" w:type="dxa"/>
          </w:tcPr>
          <w:p w14:paraId="41CD7C40" w14:textId="77777777" w:rsidR="00A4494E" w:rsidRPr="00325CBE" w:rsidRDefault="00A038EC">
            <w:pPr>
              <w:pStyle w:val="Compact"/>
              <w:spacing w:before="0" w:after="40"/>
              <w:rPr>
                <w:lang w:val="de-DE"/>
              </w:rPr>
            </w:pPr>
            <w:r w:rsidRPr="00325CBE">
              <w:rPr>
                <w:rFonts w:eastAsia="Cambria"/>
                <w:sz w:val="17"/>
                <w:szCs w:val="17"/>
                <w:lang w:val="de-DE"/>
              </w:rPr>
              <w:t>Einrichtung</w:t>
            </w:r>
          </w:p>
        </w:tc>
        <w:tc>
          <w:tcPr>
            <w:tcW w:w="1595" w:type="dxa"/>
          </w:tcPr>
          <w:p w14:paraId="0324842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Auftrag, Leistungsumfang und Datenzugang klären.</w:t>
            </w:r>
          </w:p>
        </w:tc>
        <w:tc>
          <w:tcPr>
            <w:tcW w:w="1899" w:type="dxa"/>
          </w:tcPr>
          <w:p w14:paraId="2AEDE0DF"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Auftragsklärung, Übersicht der Beteiligten, Datenanforderung, Gesprächsplan, Projektkontext.</w:t>
            </w:r>
          </w:p>
        </w:tc>
        <w:tc>
          <w:tcPr>
            <w:tcW w:w="1834" w:type="dxa"/>
          </w:tcPr>
          <w:p w14:paraId="02D8A0A9"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Bestätigter Leistungsumfang, Datenliste, Terminplan.</w:t>
            </w:r>
          </w:p>
        </w:tc>
        <w:tc>
          <w:tcPr>
            <w:tcW w:w="1494" w:type="dxa"/>
          </w:tcPr>
          <w:p w14:paraId="4B982F1D"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Verantwortliche Rolle benennen, Unterlagenzugang sichern, Gesprächspartner bestätigen.</w:t>
            </w:r>
          </w:p>
        </w:tc>
        <w:tc>
          <w:tcPr>
            <w:tcW w:w="1505" w:type="dxa"/>
          </w:tcPr>
          <w:p w14:paraId="28543C76"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Leistungsumfang und Vorgehen bestätigt.</w:t>
            </w:r>
          </w:p>
        </w:tc>
      </w:tr>
      <w:tr w:rsidR="00A4494E" w:rsidRPr="00325CBE" w14:paraId="5490F340"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076" w:type="dxa"/>
          </w:tcPr>
          <w:p w14:paraId="1A8E248F" w14:textId="77777777" w:rsidR="00A4494E" w:rsidRPr="00325CBE" w:rsidRDefault="00A038EC">
            <w:pPr>
              <w:pStyle w:val="Compact"/>
              <w:spacing w:before="0" w:after="40"/>
              <w:rPr>
                <w:lang w:val="de-DE"/>
              </w:rPr>
            </w:pPr>
            <w:r w:rsidRPr="00325CBE">
              <w:rPr>
                <w:rFonts w:eastAsia="Cambria"/>
                <w:sz w:val="17"/>
                <w:szCs w:val="17"/>
                <w:lang w:val="de-DE"/>
              </w:rPr>
              <w:t>Diagnose</w:t>
            </w:r>
          </w:p>
        </w:tc>
        <w:tc>
          <w:tcPr>
            <w:tcW w:w="1595" w:type="dxa"/>
          </w:tcPr>
          <w:p w14:paraId="5A1D4AC7"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Ausübungsfähigkeit des Bauherrn prüfen.</w:t>
            </w:r>
          </w:p>
        </w:tc>
        <w:tc>
          <w:tcPr>
            <w:tcW w:w="1899" w:type="dxa"/>
          </w:tcPr>
          <w:p w14:paraId="30CAA36A" w14:textId="77777777" w:rsidR="00A4494E" w:rsidRPr="00325CBE" w:rsidRDefault="00A038EC">
            <w:pPr>
              <w:pStyle w:val="Compact"/>
              <w:spacing w:before="0" w:after="40"/>
              <w:ind w:left="-46" w:firstLine="46"/>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Dokumentenprüfung, Gespräche, Sichtung der Entscheidungen, Mandats- und Datenstandsprüfung.</w:t>
            </w:r>
          </w:p>
        </w:tc>
        <w:tc>
          <w:tcPr>
            <w:tcW w:w="1834" w:type="dxa"/>
          </w:tcPr>
          <w:p w14:paraId="68EBDB4B"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rFonts w:eastAsia="Cambria"/>
                <w:lang w:val="de-DE"/>
              </w:rPr>
            </w:pPr>
            <w:r w:rsidRPr="00325CBE">
              <w:rPr>
                <w:rFonts w:eastAsia="Cambria"/>
                <w:sz w:val="17"/>
                <w:szCs w:val="17"/>
                <w:lang w:val="de-DE"/>
              </w:rPr>
              <w:t>Bewertungsmatrix, Governance-Lücken, wichtigste Risiken, Entscheidungsliste, 30/60/90-Tage-Plan.</w:t>
            </w:r>
          </w:p>
        </w:tc>
        <w:tc>
          <w:tcPr>
            <w:tcW w:w="1494" w:type="dxa"/>
          </w:tcPr>
          <w:p w14:paraId="3B48B885"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Gespräche, Management­bericht, Priorisierung.</w:t>
            </w:r>
          </w:p>
        </w:tc>
        <w:tc>
          <w:tcPr>
            <w:tcW w:w="1505" w:type="dxa"/>
          </w:tcPr>
          <w:p w14:paraId="6FDB8BD9"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Befund und Prioritäten bestätigt.</w:t>
            </w:r>
          </w:p>
        </w:tc>
      </w:tr>
      <w:tr w:rsidR="00A4494E" w:rsidRPr="00325CBE" w14:paraId="503E0ABA"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6" w:type="dxa"/>
          </w:tcPr>
          <w:p w14:paraId="57D0BBFC" w14:textId="77777777" w:rsidR="00A4494E" w:rsidRPr="00325CBE" w:rsidRDefault="00A038EC">
            <w:pPr>
              <w:pStyle w:val="Compact"/>
              <w:spacing w:before="0" w:after="40"/>
              <w:rPr>
                <w:lang w:val="de-DE"/>
              </w:rPr>
            </w:pPr>
            <w:r w:rsidRPr="00325CBE">
              <w:rPr>
                <w:rFonts w:eastAsia="Cambria"/>
                <w:sz w:val="17"/>
                <w:szCs w:val="17"/>
                <w:lang w:val="de-DE"/>
              </w:rPr>
              <w:t>Konzeption</w:t>
            </w:r>
          </w:p>
        </w:tc>
        <w:tc>
          <w:tcPr>
            <w:tcW w:w="1595" w:type="dxa"/>
          </w:tcPr>
          <w:p w14:paraId="7DC8954D"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Bauherren-Führungsmodell entwerfen.</w:t>
            </w:r>
          </w:p>
        </w:tc>
        <w:tc>
          <w:tcPr>
            <w:tcW w:w="1899" w:type="dxa"/>
          </w:tcPr>
          <w:p w14:paraId="13149440"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Zielsystem, Mandate, Leistungsphasen- und Freigabemodell, Entscheidungs-IDs, Datenstandslogik, Eskalationswege, Struktur des Betriebshandbuchs.</w:t>
            </w:r>
          </w:p>
        </w:tc>
        <w:tc>
          <w:tcPr>
            <w:tcW w:w="1834" w:type="dxa"/>
          </w:tcPr>
          <w:p w14:paraId="178816AC"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rFonts w:eastAsia="Cambria"/>
                <w:lang w:val="de-DE"/>
              </w:rPr>
            </w:pPr>
            <w:r w:rsidRPr="00325CBE">
              <w:rPr>
                <w:rFonts w:eastAsia="Cambria"/>
                <w:sz w:val="17"/>
                <w:szCs w:val="17"/>
                <w:lang w:val="de-DE"/>
              </w:rPr>
              <w:t>Entwurf des Bauherren-Führungsmodells, Leistungsphasen- und Freigabemodell, Mandatsmodell, System der Entscheidungs-IDs.</w:t>
            </w:r>
          </w:p>
        </w:tc>
        <w:tc>
          <w:tcPr>
            <w:tcW w:w="1494" w:type="dxa"/>
          </w:tcPr>
          <w:p w14:paraId="5ADA7988"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Entscheidungen zu Mandaten, Schwellen, Freigaben und Rollen.</w:t>
            </w:r>
          </w:p>
        </w:tc>
        <w:tc>
          <w:tcPr>
            <w:tcW w:w="1505" w:type="dxa"/>
          </w:tcPr>
          <w:p w14:paraId="0A754754"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Entwurf abgenommen oder mit Auflagen bestätigt.</w:t>
            </w:r>
          </w:p>
        </w:tc>
      </w:tr>
      <w:tr w:rsidR="00A4494E" w:rsidRPr="00325CBE" w14:paraId="191ECC2A"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076" w:type="dxa"/>
          </w:tcPr>
          <w:p w14:paraId="772E57A9" w14:textId="77777777" w:rsidR="00A4494E" w:rsidRPr="00325CBE" w:rsidRDefault="00A038EC">
            <w:pPr>
              <w:pStyle w:val="Compact"/>
              <w:spacing w:before="0" w:after="40"/>
              <w:rPr>
                <w:lang w:val="de-DE"/>
              </w:rPr>
            </w:pPr>
            <w:r w:rsidRPr="00325CBE">
              <w:rPr>
                <w:rFonts w:eastAsia="Cambria"/>
                <w:sz w:val="17"/>
                <w:szCs w:val="17"/>
                <w:lang w:val="de-DE"/>
              </w:rPr>
              <w:t>Pilotierung und Kalibrie­rung</w:t>
            </w:r>
          </w:p>
        </w:tc>
        <w:tc>
          <w:tcPr>
            <w:tcW w:w="1595" w:type="dxa"/>
          </w:tcPr>
          <w:p w14:paraId="47E5E348"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Modell an echten Entscheidungen testen.</w:t>
            </w:r>
          </w:p>
        </w:tc>
        <w:tc>
          <w:tcPr>
            <w:tcW w:w="1899" w:type="dxa"/>
          </w:tcPr>
          <w:p w14:paraId="594D28C8"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Anwendung auf ausgewählte Entscheidungen, Freigaben, Risiken oder Änderungen; Prüfung der Praktikabilität.</w:t>
            </w:r>
          </w:p>
        </w:tc>
        <w:tc>
          <w:tcPr>
            <w:tcW w:w="1834" w:type="dxa"/>
          </w:tcPr>
          <w:p w14:paraId="00226284"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rFonts w:eastAsia="Cambria"/>
                <w:lang w:val="de-DE"/>
              </w:rPr>
            </w:pPr>
            <w:r w:rsidRPr="00325CBE">
              <w:rPr>
                <w:rFonts w:eastAsia="Cambria"/>
                <w:sz w:val="17"/>
                <w:szCs w:val="17"/>
                <w:lang w:val="de-DE"/>
              </w:rPr>
              <w:t>Berichte zur Pilotierung, kalibrierte Schwellen, Erkenntnisse.</w:t>
            </w:r>
          </w:p>
        </w:tc>
        <w:tc>
          <w:tcPr>
            <w:tcW w:w="1494" w:type="dxa"/>
          </w:tcPr>
          <w:p w14:paraId="422A1DF9"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Anwendung im realen Projekt, Rückmeldung, Freigaben.</w:t>
            </w:r>
          </w:p>
        </w:tc>
        <w:tc>
          <w:tcPr>
            <w:tcW w:w="1505" w:type="dxa"/>
          </w:tcPr>
          <w:p w14:paraId="64CC9FE4"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Pilotierung erfolgreich oder Anpassungsbedarf definiert.</w:t>
            </w:r>
          </w:p>
        </w:tc>
      </w:tr>
      <w:tr w:rsidR="00A4494E" w:rsidRPr="00325CBE" w14:paraId="3940DAD2"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6" w:type="dxa"/>
          </w:tcPr>
          <w:p w14:paraId="4D8B3508" w14:textId="77777777" w:rsidR="00A4494E" w:rsidRPr="00325CBE" w:rsidRDefault="00A038EC">
            <w:pPr>
              <w:pStyle w:val="Compact"/>
              <w:spacing w:before="0" w:after="40"/>
              <w:rPr>
                <w:lang w:val="de-DE"/>
              </w:rPr>
            </w:pPr>
            <w:r w:rsidRPr="00325CBE">
              <w:rPr>
                <w:rFonts w:eastAsia="Cambria"/>
                <w:sz w:val="17"/>
                <w:szCs w:val="17"/>
                <w:lang w:val="de-DE"/>
              </w:rPr>
              <w:t>Befähigung</w:t>
            </w:r>
          </w:p>
        </w:tc>
        <w:tc>
          <w:tcPr>
            <w:tcW w:w="1595" w:type="dxa"/>
          </w:tcPr>
          <w:p w14:paraId="707E629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Schlüsselrollen handlungsfähig machen.</w:t>
            </w:r>
          </w:p>
        </w:tc>
        <w:tc>
          <w:tcPr>
            <w:tcW w:w="1899" w:type="dxa"/>
          </w:tcPr>
          <w:p w14:paraId="3B98861B"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Schulungen, Rollenklärungen, Entscheidungsübungen, Regelbetriebslogik.</w:t>
            </w:r>
          </w:p>
        </w:tc>
        <w:tc>
          <w:tcPr>
            <w:tcW w:w="1834" w:type="dxa"/>
          </w:tcPr>
          <w:p w14:paraId="655D9871"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Befähigte Rollen, Verbesserungsvorrat, Vorbereitung der Übergabe.</w:t>
            </w:r>
          </w:p>
        </w:tc>
        <w:tc>
          <w:tcPr>
            <w:tcW w:w="1494" w:type="dxa"/>
          </w:tcPr>
          <w:p w14:paraId="52AE10B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Teilnahme der Schlüsselrollen, Übernahme der Routinen.</w:t>
            </w:r>
          </w:p>
        </w:tc>
        <w:tc>
          <w:tcPr>
            <w:tcW w:w="1505" w:type="dxa"/>
          </w:tcPr>
          <w:p w14:paraId="7AC38135"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7"/>
                <w:szCs w:val="17"/>
                <w:lang w:val="de-DE"/>
              </w:rPr>
              <w:t>Rollen können Modell anwenden.</w:t>
            </w:r>
          </w:p>
        </w:tc>
      </w:tr>
      <w:tr w:rsidR="00A4494E" w:rsidRPr="00325CBE" w14:paraId="6491AC50"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076" w:type="dxa"/>
          </w:tcPr>
          <w:p w14:paraId="08177AD7" w14:textId="77777777" w:rsidR="00A4494E" w:rsidRPr="00325CBE" w:rsidRDefault="00A038EC">
            <w:pPr>
              <w:pStyle w:val="Compact"/>
              <w:spacing w:before="0" w:after="40"/>
              <w:rPr>
                <w:lang w:val="de-DE"/>
              </w:rPr>
            </w:pPr>
            <w:r w:rsidRPr="00325CBE">
              <w:rPr>
                <w:rFonts w:eastAsia="Cambria"/>
                <w:sz w:val="17"/>
                <w:szCs w:val="17"/>
                <w:lang w:val="de-DE"/>
              </w:rPr>
              <w:t>Übergabe</w:t>
            </w:r>
          </w:p>
        </w:tc>
        <w:tc>
          <w:tcPr>
            <w:tcW w:w="1595" w:type="dxa"/>
          </w:tcPr>
          <w:p w14:paraId="07D047B3"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Übergabe in den Regelbetrieb.</w:t>
            </w:r>
          </w:p>
        </w:tc>
        <w:tc>
          <w:tcPr>
            <w:tcW w:w="1899" w:type="dxa"/>
          </w:tcPr>
          <w:p w14:paraId="5C5B5D57"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Betriebshandbuch finalisieren, offene Punkte übergeben, Prüfrhythmus festlegen.</w:t>
            </w:r>
          </w:p>
        </w:tc>
        <w:tc>
          <w:tcPr>
            <w:tcW w:w="1834" w:type="dxa"/>
          </w:tcPr>
          <w:p w14:paraId="3818BF1A"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Betriebshandbuch, Übergabebericht, Betriebsstart.</w:t>
            </w:r>
          </w:p>
        </w:tc>
        <w:tc>
          <w:tcPr>
            <w:tcW w:w="1494" w:type="dxa"/>
          </w:tcPr>
          <w:p w14:paraId="286822E3"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Abnahme erteilen, die verantwortliche Rolle für den Regelbetrieb benennen und den Prüfzyklus bestätigen.</w:t>
            </w:r>
          </w:p>
        </w:tc>
        <w:tc>
          <w:tcPr>
            <w:tcW w:w="1505" w:type="dxa"/>
          </w:tcPr>
          <w:p w14:paraId="3E0F1B28"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7"/>
                <w:szCs w:val="17"/>
                <w:lang w:val="de-DE"/>
              </w:rPr>
              <w:t>Regelbetrieb freigegeben.</w:t>
            </w:r>
          </w:p>
        </w:tc>
      </w:tr>
    </w:tbl>
    <w:p w14:paraId="438C70A6" w14:textId="77777777" w:rsidR="00A4494E" w:rsidRPr="00325CBE" w:rsidRDefault="00A038EC">
      <w:pPr>
        <w:pStyle w:val="berschrift2"/>
        <w:spacing w:before="0"/>
        <w:rPr>
          <w:kern w:val="2"/>
        </w:rPr>
      </w:pPr>
      <w:bookmarkStart w:id="122" w:name="sequenziertes-vorgehen"/>
      <w:bookmarkStart w:id="123" w:name="_Toc234746092"/>
      <w:bookmarkStart w:id="124" w:name="_Toc239764946"/>
      <w:bookmarkEnd w:id="122"/>
      <w:r w:rsidRPr="00325CBE">
        <w:t>30/60/90-Tage-Logik</w:t>
      </w:r>
      <w:bookmarkEnd w:id="123"/>
      <w:bookmarkEnd w:id="124"/>
    </w:p>
    <w:p w14:paraId="7DCA663E" w14:textId="77777777" w:rsidR="00A4494E" w:rsidRPr="00325CBE" w:rsidRDefault="00A038EC">
      <w:pPr>
        <w:pStyle w:val="Textkrper"/>
        <w:spacing w:before="0" w:after="0"/>
        <w:rPr>
          <w:kern w:val="2"/>
          <w:lang w:val="de-DE"/>
        </w:rPr>
      </w:pPr>
      <w:r w:rsidRPr="00325CBE">
        <w:rPr>
          <w:lang w:val="de-DE"/>
        </w:rPr>
        <w:t>Die 30/60/90-Tage-Logik ist ein Orientierungsrahmen nach der MVG-Reifegradanalyse und im Rahmen einer MVG-Neuinitialisierung; sie ist kein allgemeiner Einführungsrhythmus und kein starrer Projektplan.</w:t>
      </w:r>
    </w:p>
    <w:p w14:paraId="58C165D6" w14:textId="77777777" w:rsidR="00A4494E" w:rsidRPr="00325CBE" w:rsidRDefault="00A038EC">
      <w:pPr>
        <w:pStyle w:val="Textkrper"/>
        <w:rPr>
          <w:lang w:val="de-DE"/>
        </w:rPr>
      </w:pPr>
      <w:r w:rsidRPr="00325CBE">
        <w:rPr>
          <w:b/>
          <w:bCs/>
          <w:lang w:val="de-DE"/>
        </w:rPr>
        <w:t>In den ersten 30 Tagen</w:t>
      </w:r>
      <w:r w:rsidRPr="00325CBE">
        <w:rPr>
          <w:lang w:val="de-DE"/>
        </w:rPr>
        <w:t xml:space="preserve"> geht es um Sichtbarkeit: Welche Entscheidungen sind kritisch? Wo fehlen Mandate? Welche Datenstände sind widersprüchlich? Welche Risiken und Änderungen brauchen bauherrenseitige Entscheidung?</w:t>
      </w:r>
    </w:p>
    <w:p w14:paraId="0E6CB2C3" w14:textId="77777777" w:rsidR="00A4494E" w:rsidRPr="00325CBE" w:rsidRDefault="00A038EC">
      <w:pPr>
        <w:pStyle w:val="Textkrper"/>
        <w:rPr>
          <w:lang w:val="de-DE"/>
        </w:rPr>
      </w:pPr>
      <w:r w:rsidRPr="00325CBE">
        <w:rPr>
          <w:b/>
          <w:bCs/>
          <w:lang w:val="de-DE"/>
        </w:rPr>
        <w:t>Bis Tag 60 wird das Mindestmodell aufgebaut: Zielsystem, Mandatslogik, Leistungsphasen- und Freigabemodell, System der Entscheidungs-IDs, Datenstandslogik und Eskalation werden definiert und mit realen Entscheidungspunkten verbunden.</w:t>
      </w:r>
    </w:p>
    <w:p w14:paraId="7B12AB84" w14:textId="2EABC3F3" w:rsidR="00A4494E" w:rsidRPr="00325CBE" w:rsidRDefault="00A038EC">
      <w:pPr>
        <w:pStyle w:val="Textkrper"/>
        <w:rPr>
          <w:lang w:val="de-DE"/>
        </w:rPr>
      </w:pPr>
      <w:r w:rsidRPr="00325CBE">
        <w:rPr>
          <w:b/>
          <w:bCs/>
          <w:lang w:val="de-DE"/>
        </w:rPr>
        <w:t>Bis Tag 90 ist das Modell in Anwendung: Es wird an realen Entscheidungen und, sofern im Projekt anstehend, an den Freigaben zum Abschluss der Leistungsphasen LPH 0–9 erprobt; Schwellen sind kalibriert, Rollen befähigt und der Entwurf des Betriebshandbuchs liegt vor. Die Übergabe schließt an.</w:t>
      </w:r>
    </w:p>
    <w:p w14:paraId="164AEE80" w14:textId="77777777" w:rsidR="00A4494E" w:rsidRPr="00325CBE" w:rsidRDefault="00A038EC">
      <w:pPr>
        <w:pStyle w:val="Textkrper"/>
        <w:spacing w:before="0" w:after="0"/>
        <w:rPr>
          <w:kern w:val="2"/>
          <w:lang w:val="de-DE"/>
        </w:rPr>
      </w:pPr>
      <w:r w:rsidRPr="00325CBE">
        <w:rPr>
          <w:lang w:val="de-DE"/>
        </w:rPr>
        <w:lastRenderedPageBreak/>
        <w:t>Der verbindliche Projektverlauf folgt dem Vorgehensmodell (Einrichtung → Diagnose → Konzeption → Pilotierung → Befähigung → Regelbetrieb); die 30/60/90-Logik priorisiert die ersten Wirkungen nach der Reifegradanalyse.</w:t>
      </w:r>
    </w:p>
    <w:tbl>
      <w:tblPr>
        <w:tblStyle w:val="Gitternetztabelle4Akzent1"/>
        <w:tblW w:w="5000" w:type="pct"/>
        <w:tblLayout w:type="fixed"/>
        <w:tblLook w:val="04A0" w:firstRow="1" w:lastRow="0" w:firstColumn="1" w:lastColumn="0" w:noHBand="0" w:noVBand="1"/>
      </w:tblPr>
      <w:tblGrid>
        <w:gridCol w:w="1383"/>
        <w:gridCol w:w="2836"/>
        <w:gridCol w:w="5401"/>
      </w:tblGrid>
      <w:tr w:rsidR="00A4494E" w:rsidRPr="00325CBE" w14:paraId="3C5AE0B8"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2" w:type="dxa"/>
            <w:tcBorders>
              <w:top w:val="single" w:sz="4" w:space="0" w:color="4F81BD"/>
              <w:left w:val="single" w:sz="4" w:space="0" w:color="4F81BD"/>
              <w:bottom w:val="single" w:sz="4" w:space="0" w:color="4F81BD"/>
              <w:right w:val="single" w:sz="4" w:space="0" w:color="4F81BD"/>
            </w:tcBorders>
          </w:tcPr>
          <w:p w14:paraId="53AC6E9A" w14:textId="77777777" w:rsidR="00A4494E" w:rsidRPr="00325CBE" w:rsidRDefault="00A038EC">
            <w:pPr>
              <w:pStyle w:val="Compact"/>
              <w:spacing w:before="0" w:after="40"/>
              <w:rPr>
                <w:lang w:val="de-DE"/>
              </w:rPr>
            </w:pPr>
            <w:r w:rsidRPr="00325CBE">
              <w:rPr>
                <w:rFonts w:eastAsia="Cambria"/>
                <w:lang w:val="de-DE"/>
              </w:rPr>
              <w:t>Zeitraum</w:t>
            </w:r>
          </w:p>
        </w:tc>
        <w:tc>
          <w:tcPr>
            <w:tcW w:w="2772" w:type="dxa"/>
            <w:tcBorders>
              <w:top w:val="single" w:sz="4" w:space="0" w:color="4F81BD"/>
              <w:left w:val="single" w:sz="4" w:space="0" w:color="4F81BD"/>
              <w:bottom w:val="single" w:sz="4" w:space="0" w:color="4F81BD"/>
              <w:right w:val="single" w:sz="4" w:space="0" w:color="4F81BD"/>
            </w:tcBorders>
          </w:tcPr>
          <w:p w14:paraId="191BFC70"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Fokus</w:t>
            </w:r>
          </w:p>
        </w:tc>
        <w:tc>
          <w:tcPr>
            <w:tcW w:w="5280" w:type="dxa"/>
            <w:tcBorders>
              <w:top w:val="single" w:sz="4" w:space="0" w:color="4F81BD"/>
              <w:left w:val="single" w:sz="4" w:space="0" w:color="4F81BD"/>
              <w:bottom w:val="single" w:sz="4" w:space="0" w:color="4F81BD"/>
              <w:right w:val="single" w:sz="4" w:space="0" w:color="4F81BD"/>
            </w:tcBorders>
          </w:tcPr>
          <w:p w14:paraId="61B01D24"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Typische Ergebnisse</w:t>
            </w:r>
          </w:p>
        </w:tc>
      </w:tr>
      <w:tr w:rsidR="00A4494E" w:rsidRPr="00325CBE" w14:paraId="79B789B0"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2" w:type="dxa"/>
          </w:tcPr>
          <w:p w14:paraId="056BC93D" w14:textId="77777777" w:rsidR="00A4494E" w:rsidRPr="00325CBE" w:rsidRDefault="00A038EC">
            <w:pPr>
              <w:pStyle w:val="Compact"/>
              <w:spacing w:before="0" w:after="40"/>
              <w:rPr>
                <w:lang w:val="de-DE"/>
              </w:rPr>
            </w:pPr>
            <w:r w:rsidRPr="00325CBE">
              <w:rPr>
                <w:rFonts w:eastAsia="Cambria"/>
                <w:lang w:val="de-DE"/>
              </w:rPr>
              <w:t>0–30 Tage</w:t>
            </w:r>
          </w:p>
        </w:tc>
        <w:tc>
          <w:tcPr>
            <w:tcW w:w="2772" w:type="dxa"/>
          </w:tcPr>
          <w:p w14:paraId="1313ED3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Diagnose und Priorisierung</w:t>
            </w:r>
          </w:p>
        </w:tc>
        <w:tc>
          <w:tcPr>
            <w:tcW w:w="5280" w:type="dxa"/>
          </w:tcPr>
          <w:p w14:paraId="7E7F6E4D"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Bewertungsmatrix, wichtigste Risiken, Entscheidungsliste, Sofortmaßnahmen.</w:t>
            </w:r>
          </w:p>
        </w:tc>
      </w:tr>
      <w:tr w:rsidR="00A4494E" w:rsidRPr="00325CBE" w14:paraId="667FF098"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352" w:type="dxa"/>
          </w:tcPr>
          <w:p w14:paraId="112A1FC0" w14:textId="77777777" w:rsidR="00A4494E" w:rsidRPr="00325CBE" w:rsidRDefault="00A038EC">
            <w:pPr>
              <w:pStyle w:val="Compact"/>
              <w:spacing w:before="0" w:after="40"/>
              <w:rPr>
                <w:lang w:val="de-DE"/>
              </w:rPr>
            </w:pPr>
            <w:r w:rsidRPr="00325CBE">
              <w:rPr>
                <w:rFonts w:eastAsia="Cambria"/>
                <w:lang w:val="de-DE"/>
              </w:rPr>
              <w:t>31–60 Tage</w:t>
            </w:r>
          </w:p>
        </w:tc>
        <w:tc>
          <w:tcPr>
            <w:tcW w:w="2772" w:type="dxa"/>
          </w:tcPr>
          <w:p w14:paraId="1810B124"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Konzeption und Mindeststandard</w:t>
            </w:r>
          </w:p>
        </w:tc>
        <w:tc>
          <w:tcPr>
            <w:tcW w:w="5280" w:type="dxa"/>
          </w:tcPr>
          <w:p w14:paraId="536861E2"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Mandatsmodell, Leistungsphasen- und Freigabemodell, Entscheidungs-IDs, Datenstandslogik.</w:t>
            </w:r>
          </w:p>
        </w:tc>
      </w:tr>
      <w:tr w:rsidR="00A4494E" w:rsidRPr="00325CBE" w14:paraId="7887730C"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2" w:type="dxa"/>
          </w:tcPr>
          <w:p w14:paraId="553DDAB9" w14:textId="77777777" w:rsidR="00A4494E" w:rsidRPr="00325CBE" w:rsidRDefault="00A038EC">
            <w:pPr>
              <w:pStyle w:val="Compact"/>
              <w:spacing w:before="0" w:after="40"/>
              <w:rPr>
                <w:lang w:val="de-DE"/>
              </w:rPr>
            </w:pPr>
            <w:r w:rsidRPr="00325CBE">
              <w:rPr>
                <w:rFonts w:eastAsia="Cambria"/>
                <w:lang w:val="de-DE"/>
              </w:rPr>
              <w:t>61–90 Tage</w:t>
            </w:r>
          </w:p>
        </w:tc>
        <w:tc>
          <w:tcPr>
            <w:tcW w:w="2772" w:type="dxa"/>
          </w:tcPr>
          <w:p w14:paraId="40FCCD70"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Modell in Anwendung und Kalibrie­rung</w:t>
            </w:r>
          </w:p>
        </w:tc>
        <w:tc>
          <w:tcPr>
            <w:tcW w:w="5280" w:type="dxa"/>
          </w:tcPr>
          <w:p w14:paraId="3D62208C"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Bericht zur Pilotierung, kalibrierte Routinen, Befähigung; der Entwurf des Betriebshandbuchs liegt vor, die Übergabe schließt an.</w:t>
            </w:r>
          </w:p>
        </w:tc>
      </w:tr>
    </w:tbl>
    <w:p w14:paraId="7F558B8A" w14:textId="77777777" w:rsidR="00A4494E" w:rsidRPr="00325CBE" w:rsidRDefault="00A038EC">
      <w:pPr>
        <w:pStyle w:val="berschrift2"/>
        <w:rPr>
          <w:kern w:val="2"/>
        </w:rPr>
      </w:pPr>
      <w:bookmarkStart w:id="125" w:name="_Toc234746093"/>
      <w:bookmarkStart w:id="126" w:name="_Toc239764947"/>
      <w:r w:rsidRPr="00325CBE">
        <w:t>Mitwirkung des Bauherrn</w:t>
      </w:r>
      <w:bookmarkEnd w:id="125"/>
      <w:bookmarkEnd w:id="126"/>
    </w:p>
    <w:p w14:paraId="0FD73AD3" w14:textId="77777777" w:rsidR="00A4494E" w:rsidRPr="00325CBE" w:rsidRDefault="00A038EC">
      <w:pPr>
        <w:pStyle w:val="Textkrper"/>
        <w:spacing w:before="120" w:after="120"/>
        <w:rPr>
          <w:kern w:val="2"/>
          <w:lang w:val="de-DE"/>
        </w:rPr>
      </w:pPr>
      <w:r w:rsidRPr="00325CBE">
        <w:rPr>
          <w:lang w:val="de-DE"/>
        </w:rPr>
        <w:t>MVG kann nicht ohne die Bauherrenorganisation eingeführt werden, weil die zentrale Verantwortung beim Bauherrn bleibt. Die Mitwirkung ist daher kein administrativer Aufwand, sondern Teil der Leistungslogik.</w:t>
      </w:r>
    </w:p>
    <w:p w14:paraId="4EF876B6" w14:textId="77777777" w:rsidR="00A4494E" w:rsidRPr="00325CBE" w:rsidRDefault="00A038EC">
      <w:pPr>
        <w:pStyle w:val="Textkrper"/>
        <w:spacing w:before="120" w:after="120"/>
        <w:rPr>
          <w:lang w:val="de-DE"/>
        </w:rPr>
      </w:pPr>
      <w:r w:rsidRPr="00325CBE">
        <w:rPr>
          <w:lang w:val="de-DE"/>
        </w:rPr>
        <w:t>Erforderlich sind insbesondere:</w:t>
      </w:r>
    </w:p>
    <w:p w14:paraId="2CEEF797" w14:textId="77777777" w:rsidR="00A4494E" w:rsidRPr="00325CBE" w:rsidRDefault="00A038EC">
      <w:pPr>
        <w:pStyle w:val="Compact"/>
        <w:numPr>
          <w:ilvl w:val="0"/>
          <w:numId w:val="11"/>
        </w:numPr>
        <w:spacing w:before="120" w:after="120"/>
        <w:rPr>
          <w:lang w:val="de-DE"/>
        </w:rPr>
      </w:pPr>
      <w:r w:rsidRPr="00325CBE">
        <w:rPr>
          <w:lang w:val="de-DE"/>
        </w:rPr>
        <w:t>eine verbindliche verantwortliche Rolle auf Bauherrenseite</w:t>
      </w:r>
    </w:p>
    <w:p w14:paraId="669D1CAB" w14:textId="77777777" w:rsidR="00A4494E" w:rsidRPr="00325CBE" w:rsidRDefault="00A038EC">
      <w:pPr>
        <w:pStyle w:val="Compact"/>
        <w:numPr>
          <w:ilvl w:val="0"/>
          <w:numId w:val="12"/>
        </w:numPr>
        <w:spacing w:before="120" w:after="120"/>
        <w:rPr>
          <w:lang w:val="de-DE"/>
        </w:rPr>
      </w:pPr>
      <w:r w:rsidRPr="00325CBE">
        <w:rPr>
          <w:lang w:val="de-DE"/>
        </w:rPr>
        <w:t>Zugang zu Kernunterlagen, Projektauftrag, Zielsystem, Rollen, Kosten-/Terminstand sowie Risiko- und Änderungsinformationen</w:t>
      </w:r>
    </w:p>
    <w:p w14:paraId="3461AA88" w14:textId="77777777" w:rsidR="00A4494E" w:rsidRPr="00325CBE" w:rsidRDefault="00A038EC">
      <w:pPr>
        <w:pStyle w:val="Compact"/>
        <w:numPr>
          <w:ilvl w:val="0"/>
          <w:numId w:val="13"/>
        </w:numPr>
        <w:spacing w:before="120" w:after="120"/>
        <w:rPr>
          <w:lang w:val="de-DE"/>
        </w:rPr>
      </w:pPr>
      <w:r w:rsidRPr="00325CBE">
        <w:rPr>
          <w:lang w:val="de-DE"/>
        </w:rPr>
        <w:t xml:space="preserve">Gespräche mit Bauherren-Projektleitung, </w:t>
      </w:r>
      <w:proofErr w:type="spellStart"/>
      <w:r w:rsidRPr="00325CBE">
        <w:rPr>
          <w:lang w:val="de-DE"/>
        </w:rPr>
        <w:t>Auftraggeberlogik</w:t>
      </w:r>
      <w:proofErr w:type="spellEnd"/>
      <w:r w:rsidRPr="00325CBE">
        <w:rPr>
          <w:lang w:val="de-DE"/>
        </w:rPr>
        <w:t>, PMO, Projektsteuerung und Fachrollen</w:t>
      </w:r>
    </w:p>
    <w:p w14:paraId="21D7F827" w14:textId="77777777" w:rsidR="00A4494E" w:rsidRPr="00325CBE" w:rsidRDefault="00A038EC">
      <w:pPr>
        <w:pStyle w:val="Compact"/>
        <w:numPr>
          <w:ilvl w:val="0"/>
          <w:numId w:val="14"/>
        </w:numPr>
        <w:spacing w:before="120" w:after="120"/>
        <w:rPr>
          <w:lang w:val="de-DE"/>
        </w:rPr>
      </w:pPr>
      <w:r w:rsidRPr="00325CBE">
        <w:rPr>
          <w:lang w:val="de-DE"/>
        </w:rPr>
        <w:t>Entscheidungen zu Zielprioritäten, Mandaten, Schwellen und Freigaben</w:t>
      </w:r>
    </w:p>
    <w:p w14:paraId="7557B45A" w14:textId="77777777" w:rsidR="00A4494E" w:rsidRPr="00325CBE" w:rsidRDefault="00A038EC">
      <w:pPr>
        <w:pStyle w:val="Compact"/>
        <w:numPr>
          <w:ilvl w:val="0"/>
          <w:numId w:val="15"/>
        </w:numPr>
        <w:spacing w:before="120" w:after="120"/>
        <w:rPr>
          <w:lang w:val="de-DE"/>
        </w:rPr>
      </w:pPr>
      <w:r w:rsidRPr="00325CBE">
        <w:rPr>
          <w:lang w:val="de-DE"/>
        </w:rPr>
        <w:t>Teilnahme an Managementberichten, Pilotentscheidungen und Befähigungsmaßnahmen</w:t>
      </w:r>
    </w:p>
    <w:p w14:paraId="40AEC5C6" w14:textId="77777777" w:rsidR="00A4494E" w:rsidRPr="00325CBE" w:rsidRDefault="00A038EC">
      <w:pPr>
        <w:pStyle w:val="Compact"/>
        <w:numPr>
          <w:ilvl w:val="0"/>
          <w:numId w:val="16"/>
        </w:numPr>
        <w:spacing w:before="120" w:after="120"/>
        <w:rPr>
          <w:lang w:val="de-DE"/>
        </w:rPr>
      </w:pPr>
      <w:r w:rsidRPr="00325CBE">
        <w:rPr>
          <w:lang w:val="de-DE"/>
        </w:rPr>
        <w:t>Übernahme des Regelbetriebs nach Übergabe</w:t>
      </w:r>
    </w:p>
    <w:p w14:paraId="0BE6181F" w14:textId="77777777" w:rsidR="00A4494E" w:rsidRPr="00325CBE" w:rsidRDefault="00A038EC">
      <w:pPr>
        <w:pStyle w:val="berschrift2"/>
        <w:rPr>
          <w:kern w:val="2"/>
        </w:rPr>
      </w:pPr>
      <w:bookmarkStart w:id="127" w:name="_Toc234746094"/>
      <w:bookmarkStart w:id="128" w:name="_Toc239764948"/>
      <w:r w:rsidRPr="00325CBE">
        <w:t>Abnahmelogik</w:t>
      </w:r>
      <w:bookmarkEnd w:id="127"/>
      <w:bookmarkEnd w:id="128"/>
    </w:p>
    <w:p w14:paraId="153812EA" w14:textId="77777777" w:rsidR="00A4494E" w:rsidRPr="00325CBE" w:rsidRDefault="00A038EC">
      <w:pPr>
        <w:pStyle w:val="Textkrper"/>
        <w:spacing w:before="120" w:after="120"/>
        <w:rPr>
          <w:lang w:val="de-DE"/>
        </w:rPr>
      </w:pPr>
      <w:r w:rsidRPr="00325CBE">
        <w:rPr>
          <w:lang w:val="de-DE"/>
        </w:rPr>
        <w:t>MVG ist abnahmefähig, wenn die Bauherrenorganisation über einen funktionsfähigen Mindeststandard verfügt und diesen praktisch anwenden kann. Abnahme bedeutet nicht, dass alle künftigen Entscheidungen risikofrei sind. Abnahme bedeutet, dass die Organisation weiß, wie wesentliche Entscheidungen vorbereitet, mandatiert, freigegeben, dokumentiert und nachverfolgt werden.</w:t>
      </w:r>
    </w:p>
    <w:p w14:paraId="233A5095" w14:textId="77777777" w:rsidR="00A4494E" w:rsidRPr="00325CBE" w:rsidRDefault="00A038EC">
      <w:pPr>
        <w:pStyle w:val="Textkrper"/>
        <w:rPr>
          <w:kern w:val="2"/>
          <w:lang w:val="de-DE"/>
        </w:rPr>
      </w:pPr>
      <w:r w:rsidRPr="00325CBE">
        <w:rPr>
          <w:lang w:val="de-DE"/>
        </w:rPr>
        <w:t>Der Leistungsgegenstand ist die Herstellung und Übergabe eines belastbaren Bauherren-Führungsmodells. BM strukturiert, moderiert, entwirft, erprobt und befähigt; Entscheidung, Freigabe und Risikoannahme werden durch die zuständigen Bauherrenrollen legitimiert.</w:t>
      </w:r>
    </w:p>
    <w:tbl>
      <w:tblPr>
        <w:tblStyle w:val="Gitternetztabelle4Akzent1"/>
        <w:tblW w:w="5000" w:type="pct"/>
        <w:tblLayout w:type="fixed"/>
        <w:tblLook w:val="04A0" w:firstRow="1" w:lastRow="0" w:firstColumn="1" w:lastColumn="0" w:noHBand="0" w:noVBand="1"/>
      </w:tblPr>
      <w:tblGrid>
        <w:gridCol w:w="2113"/>
        <w:gridCol w:w="7507"/>
      </w:tblGrid>
      <w:tr w:rsidR="00A4494E" w:rsidRPr="00325CBE" w14:paraId="702E69B2"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5" w:type="dxa"/>
            <w:tcBorders>
              <w:top w:val="single" w:sz="4" w:space="0" w:color="4F81BD"/>
              <w:left w:val="single" w:sz="4" w:space="0" w:color="4F81BD"/>
              <w:bottom w:val="single" w:sz="4" w:space="0" w:color="4F81BD"/>
              <w:right w:val="single" w:sz="4" w:space="0" w:color="4F81BD"/>
            </w:tcBorders>
          </w:tcPr>
          <w:p w14:paraId="0F32391A" w14:textId="77777777" w:rsidR="00A4494E" w:rsidRPr="00325CBE" w:rsidRDefault="00A038EC">
            <w:pPr>
              <w:pStyle w:val="Compact"/>
              <w:spacing w:before="0" w:after="40"/>
              <w:rPr>
                <w:lang w:val="de-DE"/>
              </w:rPr>
            </w:pPr>
            <w:r w:rsidRPr="00325CBE">
              <w:rPr>
                <w:rFonts w:eastAsia="Cambria"/>
                <w:lang w:val="de-DE"/>
              </w:rPr>
              <w:t>Abnahmekriterium</w:t>
            </w:r>
          </w:p>
        </w:tc>
        <w:tc>
          <w:tcPr>
            <w:tcW w:w="7338" w:type="dxa"/>
            <w:tcBorders>
              <w:top w:val="single" w:sz="4" w:space="0" w:color="4F81BD"/>
              <w:left w:val="single" w:sz="4" w:space="0" w:color="4F81BD"/>
              <w:bottom w:val="single" w:sz="4" w:space="0" w:color="4F81BD"/>
              <w:right w:val="single" w:sz="4" w:space="0" w:color="4F81BD"/>
            </w:tcBorders>
          </w:tcPr>
          <w:p w14:paraId="14C54D2D"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Prüffrage</w:t>
            </w:r>
          </w:p>
        </w:tc>
      </w:tr>
      <w:tr w:rsidR="00A4494E" w:rsidRPr="00325CBE" w14:paraId="08FD568E"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5" w:type="dxa"/>
          </w:tcPr>
          <w:p w14:paraId="3F99D444" w14:textId="77777777" w:rsidR="00A4494E" w:rsidRPr="00325CBE" w:rsidRDefault="00A038EC">
            <w:pPr>
              <w:pStyle w:val="Compact"/>
              <w:spacing w:before="0" w:after="40"/>
              <w:rPr>
                <w:lang w:val="de-DE"/>
              </w:rPr>
            </w:pPr>
            <w:r w:rsidRPr="00325CBE">
              <w:rPr>
                <w:rFonts w:eastAsia="Cambria"/>
                <w:lang w:val="de-DE"/>
              </w:rPr>
              <w:t>Zielsystem</w:t>
            </w:r>
          </w:p>
        </w:tc>
        <w:tc>
          <w:tcPr>
            <w:tcW w:w="7338" w:type="dxa"/>
          </w:tcPr>
          <w:p w14:paraId="0B70FF4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Sind Zielprioritäten und Abwägungsregeln dokumentiert und entscheidungsfähig?</w:t>
            </w:r>
          </w:p>
        </w:tc>
      </w:tr>
      <w:tr w:rsidR="00A4494E" w:rsidRPr="00325CBE" w14:paraId="4B2F7BE7"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065" w:type="dxa"/>
          </w:tcPr>
          <w:p w14:paraId="79EE3550" w14:textId="77777777" w:rsidR="00A4494E" w:rsidRPr="00325CBE" w:rsidRDefault="00A038EC">
            <w:pPr>
              <w:pStyle w:val="Compact"/>
              <w:spacing w:before="0" w:after="40"/>
              <w:rPr>
                <w:lang w:val="de-DE"/>
              </w:rPr>
            </w:pPr>
            <w:r w:rsidRPr="00325CBE">
              <w:rPr>
                <w:rFonts w:eastAsia="Cambria"/>
                <w:lang w:val="de-DE"/>
              </w:rPr>
              <w:t>Mandatsmodell</w:t>
            </w:r>
          </w:p>
        </w:tc>
        <w:tc>
          <w:tcPr>
            <w:tcW w:w="7338" w:type="dxa"/>
          </w:tcPr>
          <w:p w14:paraId="428032F3"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Sind letztverantwortliche Rollen, Schwellen, Stellvertretungen und Eskalations­wege klar?</w:t>
            </w:r>
          </w:p>
        </w:tc>
      </w:tr>
      <w:tr w:rsidR="00A4494E" w:rsidRPr="00325CBE" w14:paraId="65B57791"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5" w:type="dxa"/>
          </w:tcPr>
          <w:p w14:paraId="77B12EC5" w14:textId="77777777" w:rsidR="00A4494E" w:rsidRPr="00325CBE" w:rsidRDefault="00A038EC">
            <w:pPr>
              <w:pStyle w:val="Compact"/>
              <w:spacing w:before="0" w:after="40"/>
              <w:rPr>
                <w:lang w:val="de-DE"/>
              </w:rPr>
            </w:pPr>
            <w:r w:rsidRPr="00325CBE">
              <w:rPr>
                <w:rFonts w:eastAsia="Cambria"/>
                <w:lang w:val="de-DE"/>
              </w:rPr>
              <w:t>Leistungsphasen- und Freigabemodell</w:t>
            </w:r>
          </w:p>
        </w:tc>
        <w:tc>
          <w:tcPr>
            <w:tcW w:w="7338" w:type="dxa"/>
          </w:tcPr>
          <w:p w14:paraId="635C444F" w14:textId="0E88FCD9"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Sind die Freigaben zum Abschluss von LPH 0–9 definiert und mit Entscheidungsfragen verbunden?</w:t>
            </w:r>
          </w:p>
        </w:tc>
      </w:tr>
      <w:tr w:rsidR="00A4494E" w:rsidRPr="00325CBE" w14:paraId="24B995E0"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065" w:type="dxa"/>
          </w:tcPr>
          <w:p w14:paraId="7DB8F2F4" w14:textId="77777777" w:rsidR="00A4494E" w:rsidRPr="00325CBE" w:rsidRDefault="00A038EC">
            <w:pPr>
              <w:pStyle w:val="Compact"/>
              <w:spacing w:before="0" w:after="40"/>
              <w:rPr>
                <w:lang w:val="de-DE"/>
              </w:rPr>
            </w:pPr>
            <w:r w:rsidRPr="00325CBE">
              <w:rPr>
                <w:rFonts w:eastAsia="Cambria"/>
                <w:lang w:val="de-DE"/>
              </w:rPr>
              <w:t>Entscheidungs-IDs</w:t>
            </w:r>
          </w:p>
        </w:tc>
        <w:tc>
          <w:tcPr>
            <w:tcW w:w="7338" w:type="dxa"/>
          </w:tcPr>
          <w:p w14:paraId="3B4D6F74"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Sind wesentliche Entscheidungen identifizierbar und nachverfolgbar?</w:t>
            </w:r>
          </w:p>
        </w:tc>
      </w:tr>
      <w:tr w:rsidR="00A4494E" w:rsidRPr="00325CBE" w14:paraId="51CEF13B"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5" w:type="dxa"/>
          </w:tcPr>
          <w:p w14:paraId="7EB778F4" w14:textId="77777777" w:rsidR="00A4494E" w:rsidRPr="00325CBE" w:rsidRDefault="00A038EC">
            <w:pPr>
              <w:pStyle w:val="Compact"/>
              <w:spacing w:before="0" w:after="40"/>
              <w:rPr>
                <w:lang w:val="de-DE"/>
              </w:rPr>
            </w:pPr>
            <w:r w:rsidRPr="00325CBE">
              <w:rPr>
                <w:rFonts w:eastAsia="Cambria"/>
                <w:lang w:val="de-DE"/>
              </w:rPr>
              <w:lastRenderedPageBreak/>
              <w:t>Datenstands­logik</w:t>
            </w:r>
          </w:p>
        </w:tc>
        <w:tc>
          <w:tcPr>
            <w:tcW w:w="7338" w:type="dxa"/>
          </w:tcPr>
          <w:p w14:paraId="5FA82CE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Ist klar, welcher Datenstand je Entscheidung gilt?</w:t>
            </w:r>
          </w:p>
        </w:tc>
      </w:tr>
      <w:tr w:rsidR="00A4494E" w:rsidRPr="00325CBE" w14:paraId="11464D2C"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065" w:type="dxa"/>
          </w:tcPr>
          <w:p w14:paraId="0B094C70" w14:textId="77777777" w:rsidR="00A4494E" w:rsidRPr="00325CBE" w:rsidRDefault="00A038EC">
            <w:pPr>
              <w:pStyle w:val="Compact"/>
              <w:spacing w:before="0" w:after="40"/>
              <w:rPr>
                <w:lang w:val="de-DE"/>
              </w:rPr>
            </w:pPr>
            <w:r w:rsidRPr="00325CBE">
              <w:rPr>
                <w:rFonts w:eastAsia="Cambria"/>
                <w:lang w:val="de-DE"/>
              </w:rPr>
              <w:t>Risiko-/Änderungs-/Maßnahmen­verknüpfung</w:t>
            </w:r>
          </w:p>
        </w:tc>
        <w:tc>
          <w:tcPr>
            <w:tcW w:w="7338" w:type="dxa"/>
          </w:tcPr>
          <w:p w14:paraId="7EC61CA8"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Werden Risiken und Änderungen mit Entscheidungen und verantwortlichen Rollen verbunden?</w:t>
            </w:r>
          </w:p>
        </w:tc>
      </w:tr>
      <w:tr w:rsidR="00A4494E" w:rsidRPr="00325CBE" w14:paraId="48463CE8"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5" w:type="dxa"/>
          </w:tcPr>
          <w:p w14:paraId="510B5970" w14:textId="77777777" w:rsidR="00A4494E" w:rsidRPr="00325CBE" w:rsidRDefault="00A038EC">
            <w:pPr>
              <w:pStyle w:val="Compact"/>
              <w:spacing w:before="0" w:after="40"/>
              <w:rPr>
                <w:lang w:val="de-DE"/>
              </w:rPr>
            </w:pPr>
            <w:r w:rsidRPr="00325CBE">
              <w:rPr>
                <w:rFonts w:eastAsia="Cambria"/>
                <w:lang w:val="de-DE"/>
              </w:rPr>
              <w:t>Betriebshandbuch</w:t>
            </w:r>
          </w:p>
        </w:tc>
        <w:tc>
          <w:tcPr>
            <w:tcW w:w="7338" w:type="dxa"/>
          </w:tcPr>
          <w:p w14:paraId="3B731054"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Sind Regelbetrieb, Taktung, Rollen und Prüfroutinen beschrieben?</w:t>
            </w:r>
          </w:p>
        </w:tc>
      </w:tr>
      <w:tr w:rsidR="00A4494E" w:rsidRPr="00325CBE" w14:paraId="591E2C0D"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065" w:type="dxa"/>
          </w:tcPr>
          <w:p w14:paraId="499B7AAE" w14:textId="77777777" w:rsidR="00A4494E" w:rsidRPr="00325CBE" w:rsidRDefault="00A038EC">
            <w:pPr>
              <w:pStyle w:val="Compact"/>
              <w:spacing w:before="0" w:after="40"/>
              <w:rPr>
                <w:lang w:val="de-DE"/>
              </w:rPr>
            </w:pPr>
            <w:r w:rsidRPr="00325CBE">
              <w:rPr>
                <w:rFonts w:eastAsia="Cambria"/>
                <w:lang w:val="de-DE"/>
              </w:rPr>
              <w:t>Befähigung</w:t>
            </w:r>
          </w:p>
        </w:tc>
        <w:tc>
          <w:tcPr>
            <w:tcW w:w="7338" w:type="dxa"/>
          </w:tcPr>
          <w:p w14:paraId="6CBE3C5A"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Können Schlüsselrollen das Modell ohne Dauerrolle von BM anwenden?</w:t>
            </w:r>
          </w:p>
        </w:tc>
      </w:tr>
    </w:tbl>
    <w:p w14:paraId="758CC32A" w14:textId="77777777" w:rsidR="00A4494E" w:rsidRPr="00325CBE" w:rsidRDefault="00A038EC">
      <w:pPr>
        <w:pStyle w:val="Textkrper"/>
        <w:rPr>
          <w:lang w:val="de-DE"/>
        </w:rPr>
      </w:pPr>
      <w:r w:rsidRPr="00325CBE">
        <w:rPr>
          <w:lang w:val="de-DE"/>
        </w:rPr>
        <w:t>Was am Ende dieses Weges konkret vorliegt, beschreibt das folgende Kapitel: die Ergebnisobjekte eines MVG-Mandats.</w:t>
      </w:r>
    </w:p>
    <w:p w14:paraId="3428174C" w14:textId="77777777" w:rsidR="00A4494E" w:rsidRPr="00325CBE" w:rsidRDefault="00A038EC">
      <w:pPr>
        <w:pStyle w:val="berschrift1"/>
        <w:rPr>
          <w:kern w:val="2"/>
          <w:lang w:val="de-DE"/>
        </w:rPr>
      </w:pPr>
      <w:bookmarkStart w:id="129" w:name="abnahmelogik"/>
      <w:bookmarkStart w:id="130" w:name="_Toc234746095"/>
      <w:bookmarkStart w:id="131" w:name="_Toc239764949"/>
      <w:bookmarkEnd w:id="129"/>
      <w:r w:rsidRPr="00325CBE">
        <w:rPr>
          <w:lang w:val="de-DE"/>
        </w:rPr>
        <w:t>Ergebnisbild und Ergebnisse</w:t>
      </w:r>
      <w:bookmarkEnd w:id="130"/>
      <w:bookmarkEnd w:id="131"/>
    </w:p>
    <w:p w14:paraId="3FDCD78E" w14:textId="77777777" w:rsidR="00A4494E" w:rsidRPr="00325CBE" w:rsidRDefault="00A038EC">
      <w:pPr>
        <w:pStyle w:val="Textkrper"/>
        <w:rPr>
          <w:kern w:val="2"/>
          <w:lang w:val="de-DE"/>
        </w:rPr>
      </w:pPr>
      <w:r w:rsidRPr="00325CBE">
        <w:rPr>
          <w:lang w:val="de-DE"/>
        </w:rPr>
        <w:t>Die Ergebnisse eines MVG-Mandats sind Führungs- und Entscheidungsobjekte. Sie sind keine isolierten Vorlagen und keine methodische Sammlung. Ihr Wert entsteht durch den Zusammenhang: Das Mandat verweist auf eine Freigabe, die Freigabe auf eine Entscheidungs-ID, die Entscheidungs-ID auf den Datenstand, der Datenstand auf den Nachweis und der Nachweis auf die Beschlusslage.</w:t>
      </w:r>
    </w:p>
    <w:p w14:paraId="16463D7A" w14:textId="77777777" w:rsidR="00A4494E" w:rsidRPr="00325CBE" w:rsidRDefault="00A038EC">
      <w:pPr>
        <w:pStyle w:val="berschrift2"/>
        <w:rPr>
          <w:kern w:val="2"/>
        </w:rPr>
      </w:pPr>
      <w:bookmarkStart w:id="132" w:name="_Toc234746096"/>
      <w:bookmarkStart w:id="133" w:name="_Toc239764950"/>
      <w:r w:rsidRPr="00325CBE">
        <w:t>Bauherren-Mandats- und Verantwortungsmodell</w:t>
      </w:r>
      <w:bookmarkEnd w:id="132"/>
      <w:bookmarkEnd w:id="133"/>
    </w:p>
    <w:p w14:paraId="1FB13CED" w14:textId="77777777" w:rsidR="00A4494E" w:rsidRPr="00325CBE" w:rsidRDefault="00A038EC">
      <w:pPr>
        <w:pStyle w:val="Textkrper"/>
        <w:rPr>
          <w:kern w:val="2"/>
          <w:lang w:val="de-DE"/>
        </w:rPr>
      </w:pPr>
      <w:r w:rsidRPr="00325CBE">
        <w:rPr>
          <w:lang w:val="de-DE"/>
        </w:rPr>
        <w:t>Das Bauherren-Mandats- und Verantwortungsmodell ist das zentrale Ergebnisobjekt für die Frage, was beim Bauherrn verbleibt und was vorbereitet werden kann. Es verbindet Verantwortungsfelder, Rollen, Mandate, Schwellen, Freigaben und Eskalation.</w:t>
      </w:r>
    </w:p>
    <w:p w14:paraId="6D7B0E23" w14:textId="77777777" w:rsidR="00A4494E" w:rsidRPr="00325CBE" w:rsidRDefault="00A038EC">
      <w:pPr>
        <w:pStyle w:val="Textkrper"/>
        <w:rPr>
          <w:lang w:val="de-DE"/>
        </w:rPr>
      </w:pPr>
      <w:r w:rsidRPr="00325CBE">
        <w:rPr>
          <w:lang w:val="de-DE"/>
        </w:rPr>
        <w:t>Es beantwortet insbesondere:</w:t>
      </w:r>
    </w:p>
    <w:p w14:paraId="24DA3DD7" w14:textId="77777777" w:rsidR="00A4494E" w:rsidRPr="00325CBE" w:rsidRDefault="00A038EC">
      <w:pPr>
        <w:pStyle w:val="Compact"/>
        <w:numPr>
          <w:ilvl w:val="0"/>
          <w:numId w:val="17"/>
        </w:numPr>
        <w:rPr>
          <w:lang w:val="de-DE"/>
        </w:rPr>
      </w:pPr>
      <w:r w:rsidRPr="00325CBE">
        <w:rPr>
          <w:lang w:val="de-DE"/>
        </w:rPr>
        <w:t>Welche Bauherrenverantwortung ist betroffen?</w:t>
      </w:r>
    </w:p>
    <w:p w14:paraId="638334F3" w14:textId="77777777" w:rsidR="00A4494E" w:rsidRPr="00325CBE" w:rsidRDefault="00A038EC">
      <w:pPr>
        <w:pStyle w:val="Compact"/>
        <w:numPr>
          <w:ilvl w:val="0"/>
          <w:numId w:val="18"/>
        </w:numPr>
        <w:rPr>
          <w:lang w:val="de-DE"/>
        </w:rPr>
      </w:pPr>
      <w:r w:rsidRPr="00325CBE">
        <w:rPr>
          <w:lang w:val="de-DE"/>
        </w:rPr>
        <w:t>Welche Vorbereitung kann delegiert werden?</w:t>
      </w:r>
    </w:p>
    <w:p w14:paraId="3B9331EF" w14:textId="77777777" w:rsidR="00A4494E" w:rsidRPr="00325CBE" w:rsidRDefault="00A038EC">
      <w:pPr>
        <w:pStyle w:val="Compact"/>
        <w:numPr>
          <w:ilvl w:val="0"/>
          <w:numId w:val="19"/>
        </w:numPr>
        <w:rPr>
          <w:lang w:val="de-DE"/>
        </w:rPr>
      </w:pPr>
      <w:r w:rsidRPr="00325CBE">
        <w:rPr>
          <w:lang w:val="de-DE"/>
        </w:rPr>
        <w:t>Wer ist letztverantwortlich?</w:t>
      </w:r>
    </w:p>
    <w:p w14:paraId="18EF67A2" w14:textId="77777777" w:rsidR="00A4494E" w:rsidRPr="00325CBE" w:rsidRDefault="00A038EC">
      <w:pPr>
        <w:pStyle w:val="Compact"/>
        <w:numPr>
          <w:ilvl w:val="0"/>
          <w:numId w:val="20"/>
        </w:numPr>
        <w:rPr>
          <w:lang w:val="de-DE"/>
        </w:rPr>
      </w:pPr>
      <w:r w:rsidRPr="00325CBE">
        <w:rPr>
          <w:lang w:val="de-DE"/>
        </w:rPr>
        <w:t>Wer ist ausführungsverantwortlich, konsultiert oder informiert?</w:t>
      </w:r>
    </w:p>
    <w:p w14:paraId="3367621B" w14:textId="77777777" w:rsidR="00A4494E" w:rsidRPr="00325CBE" w:rsidRDefault="00A038EC">
      <w:pPr>
        <w:pStyle w:val="Compact"/>
        <w:numPr>
          <w:ilvl w:val="0"/>
          <w:numId w:val="21"/>
        </w:numPr>
        <w:rPr>
          <w:lang w:val="de-DE"/>
        </w:rPr>
      </w:pPr>
      <w:r w:rsidRPr="00325CBE">
        <w:rPr>
          <w:lang w:val="de-DE"/>
        </w:rPr>
        <w:t>Welche Schwelle löst Eskalation aus?</w:t>
      </w:r>
    </w:p>
    <w:p w14:paraId="202B7EC0" w14:textId="77777777" w:rsidR="00A4494E" w:rsidRPr="00325CBE" w:rsidRDefault="00A038EC">
      <w:pPr>
        <w:pStyle w:val="Compact"/>
        <w:numPr>
          <w:ilvl w:val="0"/>
          <w:numId w:val="22"/>
        </w:numPr>
        <w:rPr>
          <w:lang w:val="de-DE"/>
        </w:rPr>
      </w:pPr>
      <w:r w:rsidRPr="00325CBE">
        <w:rPr>
          <w:lang w:val="de-DE"/>
        </w:rPr>
        <w:t>Welche Pflichtgrundlagen müssen vorliegen?</w:t>
      </w:r>
    </w:p>
    <w:p w14:paraId="3FAA5687" w14:textId="77777777" w:rsidR="00A4494E" w:rsidRPr="00325CBE" w:rsidRDefault="00A038EC">
      <w:pPr>
        <w:pStyle w:val="Compact"/>
        <w:numPr>
          <w:ilvl w:val="0"/>
          <w:numId w:val="23"/>
        </w:numPr>
        <w:rPr>
          <w:lang w:val="de-DE"/>
        </w:rPr>
      </w:pPr>
      <w:r w:rsidRPr="00325CBE">
        <w:rPr>
          <w:lang w:val="de-DE"/>
        </w:rPr>
        <w:t>Welche Entscheidungs-ID und welche Freigabe sind betroffen?</w:t>
      </w:r>
    </w:p>
    <w:p w14:paraId="04C65D87" w14:textId="77777777" w:rsidR="00A4494E" w:rsidRPr="00325CBE" w:rsidRDefault="00A038EC">
      <w:pPr>
        <w:pStyle w:val="Compact"/>
        <w:numPr>
          <w:ilvl w:val="0"/>
          <w:numId w:val="24"/>
        </w:numPr>
        <w:rPr>
          <w:lang w:val="de-DE"/>
        </w:rPr>
      </w:pPr>
      <w:r w:rsidRPr="00325CBE">
        <w:rPr>
          <w:lang w:val="de-DE"/>
        </w:rPr>
        <w:t>Wo wird der Nachweis geführt?</w:t>
      </w:r>
    </w:p>
    <w:p w14:paraId="7C0E5DC0" w14:textId="77777777" w:rsidR="00A4494E" w:rsidRPr="00325CBE" w:rsidRDefault="00A038EC">
      <w:pPr>
        <w:pStyle w:val="berschrift2"/>
        <w:rPr>
          <w:kern w:val="2"/>
        </w:rPr>
      </w:pPr>
      <w:bookmarkStart w:id="134" w:name="_Toc234746097"/>
      <w:bookmarkStart w:id="135" w:name="_Toc239764951"/>
      <w:r w:rsidRPr="00325CBE">
        <w:t>RACI-Prozess</w:t>
      </w:r>
      <w:bookmarkEnd w:id="134"/>
      <w:bookmarkEnd w:id="135"/>
    </w:p>
    <w:p w14:paraId="10022A2F" w14:textId="77777777" w:rsidR="00A4494E" w:rsidRPr="00325CBE" w:rsidRDefault="00A038EC">
      <w:pPr>
        <w:pStyle w:val="Textkrper"/>
        <w:rPr>
          <w:lang w:val="de-DE"/>
        </w:rPr>
      </w:pPr>
      <w:r w:rsidRPr="00325CBE">
        <w:rPr>
          <w:lang w:val="de-DE"/>
        </w:rPr>
        <w:t>RACI übersetzt komplexe Rollenbilder in eine transparente Verantwortungslogik. Im BM-Modell reicht dies jedoch nicht aus. Entscheidend ist die Kopplung an Mandate, Freigabeschwellen, Stellvertretungen und Eskalationspfade. Nur dann wird RACI von einer Kommunikationsmatrix zu einem Führungsinstrument.</w:t>
      </w:r>
    </w:p>
    <w:p w14:paraId="3E19032C" w14:textId="77777777" w:rsidR="00A4494E" w:rsidRPr="00325CBE" w:rsidRDefault="00A038EC">
      <w:pPr>
        <w:pStyle w:val="Textkrper"/>
        <w:rPr>
          <w:lang w:val="de-DE"/>
        </w:rPr>
      </w:pPr>
      <w:r w:rsidRPr="00325CBE">
        <w:rPr>
          <w:lang w:val="de-DE"/>
        </w:rPr>
        <w:t xml:space="preserve">So verstanden schützt das Modell die Bauherrenorganisation vor </w:t>
      </w:r>
      <w:proofErr w:type="gramStart"/>
      <w:r w:rsidRPr="00325CBE">
        <w:rPr>
          <w:lang w:val="de-DE"/>
        </w:rPr>
        <w:t>stillschweigender</w:t>
      </w:r>
      <w:proofErr w:type="gramEnd"/>
      <w:r w:rsidRPr="00325CBE">
        <w:rPr>
          <w:lang w:val="de-DE"/>
        </w:rPr>
        <w:t xml:space="preserve"> Verantwortungsverlagerung. Es macht sichtbar, wann Projektsteuerung, PMO, Planung oder Fachberatung unterstützen und wann die Entscheidung an die letztverantwortliche Bauherrenrolle zurückfallen muss.</w:t>
      </w:r>
    </w:p>
    <w:p w14:paraId="609B8E5E" w14:textId="77777777" w:rsidR="00A4494E" w:rsidRPr="00325CBE" w:rsidRDefault="00A038EC">
      <w:pPr>
        <w:pStyle w:val="Textkrper"/>
        <w:rPr>
          <w:kern w:val="2"/>
          <w:lang w:val="de-DE"/>
        </w:rPr>
      </w:pPr>
      <w:r w:rsidRPr="00325CBE">
        <w:rPr>
          <w:lang w:val="de-DE"/>
        </w:rPr>
        <w:lastRenderedPageBreak/>
        <w:t>RACI wird nicht als Standardwerkzeug erläutert, sondern als Teil einer gerichteten Bauherrenorganisation. Die Kernfrage lautet: Wer bereitet vor, wer entscheidet, wer liefert belastbare Entscheidungsgrundlagen, wer wird konsultiert und wer muss informiert werden? Diese Rollenlogik gehört in Freigaben, Änderungssteuerung, Risikoprüfung und Berichterstattung.</w:t>
      </w:r>
    </w:p>
    <w:p w14:paraId="4AB18EC1" w14:textId="70AB9E29" w:rsidR="00A4494E" w:rsidRPr="00325CBE" w:rsidRDefault="00A038EC">
      <w:pPr>
        <w:pStyle w:val="Textkrper"/>
        <w:rPr>
          <w:kern w:val="2"/>
          <w:lang w:val="de-DE"/>
        </w:rPr>
      </w:pPr>
      <w:r w:rsidRPr="00325CBE">
        <w:rPr>
          <w:lang w:val="de-DE"/>
        </w:rPr>
        <w:t>Das Standard-Rollenmodell umfasst 13 Arbeitsrollen: Bauherr/Projektauftraggeber, Bauherren-PL, PMO, Projektsteuerung, Lenkungskreis/Vorstand, Controlling/Finanzen, Einkauf/Vergabe, Planung/Fachplanung, externe Berater, Auftragnehmer/Lieferanten, Administration, Ausführung und Gebäudemanagement (FM)/Betrieb. Hinzu kommt die Sonderrolle „BM-Mentor“ als Einführungsrolle: Sie besitzt im MVG Companion Vollzugriff, erscheint in keinem Prozess-RACI und wird nach der Einführung deaktiviert. Die Funktion des Projektauftraggebers ist keine zusätzliche Arbeitsrolle; „Bauherr/Projektauftraggeber“ bezeichnet eine Facette des Bauherrn, die Bezeichnung „</w:t>
      </w:r>
      <w:r w:rsidR="00F074FE" w:rsidRPr="00325CBE">
        <w:rPr>
          <w:lang w:val="de-DE"/>
        </w:rPr>
        <w:t>Auftraggeber Logik</w:t>
      </w:r>
      <w:r w:rsidRPr="00325CBE">
        <w:rPr>
          <w:lang w:val="de-DE"/>
        </w:rPr>
        <w:t>“ bleibt zulässig.</w:t>
      </w:r>
    </w:p>
    <w:p w14:paraId="49BA2944" w14:textId="7518A31D" w:rsidR="00A4494E" w:rsidRPr="00325CBE" w:rsidRDefault="00A038EC">
      <w:pPr>
        <w:pStyle w:val="berschrift2"/>
        <w:rPr>
          <w:kern w:val="2"/>
        </w:rPr>
      </w:pPr>
      <w:bookmarkStart w:id="136" w:name="Xd37ab6a7f1a8be9bcd4344c962099703eada3d7"/>
      <w:bookmarkStart w:id="137" w:name="_Toc234746098"/>
      <w:bookmarkStart w:id="138" w:name="_Toc239764952"/>
      <w:bookmarkEnd w:id="136"/>
      <w:r w:rsidRPr="00325CBE">
        <w:t>Leistungsphasen- und Freigabemodell LPH 0–9</w:t>
      </w:r>
      <w:bookmarkEnd w:id="137"/>
      <w:bookmarkEnd w:id="138"/>
    </w:p>
    <w:p w14:paraId="05CDEB6D" w14:textId="4D368193" w:rsidR="00A4494E" w:rsidRPr="00325CBE" w:rsidRDefault="00A038EC">
      <w:pPr>
        <w:pStyle w:val="Textkrper"/>
        <w:rPr>
          <w:kern w:val="2"/>
          <w:lang w:val="de-DE"/>
        </w:rPr>
      </w:pPr>
      <w:r w:rsidRPr="00325CBE">
        <w:rPr>
          <w:lang w:val="de-DE"/>
        </w:rPr>
        <w:t>Das Leistungsphasen- und Freigabemodell LPH 0–9 verbindet Projektfortschritt mit Entscheidungsvorbereitung und Freigabereife. Jede Leistungsphase endet mit einer Freigabe des Bauherrn. Diese Freigabe beruht auf einer Kernfrage, Mindestgrundlagen, Mandat, Datenstand und einem dokumentierten Ergebnis.</w:t>
      </w:r>
    </w:p>
    <w:p w14:paraId="47CD6048" w14:textId="3F15CFED" w:rsidR="00A4494E" w:rsidRPr="00325CBE" w:rsidRDefault="00A038EC">
      <w:pPr>
        <w:pStyle w:val="Textkrper"/>
        <w:rPr>
          <w:kern w:val="2"/>
          <w:lang w:val="de-DE"/>
        </w:rPr>
      </w:pPr>
      <w:r w:rsidRPr="00325CBE">
        <w:rPr>
          <w:lang w:val="de-DE"/>
        </w:rPr>
        <w:t>Die Leistungsphasen LPH 0 bis LPH 9 bilden den verbindlichen Projektverlauf. Die Freigabe am Abschluss einer Leistungsphase gibt die nächste frei. Die Freigaben sind keine Meilensteine der MVG-Einführung; die Übergabe des Bauherren-Führungsmodells ist ein Befähigungsschritt und keine Freigabe im Leistungsphasen- und Freigabemodell.</w:t>
      </w:r>
    </w:p>
    <w:p w14:paraId="2CF38007" w14:textId="42D683AD" w:rsidR="00A4494E" w:rsidRPr="00325CBE" w:rsidRDefault="00A038EC">
      <w:pPr>
        <w:pStyle w:val="Textkrper"/>
        <w:rPr>
          <w:kern w:val="2"/>
          <w:lang w:val="de-DE"/>
        </w:rPr>
      </w:pPr>
      <w:r w:rsidRPr="00325CBE">
        <w:rPr>
          <w:lang w:val="de-DE"/>
        </w:rPr>
        <w:t>Der Bauherr ist für die Freigaben zum Abschluss der Leistungsphasen LPH 0–9 letztverantwortlich und erteilt jede Freigabe selbst auf Vorlage der Bauherren-PL – nicht die Projektsteuerung und nicht der Lenkungskreis; der Lenkungskreis berät und bereitet vor. Der Regelbetrieb folgt nach der Freigabe zum Abschluss von LPH 9. Die inhaltliche Zuordnung der Freigaben zu den Leistungsphasen kann projektspezifisch angepasst werden.</w:t>
      </w:r>
    </w:p>
    <w:tbl>
      <w:tblPr>
        <w:tblStyle w:val="Gitternetztabelle4Akzent1"/>
        <w:tblW w:w="4200" w:type="pct"/>
        <w:tblLayout w:type="fixed"/>
        <w:tblLook w:val="04A0" w:firstRow="1" w:lastRow="0" w:firstColumn="1" w:lastColumn="0" w:noHBand="0" w:noVBand="1"/>
      </w:tblPr>
      <w:tblGrid>
        <w:gridCol w:w="1507"/>
        <w:gridCol w:w="2202"/>
        <w:gridCol w:w="4372"/>
      </w:tblGrid>
      <w:tr w:rsidR="00A4494E" w:rsidRPr="00325CBE" w14:paraId="48E2920A"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tcBorders>
              <w:top w:val="single" w:sz="4" w:space="0" w:color="4F81BD"/>
              <w:left w:val="single" w:sz="4" w:space="0" w:color="4F81BD"/>
              <w:bottom w:val="single" w:sz="4" w:space="0" w:color="4F81BD"/>
              <w:right w:val="single" w:sz="4" w:space="0" w:color="4F81BD"/>
            </w:tcBorders>
          </w:tcPr>
          <w:p w14:paraId="0B2786E3" w14:textId="77777777" w:rsidR="00A4494E" w:rsidRPr="00325CBE" w:rsidRDefault="00A038EC">
            <w:pPr>
              <w:pStyle w:val="Compact"/>
              <w:spacing w:before="0" w:after="40"/>
              <w:rPr>
                <w:lang w:val="de-DE"/>
              </w:rPr>
            </w:pPr>
            <w:r w:rsidRPr="00325CBE">
              <w:rPr>
                <w:rFonts w:eastAsia="Cambria"/>
                <w:sz w:val="18"/>
                <w:szCs w:val="18"/>
                <w:lang w:val="de-DE"/>
              </w:rPr>
              <w:t>LPH</w:t>
            </w:r>
          </w:p>
        </w:tc>
        <w:tc>
          <w:tcPr>
            <w:tcW w:w="2500" w:type="dxa"/>
            <w:tcBorders>
              <w:top w:val="single" w:sz="4" w:space="0" w:color="4F81BD"/>
              <w:left w:val="single" w:sz="4" w:space="0" w:color="4F81BD"/>
              <w:bottom w:val="single" w:sz="4" w:space="0" w:color="4F81BD"/>
              <w:right w:val="single" w:sz="4" w:space="0" w:color="4F81BD"/>
            </w:tcBorders>
          </w:tcPr>
          <w:p w14:paraId="066E6CD6"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Leistungsphase</w:t>
            </w:r>
          </w:p>
        </w:tc>
        <w:tc>
          <w:tcPr>
            <w:tcW w:w="5000" w:type="dxa"/>
            <w:tcBorders>
              <w:top w:val="single" w:sz="4" w:space="0" w:color="4F81BD"/>
              <w:left w:val="single" w:sz="4" w:space="0" w:color="4F81BD"/>
              <w:bottom w:val="single" w:sz="4" w:space="0" w:color="4F81BD"/>
              <w:right w:val="single" w:sz="4" w:space="0" w:color="4F81BD"/>
            </w:tcBorders>
          </w:tcPr>
          <w:p w14:paraId="55521453"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Freigabefrage</w:t>
            </w:r>
          </w:p>
        </w:tc>
      </w:tr>
      <w:tr w:rsidR="00A4494E" w:rsidRPr="00325CBE" w14:paraId="7D9BCDD7"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tcPr>
          <w:p w14:paraId="7BE6E565" w14:textId="77777777" w:rsidR="00A4494E" w:rsidRPr="00325CBE" w:rsidRDefault="00A038EC">
            <w:pPr>
              <w:pStyle w:val="Compact"/>
              <w:spacing w:before="0" w:after="40"/>
              <w:rPr>
                <w:lang w:val="de-DE"/>
              </w:rPr>
            </w:pPr>
            <w:r w:rsidRPr="00325CBE">
              <w:rPr>
                <w:rFonts w:eastAsia="Cambria"/>
                <w:sz w:val="18"/>
                <w:szCs w:val="18"/>
                <w:lang w:val="de-DE"/>
              </w:rPr>
              <w:t>LPH 0</w:t>
            </w:r>
          </w:p>
        </w:tc>
        <w:tc>
          <w:tcPr>
            <w:tcW w:w="2500" w:type="dxa"/>
          </w:tcPr>
          <w:p w14:paraId="63FB5C82"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Bedarfsplanung</w:t>
            </w:r>
          </w:p>
        </w:tc>
        <w:tc>
          <w:tcPr>
            <w:tcW w:w="5000" w:type="dxa"/>
          </w:tcPr>
          <w:p w14:paraId="3D18DB24"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Sind Bedarf, Zielbild und Auftrag geklärt – gibt es eine legitimierte Grundlage für den Planungsstart?</w:t>
            </w:r>
          </w:p>
        </w:tc>
      </w:tr>
      <w:tr w:rsidR="00A4494E" w:rsidRPr="00325CBE" w14:paraId="6D7238DB"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700" w:type="dxa"/>
          </w:tcPr>
          <w:p w14:paraId="473E4F92" w14:textId="3A864FC0" w:rsidR="00A4494E" w:rsidRPr="00325CBE" w:rsidRDefault="00A038EC">
            <w:pPr>
              <w:pStyle w:val="Compact"/>
              <w:spacing w:before="0" w:after="40"/>
              <w:rPr>
                <w:lang w:val="de-DE"/>
              </w:rPr>
            </w:pPr>
            <w:r w:rsidRPr="00325CBE">
              <w:rPr>
                <w:rFonts w:eastAsia="Cambria"/>
                <w:sz w:val="18"/>
                <w:szCs w:val="18"/>
                <w:lang w:val="de-DE"/>
              </w:rPr>
              <w:t>LPH 1</w:t>
            </w:r>
          </w:p>
        </w:tc>
        <w:tc>
          <w:tcPr>
            <w:tcW w:w="2500" w:type="dxa"/>
          </w:tcPr>
          <w:p w14:paraId="3C7F68DC" w14:textId="4DAE52AA"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Grundlagen­ermittlung</w:t>
            </w:r>
          </w:p>
        </w:tc>
        <w:tc>
          <w:tcPr>
            <w:tcW w:w="5000" w:type="dxa"/>
          </w:tcPr>
          <w:p w14:paraId="7EE68B12" w14:textId="33A61C66"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Sind Aufgabenstellung, Standort- und Rahmenbedingungen so geklärt, dass die Vorplanung mit klarem Auftrag starten kann?</w:t>
            </w:r>
          </w:p>
        </w:tc>
      </w:tr>
      <w:tr w:rsidR="00A4494E" w:rsidRPr="00325CBE" w14:paraId="08405CF6"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tcPr>
          <w:p w14:paraId="521FEC7B" w14:textId="069C4A54" w:rsidR="00A4494E" w:rsidRPr="00325CBE" w:rsidRDefault="00A038EC">
            <w:pPr>
              <w:pStyle w:val="Compact"/>
              <w:spacing w:before="0" w:after="40"/>
              <w:rPr>
                <w:lang w:val="de-DE"/>
              </w:rPr>
            </w:pPr>
            <w:r w:rsidRPr="00325CBE">
              <w:rPr>
                <w:rFonts w:eastAsia="Cambria"/>
                <w:sz w:val="18"/>
                <w:szCs w:val="18"/>
                <w:lang w:val="de-DE"/>
              </w:rPr>
              <w:t>LPH 2</w:t>
            </w:r>
          </w:p>
        </w:tc>
        <w:tc>
          <w:tcPr>
            <w:tcW w:w="2500" w:type="dxa"/>
          </w:tcPr>
          <w:p w14:paraId="2DC01B3A" w14:textId="34DC20C1"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Vorplanung</w:t>
            </w:r>
          </w:p>
        </w:tc>
        <w:tc>
          <w:tcPr>
            <w:tcW w:w="5000" w:type="dxa"/>
          </w:tcPr>
          <w:p w14:paraId="3DE1532B" w14:textId="7BE1545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Ist auf Basis der Kostenschätzung eine Vorzugsvariante gewählt – und trägt der Business Case die Weiterplanung?</w:t>
            </w:r>
          </w:p>
        </w:tc>
      </w:tr>
      <w:tr w:rsidR="00A4494E" w:rsidRPr="00325CBE" w14:paraId="6CA671F7"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700" w:type="dxa"/>
          </w:tcPr>
          <w:p w14:paraId="7808D2E6" w14:textId="0E6D91B5" w:rsidR="00A4494E" w:rsidRPr="00325CBE" w:rsidRDefault="00A038EC">
            <w:pPr>
              <w:pStyle w:val="Compact"/>
              <w:spacing w:before="0" w:after="40"/>
              <w:rPr>
                <w:lang w:val="de-DE"/>
              </w:rPr>
            </w:pPr>
            <w:r w:rsidRPr="00325CBE">
              <w:rPr>
                <w:rFonts w:eastAsia="Cambria"/>
                <w:sz w:val="18"/>
                <w:szCs w:val="18"/>
                <w:lang w:val="de-DE"/>
              </w:rPr>
              <w:t>LPH 3</w:t>
            </w:r>
          </w:p>
        </w:tc>
        <w:tc>
          <w:tcPr>
            <w:tcW w:w="2500" w:type="dxa"/>
          </w:tcPr>
          <w:p w14:paraId="058FBDB7" w14:textId="1C7B8939"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Entwurfsplanung</w:t>
            </w:r>
          </w:p>
        </w:tc>
        <w:tc>
          <w:tcPr>
            <w:tcW w:w="5000" w:type="dxa"/>
          </w:tcPr>
          <w:p w14:paraId="766DC834" w14:textId="4A4C1996"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Tragen Entwurf und Kostenberechnung eine belastbare Investitionsentscheidung (FID) – inklusive Risiken, Terminen und Finanzierung?</w:t>
            </w:r>
          </w:p>
        </w:tc>
      </w:tr>
      <w:tr w:rsidR="00A4494E" w:rsidRPr="00325CBE" w14:paraId="479886D4"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tcPr>
          <w:p w14:paraId="68456E6E" w14:textId="647E6D13" w:rsidR="00A4494E" w:rsidRPr="00325CBE" w:rsidRDefault="00A038EC">
            <w:pPr>
              <w:pStyle w:val="Compact"/>
              <w:spacing w:before="0" w:after="40"/>
              <w:rPr>
                <w:lang w:val="de-DE"/>
              </w:rPr>
            </w:pPr>
            <w:r w:rsidRPr="00325CBE">
              <w:rPr>
                <w:rFonts w:eastAsia="Cambria"/>
                <w:sz w:val="18"/>
                <w:szCs w:val="18"/>
                <w:lang w:val="de-DE"/>
              </w:rPr>
              <w:t>LPH 4</w:t>
            </w:r>
          </w:p>
        </w:tc>
        <w:tc>
          <w:tcPr>
            <w:tcW w:w="2500" w:type="dxa"/>
          </w:tcPr>
          <w:p w14:paraId="4AAA67E6" w14:textId="612B6D15"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Genehmigungs­planung</w:t>
            </w:r>
          </w:p>
        </w:tc>
        <w:tc>
          <w:tcPr>
            <w:tcW w:w="5000" w:type="dxa"/>
          </w:tcPr>
          <w:p w14:paraId="0660B8A7" w14:textId="5A04B025"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Sind die Genehmigungsunterlagen eingereicht beziehungsweise die Genehmigungslage gesichert – und sind Auflagen und Risiken bewertet?</w:t>
            </w:r>
          </w:p>
        </w:tc>
      </w:tr>
      <w:tr w:rsidR="00A4494E" w:rsidRPr="00325CBE" w14:paraId="36C2F663"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700" w:type="dxa"/>
          </w:tcPr>
          <w:p w14:paraId="6797276F" w14:textId="77777777" w:rsidR="00A4494E" w:rsidRPr="00325CBE" w:rsidRDefault="00A038EC">
            <w:pPr>
              <w:pStyle w:val="Compact"/>
              <w:spacing w:before="0" w:after="40"/>
              <w:rPr>
                <w:lang w:val="de-DE"/>
              </w:rPr>
            </w:pPr>
            <w:r w:rsidRPr="00325CBE">
              <w:rPr>
                <w:rFonts w:eastAsia="Cambria"/>
                <w:sz w:val="18"/>
                <w:szCs w:val="18"/>
                <w:lang w:val="de-DE"/>
              </w:rPr>
              <w:t>LPH 5</w:t>
            </w:r>
          </w:p>
        </w:tc>
        <w:tc>
          <w:tcPr>
            <w:tcW w:w="2500" w:type="dxa"/>
          </w:tcPr>
          <w:p w14:paraId="2CD0AFB5"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Ausführungs­planung</w:t>
            </w:r>
          </w:p>
        </w:tc>
        <w:tc>
          <w:tcPr>
            <w:tcW w:w="5000" w:type="dxa"/>
          </w:tcPr>
          <w:p w14:paraId="5CF1792F"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Ist die Ausführungs­planung so vollständig und koordiniert, dass Vergabe und Ausführung ohne Planungsvorbehalte starten können?</w:t>
            </w:r>
          </w:p>
        </w:tc>
      </w:tr>
      <w:tr w:rsidR="00A4494E" w:rsidRPr="00325CBE" w14:paraId="14E544FB"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tcPr>
          <w:p w14:paraId="07CE960E" w14:textId="77777777" w:rsidR="00A4494E" w:rsidRPr="00325CBE" w:rsidRDefault="00A038EC">
            <w:pPr>
              <w:pStyle w:val="Compact"/>
              <w:spacing w:before="0" w:after="40"/>
              <w:rPr>
                <w:lang w:val="de-DE"/>
              </w:rPr>
            </w:pPr>
            <w:r w:rsidRPr="00325CBE">
              <w:rPr>
                <w:rFonts w:eastAsia="Cambria"/>
                <w:sz w:val="18"/>
                <w:szCs w:val="18"/>
                <w:lang w:val="de-DE"/>
              </w:rPr>
              <w:t>LPH 6</w:t>
            </w:r>
          </w:p>
        </w:tc>
        <w:tc>
          <w:tcPr>
            <w:tcW w:w="2500" w:type="dxa"/>
          </w:tcPr>
          <w:p w14:paraId="1B5F5A4D"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Vorbereitung Vergabe</w:t>
            </w:r>
          </w:p>
        </w:tc>
        <w:tc>
          <w:tcPr>
            <w:tcW w:w="5000" w:type="dxa"/>
          </w:tcPr>
          <w:p w14:paraId="3417ECD4"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Sind Leistungsverzeichnisse und Vergabeunterlagen vollständig – und ist die Vergabestrategie mit Losen, Verfahren und Terminen beschlossen?</w:t>
            </w:r>
          </w:p>
        </w:tc>
      </w:tr>
      <w:tr w:rsidR="00A4494E" w:rsidRPr="00325CBE" w14:paraId="6B9F9511"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700" w:type="dxa"/>
          </w:tcPr>
          <w:p w14:paraId="5A10C9C0" w14:textId="77777777" w:rsidR="00A4494E" w:rsidRPr="00325CBE" w:rsidRDefault="00A038EC">
            <w:pPr>
              <w:pStyle w:val="Compact"/>
              <w:spacing w:before="0" w:after="40"/>
              <w:rPr>
                <w:lang w:val="de-DE"/>
              </w:rPr>
            </w:pPr>
            <w:r w:rsidRPr="00325CBE">
              <w:rPr>
                <w:rFonts w:eastAsia="Cambria"/>
                <w:sz w:val="18"/>
                <w:szCs w:val="18"/>
                <w:lang w:val="de-DE"/>
              </w:rPr>
              <w:lastRenderedPageBreak/>
              <w:t>LPH 7</w:t>
            </w:r>
          </w:p>
        </w:tc>
        <w:tc>
          <w:tcPr>
            <w:tcW w:w="2500" w:type="dxa"/>
          </w:tcPr>
          <w:p w14:paraId="51189EAB"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Vergabe</w:t>
            </w:r>
          </w:p>
        </w:tc>
        <w:tc>
          <w:tcPr>
            <w:tcW w:w="5000" w:type="dxa"/>
          </w:tcPr>
          <w:p w14:paraId="388BF0BF"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Ist das Vergabeergebnis geprüft und im Budgetrahmen – können Bauverträge geschlossen und Komponenten mit langer Lieferzeit gebunden werden?</w:t>
            </w:r>
          </w:p>
        </w:tc>
      </w:tr>
      <w:tr w:rsidR="00A4494E" w:rsidRPr="00325CBE" w14:paraId="6FB63A11"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tcPr>
          <w:p w14:paraId="3A68F8E6" w14:textId="77777777" w:rsidR="00A4494E" w:rsidRPr="00325CBE" w:rsidRDefault="00A038EC">
            <w:pPr>
              <w:pStyle w:val="Compact"/>
              <w:spacing w:before="0" w:after="40"/>
              <w:rPr>
                <w:lang w:val="de-DE"/>
              </w:rPr>
            </w:pPr>
            <w:r w:rsidRPr="00325CBE">
              <w:rPr>
                <w:rFonts w:eastAsia="Cambria"/>
                <w:sz w:val="18"/>
                <w:szCs w:val="18"/>
                <w:lang w:val="de-DE"/>
              </w:rPr>
              <w:t>LPH 8</w:t>
            </w:r>
          </w:p>
        </w:tc>
        <w:tc>
          <w:tcPr>
            <w:tcW w:w="2500" w:type="dxa"/>
          </w:tcPr>
          <w:p w14:paraId="6821730F"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Ausführung</w:t>
            </w:r>
          </w:p>
        </w:tc>
        <w:tc>
          <w:tcPr>
            <w:tcW w:w="5000" w:type="dxa"/>
          </w:tcPr>
          <w:p w14:paraId="6647E8AE"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Ist das Vorhaben vertragsgerecht fertiggestellt und abgenommen – sind Mängel, Dokumentation und Restleistungen sauber geführt?</w:t>
            </w:r>
          </w:p>
        </w:tc>
      </w:tr>
      <w:tr w:rsidR="00A4494E" w:rsidRPr="00325CBE" w14:paraId="69E670F9"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1700" w:type="dxa"/>
          </w:tcPr>
          <w:p w14:paraId="432F83D5" w14:textId="77777777" w:rsidR="00A4494E" w:rsidRPr="00325CBE" w:rsidRDefault="00A038EC">
            <w:pPr>
              <w:pStyle w:val="Compact"/>
              <w:spacing w:before="0" w:after="40"/>
              <w:rPr>
                <w:lang w:val="de-DE"/>
              </w:rPr>
            </w:pPr>
            <w:r w:rsidRPr="00325CBE">
              <w:rPr>
                <w:rFonts w:eastAsia="Cambria"/>
                <w:sz w:val="18"/>
                <w:szCs w:val="18"/>
                <w:lang w:val="de-DE"/>
              </w:rPr>
              <w:t>LPH 9</w:t>
            </w:r>
          </w:p>
        </w:tc>
        <w:tc>
          <w:tcPr>
            <w:tcW w:w="2500" w:type="dxa"/>
          </w:tcPr>
          <w:p w14:paraId="10E14A50"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Übergabe</w:t>
            </w:r>
          </w:p>
        </w:tc>
        <w:tc>
          <w:tcPr>
            <w:tcW w:w="5000" w:type="dxa"/>
          </w:tcPr>
          <w:p w14:paraId="2DECA0ED"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Kann das Vorhaben geordnet in Betrieb und Verantwortung des Bauherrn übergehen – mit vollständiger Nachweislage und geklärten Betriebsverantwortungen?</w:t>
            </w:r>
          </w:p>
        </w:tc>
      </w:tr>
    </w:tbl>
    <w:p w14:paraId="4888E83C" w14:textId="77777777" w:rsidR="00A4494E" w:rsidRPr="00325CBE" w:rsidRDefault="00A038EC">
      <w:pPr>
        <w:pStyle w:val="berschrift2"/>
        <w:rPr>
          <w:kern w:val="2"/>
        </w:rPr>
      </w:pPr>
      <w:bookmarkStart w:id="139" w:name="gate-set-g0-g5"/>
      <w:bookmarkStart w:id="140" w:name="_Toc234746099"/>
      <w:bookmarkStart w:id="141" w:name="_Toc239764953"/>
      <w:bookmarkEnd w:id="139"/>
      <w:r w:rsidRPr="00325CBE">
        <w:t>Standard für Entscheidungsvorlagen als Nachweislogik</w:t>
      </w:r>
      <w:bookmarkEnd w:id="140"/>
      <w:bookmarkEnd w:id="141"/>
    </w:p>
    <w:p w14:paraId="47420F3A" w14:textId="77777777" w:rsidR="00A4494E" w:rsidRPr="00325CBE" w:rsidRDefault="00A038EC">
      <w:pPr>
        <w:pStyle w:val="Textkrper"/>
        <w:rPr>
          <w:kern w:val="2"/>
          <w:lang w:val="de-DE"/>
        </w:rPr>
      </w:pPr>
      <w:r w:rsidRPr="00325CBE">
        <w:rPr>
          <w:lang w:val="de-DE"/>
        </w:rPr>
        <w:t>Die Entscheidungsvorlage beschreibt, welche Nachweislogik für wesentliche Bauherrenentscheidungen erforderlich ist. Ziel ist, dass spätere Dritte nachvollziehen können, welche Frage entschieden wurde, auf welchem Datenstand, mit welchen Optionen, Annahmen, Risiken, Empfehlungen und Freigaben.</w:t>
      </w:r>
    </w:p>
    <w:p w14:paraId="4C4EFE35" w14:textId="77777777" w:rsidR="00A4494E" w:rsidRPr="00325CBE" w:rsidRDefault="00A038EC">
      <w:pPr>
        <w:pStyle w:val="Textkrper"/>
        <w:rPr>
          <w:lang w:val="de-DE"/>
        </w:rPr>
      </w:pPr>
      <w:r w:rsidRPr="00325CBE">
        <w:rPr>
          <w:lang w:val="de-DE"/>
        </w:rPr>
        <w:t>Eine Entscheidungsvorlage sollte für wesentliche Entscheidungen folgende Logik abbilden:</w:t>
      </w:r>
    </w:p>
    <w:p w14:paraId="0D7B24CD" w14:textId="77777777" w:rsidR="00A4494E" w:rsidRPr="00325CBE" w:rsidRDefault="00A038EC">
      <w:pPr>
        <w:pStyle w:val="Compact"/>
        <w:numPr>
          <w:ilvl w:val="0"/>
          <w:numId w:val="25"/>
        </w:numPr>
        <w:rPr>
          <w:lang w:val="de-DE"/>
        </w:rPr>
      </w:pPr>
      <w:r w:rsidRPr="00325CBE">
        <w:rPr>
          <w:lang w:val="de-DE"/>
        </w:rPr>
        <w:t>eindeutige Entscheidungs-ID</w:t>
      </w:r>
    </w:p>
    <w:p w14:paraId="483F9561" w14:textId="77777777" w:rsidR="00A4494E" w:rsidRPr="00325CBE" w:rsidRDefault="00A038EC">
      <w:pPr>
        <w:pStyle w:val="Compact"/>
        <w:numPr>
          <w:ilvl w:val="0"/>
          <w:numId w:val="26"/>
        </w:numPr>
        <w:rPr>
          <w:lang w:val="de-DE"/>
        </w:rPr>
      </w:pPr>
      <w:r w:rsidRPr="00325CBE">
        <w:rPr>
          <w:lang w:val="de-DE"/>
        </w:rPr>
        <w:t>Entscheidungsfrage</w:t>
      </w:r>
    </w:p>
    <w:p w14:paraId="4A5279F6" w14:textId="77777777" w:rsidR="00A4494E" w:rsidRPr="00325CBE" w:rsidRDefault="00A038EC">
      <w:pPr>
        <w:pStyle w:val="Compact"/>
        <w:numPr>
          <w:ilvl w:val="0"/>
          <w:numId w:val="27"/>
        </w:numPr>
        <w:rPr>
          <w:lang w:val="de-DE"/>
        </w:rPr>
      </w:pPr>
      <w:r w:rsidRPr="00325CBE">
        <w:rPr>
          <w:lang w:val="de-DE"/>
        </w:rPr>
        <w:t>betroffene Freigabe</w:t>
      </w:r>
    </w:p>
    <w:p w14:paraId="591DB665" w14:textId="77777777" w:rsidR="00A4494E" w:rsidRPr="00325CBE" w:rsidRDefault="00A038EC">
      <w:pPr>
        <w:pStyle w:val="Compact"/>
        <w:numPr>
          <w:ilvl w:val="0"/>
          <w:numId w:val="28"/>
        </w:numPr>
        <w:rPr>
          <w:lang w:val="de-DE"/>
        </w:rPr>
      </w:pPr>
      <w:r w:rsidRPr="00325CBE">
        <w:rPr>
          <w:lang w:val="de-DE"/>
        </w:rPr>
        <w:t>Verantwortungsfeld</w:t>
      </w:r>
    </w:p>
    <w:p w14:paraId="63EB2D56" w14:textId="77777777" w:rsidR="00A4494E" w:rsidRPr="00325CBE" w:rsidRDefault="00A038EC">
      <w:pPr>
        <w:pStyle w:val="Compact"/>
        <w:numPr>
          <w:ilvl w:val="0"/>
          <w:numId w:val="29"/>
        </w:numPr>
        <w:rPr>
          <w:lang w:val="de-DE"/>
        </w:rPr>
      </w:pPr>
      <w:r w:rsidRPr="00325CBE">
        <w:rPr>
          <w:lang w:val="de-DE"/>
        </w:rPr>
        <w:t>Mandat und letztverantwortliche Rolle</w:t>
      </w:r>
    </w:p>
    <w:p w14:paraId="5037249E" w14:textId="77777777" w:rsidR="00A4494E" w:rsidRPr="00325CBE" w:rsidRDefault="00A038EC">
      <w:pPr>
        <w:pStyle w:val="Compact"/>
        <w:numPr>
          <w:ilvl w:val="0"/>
          <w:numId w:val="30"/>
        </w:numPr>
        <w:rPr>
          <w:lang w:val="de-DE"/>
        </w:rPr>
      </w:pPr>
      <w:r w:rsidRPr="00325CBE">
        <w:rPr>
          <w:lang w:val="de-DE"/>
        </w:rPr>
        <w:t>Datenstand und zentrale Annahmen</w:t>
      </w:r>
    </w:p>
    <w:p w14:paraId="6E849C36" w14:textId="77777777" w:rsidR="00A4494E" w:rsidRPr="00325CBE" w:rsidRDefault="00A038EC">
      <w:pPr>
        <w:pStyle w:val="Compact"/>
        <w:numPr>
          <w:ilvl w:val="0"/>
          <w:numId w:val="31"/>
        </w:numPr>
        <w:rPr>
          <w:lang w:val="de-DE"/>
        </w:rPr>
      </w:pPr>
      <w:r w:rsidRPr="00325CBE">
        <w:rPr>
          <w:lang w:val="de-DE"/>
        </w:rPr>
        <w:t>Optionen und Konsequenzen</w:t>
      </w:r>
    </w:p>
    <w:p w14:paraId="7069A326" w14:textId="77777777" w:rsidR="00A4494E" w:rsidRPr="00325CBE" w:rsidRDefault="00A038EC">
      <w:pPr>
        <w:pStyle w:val="Compact"/>
        <w:numPr>
          <w:ilvl w:val="0"/>
          <w:numId w:val="32"/>
        </w:numPr>
        <w:rPr>
          <w:lang w:val="de-DE"/>
        </w:rPr>
      </w:pPr>
      <w:r w:rsidRPr="00325CBE">
        <w:rPr>
          <w:lang w:val="de-DE"/>
        </w:rPr>
        <w:t>Wirkung auf Kosten, Termin, Qualität, Projektumfang, Risiko und ESG/LCC</w:t>
      </w:r>
    </w:p>
    <w:p w14:paraId="1FA4D96D" w14:textId="77777777" w:rsidR="00A4494E" w:rsidRPr="00325CBE" w:rsidRDefault="00A038EC">
      <w:pPr>
        <w:pStyle w:val="Compact"/>
        <w:numPr>
          <w:ilvl w:val="0"/>
          <w:numId w:val="33"/>
        </w:numPr>
        <w:rPr>
          <w:lang w:val="de-DE"/>
        </w:rPr>
      </w:pPr>
      <w:r w:rsidRPr="00325CBE">
        <w:rPr>
          <w:lang w:val="de-DE"/>
        </w:rPr>
        <w:t>Empfehlung</w:t>
      </w:r>
    </w:p>
    <w:p w14:paraId="1235DE60" w14:textId="77777777" w:rsidR="00A4494E" w:rsidRPr="00325CBE" w:rsidRDefault="00A038EC">
      <w:pPr>
        <w:pStyle w:val="Compact"/>
        <w:numPr>
          <w:ilvl w:val="0"/>
          <w:numId w:val="34"/>
        </w:numPr>
        <w:rPr>
          <w:lang w:val="de-DE"/>
        </w:rPr>
      </w:pPr>
      <w:r w:rsidRPr="00325CBE">
        <w:rPr>
          <w:lang w:val="de-DE"/>
        </w:rPr>
        <w:t>Freigabe- oder Eskalationsweg</w:t>
      </w:r>
    </w:p>
    <w:p w14:paraId="37A0D00F" w14:textId="00E65C67" w:rsidR="00A4494E" w:rsidRPr="00325CBE" w:rsidRDefault="00A038EC">
      <w:pPr>
        <w:pStyle w:val="Compact"/>
        <w:numPr>
          <w:ilvl w:val="0"/>
          <w:numId w:val="35"/>
        </w:numPr>
        <w:rPr>
          <w:lang w:val="de-DE"/>
        </w:rPr>
      </w:pPr>
      <w:r w:rsidRPr="00325CBE">
        <w:rPr>
          <w:lang w:val="de-DE"/>
        </w:rPr>
        <w:t>Freigabeprozess (sechsstufig, jede Stufe wird signiert): offen → in Prüfung → vorbereitet → freigegeben → beschlossen | abgelehnt</w:t>
      </w:r>
    </w:p>
    <w:p w14:paraId="2F5A985B" w14:textId="77777777" w:rsidR="00A4494E" w:rsidRPr="00325CBE" w:rsidRDefault="00A038EC">
      <w:pPr>
        <w:pStyle w:val="Compact"/>
        <w:numPr>
          <w:ilvl w:val="0"/>
          <w:numId w:val="36"/>
        </w:numPr>
        <w:rPr>
          <w:lang w:val="de-DE"/>
        </w:rPr>
      </w:pPr>
      <w:r w:rsidRPr="00325CBE">
        <w:rPr>
          <w:lang w:val="de-DE"/>
        </w:rPr>
        <w:t>Beschlu</w:t>
      </w:r>
      <w:r w:rsidRPr="00325CBE">
        <w:rPr>
          <w:rStyle w:val="Formatvorlage1Zchn"/>
        </w:rPr>
        <w:t>ss</w:t>
      </w:r>
      <w:r w:rsidRPr="00325CBE">
        <w:rPr>
          <w:lang w:val="de-DE"/>
        </w:rPr>
        <w:t>lage</w:t>
      </w:r>
    </w:p>
    <w:p w14:paraId="4193AAC8" w14:textId="77777777" w:rsidR="00A4494E" w:rsidRPr="00325CBE" w:rsidRDefault="00A038EC">
      <w:pPr>
        <w:pStyle w:val="Compact"/>
        <w:numPr>
          <w:ilvl w:val="0"/>
          <w:numId w:val="37"/>
        </w:numPr>
        <w:rPr>
          <w:lang w:val="de-DE"/>
        </w:rPr>
      </w:pPr>
      <w:r w:rsidRPr="00325CBE">
        <w:rPr>
          <w:lang w:val="de-DE"/>
        </w:rPr>
        <w:t>Nachverfolgung</w:t>
      </w:r>
    </w:p>
    <w:p w14:paraId="590B9EAF" w14:textId="77777777" w:rsidR="00A4494E" w:rsidRPr="00325CBE" w:rsidRDefault="00A038EC">
      <w:pPr>
        <w:pStyle w:val="FirstParagraph"/>
        <w:rPr>
          <w:lang w:val="de-DE"/>
        </w:rPr>
      </w:pPr>
      <w:r w:rsidRPr="00325CBE">
        <w:rPr>
          <w:lang w:val="de-DE"/>
        </w:rPr>
        <w:t>Damit wird die Entscheidung nicht schwerer, sondern belastbarer. Ein guter Standard für Entscheidungsvorlagen reduziert Unklarheit, weil er früh festlegt, welche Informationen wirklich entscheidungsrelevant sind.</w:t>
      </w:r>
    </w:p>
    <w:p w14:paraId="2DD38C39" w14:textId="77777777" w:rsidR="00A4494E" w:rsidRPr="00325CBE" w:rsidRDefault="00A038EC">
      <w:pPr>
        <w:pStyle w:val="berschrift2"/>
        <w:rPr>
          <w:kern w:val="2"/>
        </w:rPr>
      </w:pPr>
      <w:bookmarkStart w:id="142" w:name="_Toc234746100"/>
      <w:bookmarkStart w:id="143" w:name="_Toc239764954"/>
      <w:r w:rsidRPr="00325CBE">
        <w:t>Betriebshandbuch</w:t>
      </w:r>
      <w:bookmarkEnd w:id="142"/>
      <w:bookmarkEnd w:id="143"/>
    </w:p>
    <w:p w14:paraId="27B728B8" w14:textId="2073908B" w:rsidR="00A4494E" w:rsidRPr="00325CBE" w:rsidRDefault="00A038EC">
      <w:pPr>
        <w:pStyle w:val="Textkrper"/>
        <w:rPr>
          <w:kern w:val="2"/>
          <w:lang w:val="de-DE"/>
        </w:rPr>
      </w:pPr>
      <w:r w:rsidRPr="00325CBE">
        <w:rPr>
          <w:lang w:val="de-DE"/>
        </w:rPr>
        <w:t>Das Betriebshandbuch ist das verbindliche abschließende Ergebnisdokument für den Regelbetrieb des Bauherren-Führungsmodells. Es beschreibt, wie MVG nach Abschluss des Mandats weiter betrieben wird.</w:t>
      </w:r>
    </w:p>
    <w:p w14:paraId="38A1F5A8" w14:textId="77777777" w:rsidR="00A4494E" w:rsidRPr="00325CBE" w:rsidRDefault="00A038EC">
      <w:pPr>
        <w:pStyle w:val="Textkrper"/>
        <w:rPr>
          <w:lang w:val="de-DE"/>
        </w:rPr>
      </w:pPr>
      <w:r w:rsidRPr="00325CBE">
        <w:rPr>
          <w:lang w:val="de-DE"/>
        </w:rPr>
        <w:t>Ein Betriebshandbuch enthält typischerweise:</w:t>
      </w:r>
    </w:p>
    <w:p w14:paraId="385A0D91" w14:textId="77777777" w:rsidR="00A4494E" w:rsidRPr="00325CBE" w:rsidRDefault="00A038EC">
      <w:pPr>
        <w:pStyle w:val="Compact"/>
        <w:numPr>
          <w:ilvl w:val="0"/>
          <w:numId w:val="38"/>
        </w:numPr>
        <w:rPr>
          <w:lang w:val="de-DE"/>
        </w:rPr>
      </w:pPr>
      <w:r w:rsidRPr="00325CBE">
        <w:rPr>
          <w:lang w:val="de-DE"/>
        </w:rPr>
        <w:t>Rollen und Verantwortlichkeiten im Regelbetrieb</w:t>
      </w:r>
    </w:p>
    <w:p w14:paraId="71C73DDA" w14:textId="77777777" w:rsidR="00A4494E" w:rsidRPr="00325CBE" w:rsidRDefault="00A038EC">
      <w:pPr>
        <w:pStyle w:val="Compact"/>
        <w:numPr>
          <w:ilvl w:val="0"/>
          <w:numId w:val="39"/>
        </w:numPr>
        <w:rPr>
          <w:lang w:val="de-DE"/>
        </w:rPr>
      </w:pPr>
      <w:r w:rsidRPr="00325CBE">
        <w:rPr>
          <w:lang w:val="de-DE"/>
        </w:rPr>
        <w:t>Taktung von Governance-Terminen</w:t>
      </w:r>
    </w:p>
    <w:p w14:paraId="039CCDA8" w14:textId="77777777" w:rsidR="00A4494E" w:rsidRPr="00325CBE" w:rsidRDefault="00A038EC">
      <w:pPr>
        <w:pStyle w:val="Compact"/>
        <w:numPr>
          <w:ilvl w:val="0"/>
          <w:numId w:val="40"/>
        </w:numPr>
        <w:rPr>
          <w:lang w:val="de-DE"/>
        </w:rPr>
      </w:pPr>
      <w:r w:rsidRPr="00325CBE">
        <w:rPr>
          <w:lang w:val="de-DE"/>
        </w:rPr>
        <w:t>Zuständigkeit für Entscheidungsregister</w:t>
      </w:r>
    </w:p>
    <w:p w14:paraId="318A6A71" w14:textId="77777777" w:rsidR="00A4494E" w:rsidRPr="00325CBE" w:rsidRDefault="00A038EC">
      <w:pPr>
        <w:pStyle w:val="Compact"/>
        <w:numPr>
          <w:ilvl w:val="0"/>
          <w:numId w:val="41"/>
        </w:numPr>
        <w:rPr>
          <w:lang w:val="de-DE"/>
        </w:rPr>
      </w:pPr>
      <w:r w:rsidRPr="00325CBE">
        <w:rPr>
          <w:lang w:val="de-DE"/>
        </w:rPr>
        <w:lastRenderedPageBreak/>
        <w:t>Freigabevorbereitung und Managementbericht zur Freigabe</w:t>
      </w:r>
    </w:p>
    <w:p w14:paraId="262244AC" w14:textId="77777777" w:rsidR="00A4494E" w:rsidRPr="00325CBE" w:rsidRDefault="00A038EC">
      <w:pPr>
        <w:pStyle w:val="Compact"/>
        <w:numPr>
          <w:ilvl w:val="0"/>
          <w:numId w:val="42"/>
        </w:numPr>
        <w:rPr>
          <w:lang w:val="de-DE"/>
        </w:rPr>
      </w:pPr>
      <w:r w:rsidRPr="00325CBE">
        <w:rPr>
          <w:lang w:val="de-DE"/>
        </w:rPr>
        <w:t>Datenstands- und Nachweislogik</w:t>
      </w:r>
    </w:p>
    <w:p w14:paraId="0BB1493D" w14:textId="77777777" w:rsidR="00A4494E" w:rsidRPr="00325CBE" w:rsidRDefault="00A038EC">
      <w:pPr>
        <w:pStyle w:val="Compact"/>
        <w:numPr>
          <w:ilvl w:val="0"/>
          <w:numId w:val="43"/>
        </w:numPr>
        <w:rPr>
          <w:lang w:val="de-DE"/>
        </w:rPr>
      </w:pPr>
      <w:r w:rsidRPr="00325CBE">
        <w:rPr>
          <w:lang w:val="de-DE"/>
        </w:rPr>
        <w:t>Eskalationswege</w:t>
      </w:r>
    </w:p>
    <w:p w14:paraId="2B5358F7" w14:textId="77777777" w:rsidR="00A4494E" w:rsidRPr="00325CBE" w:rsidRDefault="00A038EC">
      <w:pPr>
        <w:pStyle w:val="Compact"/>
        <w:numPr>
          <w:ilvl w:val="0"/>
          <w:numId w:val="44"/>
        </w:numPr>
        <w:rPr>
          <w:lang w:val="de-DE"/>
        </w:rPr>
      </w:pPr>
      <w:r w:rsidRPr="00325CBE">
        <w:rPr>
          <w:lang w:val="de-DE"/>
        </w:rPr>
        <w:t>Umgang mit Risiken, Änderungen und Maßnahmen</w:t>
      </w:r>
    </w:p>
    <w:p w14:paraId="3788D139" w14:textId="77777777" w:rsidR="00A4494E" w:rsidRPr="00325CBE" w:rsidRDefault="00A038EC">
      <w:pPr>
        <w:pStyle w:val="Compact"/>
        <w:numPr>
          <w:ilvl w:val="0"/>
          <w:numId w:val="45"/>
        </w:numPr>
        <w:rPr>
          <w:lang w:val="de-DE"/>
        </w:rPr>
      </w:pPr>
      <w:r w:rsidRPr="00325CBE">
        <w:rPr>
          <w:lang w:val="de-DE"/>
        </w:rPr>
        <w:t>Prüfroutinen</w:t>
      </w:r>
    </w:p>
    <w:p w14:paraId="16CF5B37" w14:textId="77777777" w:rsidR="00A4494E" w:rsidRPr="00325CBE" w:rsidRDefault="00A038EC">
      <w:pPr>
        <w:pStyle w:val="Compact"/>
        <w:numPr>
          <w:ilvl w:val="0"/>
          <w:numId w:val="46"/>
        </w:numPr>
        <w:rPr>
          <w:lang w:val="de-DE"/>
        </w:rPr>
      </w:pPr>
      <w:r w:rsidRPr="00325CBE">
        <w:rPr>
          <w:lang w:val="de-DE"/>
        </w:rPr>
        <w:t>Verbesserungsvorrat</w:t>
      </w:r>
    </w:p>
    <w:p w14:paraId="2BEB08DA" w14:textId="77777777" w:rsidR="00A4494E" w:rsidRPr="00325CBE" w:rsidRDefault="00A038EC">
      <w:pPr>
        <w:pStyle w:val="Compact"/>
        <w:numPr>
          <w:ilvl w:val="0"/>
          <w:numId w:val="47"/>
        </w:numPr>
        <w:rPr>
          <w:lang w:val="de-DE"/>
        </w:rPr>
      </w:pPr>
      <w:r w:rsidRPr="00325CBE">
        <w:rPr>
          <w:lang w:val="de-DE"/>
        </w:rPr>
        <w:t>Übergabe- und Abnahmelogik</w:t>
      </w:r>
    </w:p>
    <w:p w14:paraId="72BF4BB0" w14:textId="77777777" w:rsidR="00A4494E" w:rsidRPr="00325CBE" w:rsidRDefault="00A038EC">
      <w:pPr>
        <w:pStyle w:val="Textkrper"/>
        <w:rPr>
          <w:kern w:val="2"/>
          <w:lang w:val="de-DE"/>
        </w:rPr>
      </w:pPr>
      <w:bookmarkStart w:id="144" w:name="runbook"/>
      <w:bookmarkEnd w:id="144"/>
      <w:r w:rsidRPr="00325CBE">
        <w:rPr>
          <w:lang w:val="de-DE"/>
        </w:rPr>
        <w:t>Der Wert des Betriebshandbuchs liegt darin, dass MVG nicht als Beratungsprodukt endet, sondern als wiederholbare Bauherrenroutine weiterläuft. Wie diese Ergebnisobjekte in unterschiedlichen Bauherrenkonstellationen wirken, zeigen die folgenden Anwendungssituationen.</w:t>
      </w:r>
    </w:p>
    <w:p w14:paraId="2FC79D7E" w14:textId="77777777" w:rsidR="00A4494E" w:rsidRPr="00325CBE" w:rsidRDefault="00A038EC">
      <w:pPr>
        <w:pStyle w:val="berschrift1"/>
        <w:rPr>
          <w:lang w:val="de-DE"/>
        </w:rPr>
      </w:pPr>
      <w:bookmarkStart w:id="145" w:name="befähigungs--und-handover-logik"/>
      <w:bookmarkStart w:id="146" w:name="ergebnisbild-und-deliverables"/>
      <w:bookmarkStart w:id="147" w:name="_Toc234746101"/>
      <w:bookmarkStart w:id="148" w:name="_Toc239764955"/>
      <w:bookmarkEnd w:id="145"/>
      <w:bookmarkEnd w:id="146"/>
      <w:r w:rsidRPr="00325CBE">
        <w:rPr>
          <w:lang w:val="de-DE"/>
        </w:rPr>
        <w:t>Anwendungssituationen und Praxislogik</w:t>
      </w:r>
      <w:bookmarkEnd w:id="147"/>
      <w:bookmarkEnd w:id="148"/>
    </w:p>
    <w:p w14:paraId="17F1BCAC" w14:textId="459DC6EB" w:rsidR="00A4494E" w:rsidRPr="00325CBE" w:rsidRDefault="006B6521">
      <w:pPr>
        <w:pStyle w:val="Textkrper"/>
        <w:jc w:val="center"/>
        <w:rPr>
          <w:lang w:val="de-DE"/>
        </w:rPr>
      </w:pPr>
      <w:r w:rsidRPr="00325CBE">
        <w:rPr>
          <w:noProof/>
          <w:lang w:val="de-DE"/>
        </w:rPr>
        <w:drawing>
          <wp:inline distT="0" distB="0" distL="0" distR="0" wp14:anchorId="1A60646A" wp14:editId="33B5A065">
            <wp:extent cx="5971540" cy="4458970"/>
            <wp:effectExtent l="0" t="0" r="0" b="0"/>
            <wp:docPr id="1832146303"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1540" cy="4458970"/>
                    </a:xfrm>
                    <a:prstGeom prst="rect">
                      <a:avLst/>
                    </a:prstGeom>
                    <a:noFill/>
                    <a:ln>
                      <a:noFill/>
                    </a:ln>
                  </pic:spPr>
                </pic:pic>
              </a:graphicData>
            </a:graphic>
          </wp:inline>
        </w:drawing>
      </w:r>
    </w:p>
    <w:p w14:paraId="2FDFDA6B" w14:textId="77777777" w:rsidR="00A4494E" w:rsidRPr="00325CBE" w:rsidRDefault="00A038EC">
      <w:pPr>
        <w:pStyle w:val="berschrift2"/>
        <w:rPr>
          <w:i/>
          <w:kern w:val="2"/>
        </w:rPr>
      </w:pPr>
      <w:bookmarkStart w:id="149" w:name="_Toc230094111"/>
      <w:bookmarkStart w:id="150" w:name="_Toc234746102"/>
      <w:bookmarkStart w:id="151" w:name="_Toc239764956"/>
      <w:bookmarkEnd w:id="149"/>
      <w:r w:rsidRPr="00325CBE">
        <w:t>Öffentliche Bauherren</w:t>
      </w:r>
      <w:bookmarkEnd w:id="150"/>
      <w:bookmarkEnd w:id="151"/>
    </w:p>
    <w:p w14:paraId="39CAFCBC" w14:textId="77777777" w:rsidR="00A4494E" w:rsidRPr="00325CBE" w:rsidRDefault="00A038EC">
      <w:pPr>
        <w:pStyle w:val="Textkrper"/>
        <w:spacing w:before="96" w:after="96"/>
        <w:rPr>
          <w:kern w:val="2"/>
          <w:lang w:val="de-DE"/>
        </w:rPr>
      </w:pPr>
      <w:r w:rsidRPr="00325CBE">
        <w:rPr>
          <w:lang w:val="de-DE"/>
        </w:rPr>
        <w:t>Öffentliche Bauherren stehen häufig unter hoher Nachweis-, Gremien- und Vergabekomplexität. Entscheidungen müssen nicht nur sachlich plausibel, sondern auch nachvollziehbar, prüfbar und beschlussfähig sein. Der Nutzen des Ansatzes von Bauherr Mentoren liegt hier in klaren Mandaten, Entscheidungsvorlagen, Freigabelogik, Protokollstandard, Vergabeanbindung und belastbar dokumentierten Eskalationen.</w:t>
      </w:r>
    </w:p>
    <w:p w14:paraId="3B4E852D" w14:textId="77777777" w:rsidR="00A4494E" w:rsidRPr="00325CBE" w:rsidRDefault="00A038EC">
      <w:pPr>
        <w:pStyle w:val="berschrift2"/>
        <w:rPr>
          <w:kern w:val="2"/>
        </w:rPr>
      </w:pPr>
      <w:bookmarkStart w:id="152" w:name="_Toc230094112"/>
      <w:bookmarkStart w:id="153" w:name="_Toc234746103"/>
      <w:bookmarkStart w:id="154" w:name="_Toc239764957"/>
      <w:bookmarkEnd w:id="152"/>
      <w:r w:rsidRPr="00325CBE">
        <w:lastRenderedPageBreak/>
        <w:t>Private und institutionelle Bauherren</w:t>
      </w:r>
      <w:bookmarkEnd w:id="153"/>
      <w:bookmarkEnd w:id="154"/>
    </w:p>
    <w:p w14:paraId="4E57D0C2" w14:textId="77777777" w:rsidR="00A4494E" w:rsidRPr="00325CBE" w:rsidRDefault="00A038EC">
      <w:pPr>
        <w:pStyle w:val="Textkrper"/>
        <w:spacing w:before="96" w:after="96"/>
        <w:rPr>
          <w:lang w:val="de-DE"/>
        </w:rPr>
      </w:pPr>
      <w:r w:rsidRPr="00325CBE">
        <w:rPr>
          <w:lang w:val="de-DE"/>
        </w:rPr>
        <w:t>Private und institutionelle Bauherren benötigen Steuerbarkeit vor allem dort, wo Geschwindigkeit, Renditeanforderungen, Nutzerinteressen, Finanzierung, ESG/LCC und technische Komplexität zusammentreffen. Der Ansatz hilft, Zielkonflikte früh zu klären und operative Geschwindigkeit nicht gegen Entscheidungssicherheit auszuspielen.</w:t>
      </w:r>
    </w:p>
    <w:p w14:paraId="19F09246" w14:textId="77777777" w:rsidR="00A4494E" w:rsidRPr="00325CBE" w:rsidRDefault="00A038EC">
      <w:pPr>
        <w:pStyle w:val="berschrift2"/>
        <w:rPr>
          <w:kern w:val="2"/>
        </w:rPr>
      </w:pPr>
      <w:bookmarkStart w:id="155" w:name="_Toc234746104"/>
      <w:bookmarkStart w:id="156" w:name="_Toc239764958"/>
      <w:r w:rsidRPr="00325CBE">
        <w:t>Energieversorger und Infrastrukturträger</w:t>
      </w:r>
      <w:bookmarkEnd w:id="155"/>
      <w:bookmarkEnd w:id="156"/>
    </w:p>
    <w:p w14:paraId="3D283B35" w14:textId="1A031D2C" w:rsidR="00A4494E" w:rsidRPr="00325CBE" w:rsidRDefault="00A038EC">
      <w:pPr>
        <w:pStyle w:val="Textkrper"/>
        <w:spacing w:before="96" w:after="96"/>
        <w:rPr>
          <w:lang w:val="de-DE"/>
        </w:rPr>
      </w:pPr>
      <w:r w:rsidRPr="00325CBE">
        <w:rPr>
          <w:lang w:val="de-DE"/>
        </w:rPr>
        <w:t xml:space="preserve">Bei Energieversorgern und Infrastrukturträgern verschieben sich Projektrisiken häufig in Freigaben, Priorisierung, Beschaffung, Entscheidungen zu Komponenten mit langer Lieferzeit und die Disziplin bei der Restkostenprognose. Besonders relevant sind Projektklassenlogik, Entscheidungen über Fortführung oder Stopp, </w:t>
      </w:r>
      <w:proofErr w:type="gramStart"/>
      <w:r w:rsidR="00DA2F99" w:rsidRPr="00325CBE">
        <w:rPr>
          <w:lang w:val="de-DE"/>
        </w:rPr>
        <w:t>Neu Priorisierung</w:t>
      </w:r>
      <w:proofErr w:type="gramEnd"/>
      <w:r w:rsidRPr="00325CBE">
        <w:rPr>
          <w:lang w:val="de-DE"/>
        </w:rPr>
        <w:t xml:space="preserve"> im Projektportfolio, Frühwarnungen, Änderungssteuerung, CTC und Prognose sowie die Freigabereife zum Abschluss von LPH 2 für Variantenwahl und Business Case, von LPH 3 für die FID nach Entwurfsplanung und Kostenberechnung und von LPH 7 für Vergabe oder die Bindung einer Komponente mit langer Lieferzeit.</w:t>
      </w:r>
    </w:p>
    <w:p w14:paraId="4B74276F" w14:textId="77777777" w:rsidR="00A4494E" w:rsidRPr="00325CBE" w:rsidRDefault="00A038EC">
      <w:pPr>
        <w:pStyle w:val="berschrift2"/>
        <w:rPr>
          <w:kern w:val="2"/>
        </w:rPr>
      </w:pPr>
      <w:bookmarkStart w:id="157" w:name="_Toc234746105"/>
      <w:bookmarkStart w:id="158" w:name="_Toc239764959"/>
      <w:r w:rsidRPr="00325CBE">
        <w:t>Projekte mit schleichendem Steuerungsverlust und MVG-Neuinitialisierung</w:t>
      </w:r>
      <w:bookmarkEnd w:id="157"/>
      <w:bookmarkEnd w:id="158"/>
    </w:p>
    <w:p w14:paraId="4219BC98" w14:textId="77777777" w:rsidR="00A4494E" w:rsidRPr="00325CBE" w:rsidRDefault="00A038EC">
      <w:pPr>
        <w:pStyle w:val="Textkrper"/>
        <w:spacing w:before="96" w:after="96"/>
        <w:rPr>
          <w:kern w:val="2"/>
          <w:lang w:val="de-DE"/>
        </w:rPr>
      </w:pPr>
      <w:r w:rsidRPr="00325CBE">
        <w:rPr>
          <w:lang w:val="de-DE"/>
        </w:rPr>
        <w:t>Projekte mit schleichendem Steuerungsverlust erkennt man selten an einem einzelnen Fehler. Typisch sind unterschiedliche Lagebilder, schleichende Prognoseabweichungen, informelle Eskalationen, ungeordnete Änderungen, unklare Entscheidungsmandate und eine fehlende Wirksamkeit von Maßnahmen. Oft reicht dann keine vollständige Neuaufsetzung, sondern eine gezielte MVG-Neuinitialisierung: Datenstand sichern, Entscheidungslandschaft ordnen, Mandate klären, erforderliche Freigaben nachholen oder wiederholen und den 30/60/90-Orientierungsrahmen für die Neuordnung nutzen. Wie eine solche MVG-Neuinitialisierung im Einzelnen abläuft, vertieft Kapitel 11.</w:t>
      </w:r>
    </w:p>
    <w:p w14:paraId="7064E2F1" w14:textId="77777777" w:rsidR="00A4494E" w:rsidRPr="00325CBE" w:rsidRDefault="00A038EC">
      <w:pPr>
        <w:pStyle w:val="berschrift2"/>
        <w:rPr>
          <w:kern w:val="2"/>
        </w:rPr>
      </w:pPr>
      <w:bookmarkStart w:id="159" w:name="_Toc234746106"/>
      <w:bookmarkStart w:id="160" w:name="_Toc239764960"/>
      <w:r w:rsidRPr="00325CBE">
        <w:t>Typische Entscheidungsprobleme</w:t>
      </w:r>
      <w:bookmarkEnd w:id="159"/>
      <w:bookmarkEnd w:id="160"/>
    </w:p>
    <w:tbl>
      <w:tblPr>
        <w:tblStyle w:val="Gitternetztabelle4Akzent1"/>
        <w:tblW w:w="9620" w:type="dxa"/>
        <w:tblLayout w:type="fixed"/>
        <w:tblLook w:val="04A0" w:firstRow="1" w:lastRow="0" w:firstColumn="1" w:lastColumn="0" w:noHBand="0" w:noVBand="1"/>
      </w:tblPr>
      <w:tblGrid>
        <w:gridCol w:w="2517"/>
        <w:gridCol w:w="3992"/>
        <w:gridCol w:w="3111"/>
      </w:tblGrid>
      <w:tr w:rsidR="00A4494E" w:rsidRPr="00325CBE" w14:paraId="7EEFB804"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4F81BD"/>
              <w:left w:val="single" w:sz="4" w:space="0" w:color="4F81BD"/>
              <w:bottom w:val="single" w:sz="4" w:space="0" w:color="4F81BD"/>
              <w:right w:val="single" w:sz="4" w:space="0" w:color="4F81BD"/>
            </w:tcBorders>
          </w:tcPr>
          <w:p w14:paraId="69631B94" w14:textId="77777777" w:rsidR="00A4494E" w:rsidRPr="00325CBE" w:rsidRDefault="00A038EC">
            <w:pPr>
              <w:pStyle w:val="Textkrper"/>
              <w:spacing w:before="0" w:after="0"/>
              <w:rPr>
                <w:lang w:val="de-DE"/>
              </w:rPr>
            </w:pPr>
            <w:r w:rsidRPr="00325CBE">
              <w:rPr>
                <w:rFonts w:eastAsia="Cambria"/>
                <w:lang w:val="de-DE"/>
              </w:rPr>
              <w:t>Entscheidungsproblem</w:t>
            </w:r>
          </w:p>
        </w:tc>
        <w:tc>
          <w:tcPr>
            <w:tcW w:w="3992" w:type="dxa"/>
            <w:tcBorders>
              <w:top w:val="single" w:sz="4" w:space="0" w:color="4F81BD"/>
              <w:left w:val="single" w:sz="4" w:space="0" w:color="4F81BD"/>
              <w:bottom w:val="single" w:sz="4" w:space="0" w:color="4F81BD"/>
              <w:right w:val="single" w:sz="4" w:space="0" w:color="4F81BD"/>
            </w:tcBorders>
          </w:tcPr>
          <w:p w14:paraId="1A25E97D" w14:textId="77777777" w:rsidR="00A4494E" w:rsidRPr="00325CBE" w:rsidRDefault="00A038EC">
            <w:pPr>
              <w:pStyle w:val="Textkrper"/>
              <w:spacing w:before="0" w:after="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 xml:space="preserve">Warum es kritisch </w:t>
            </w:r>
            <w:proofErr w:type="gramStart"/>
            <w:r w:rsidRPr="00325CBE">
              <w:rPr>
                <w:rFonts w:eastAsia="Cambria"/>
                <w:lang w:val="de-DE"/>
              </w:rPr>
              <w:t>ist</w:t>
            </w:r>
            <w:proofErr w:type="gramEnd"/>
          </w:p>
        </w:tc>
        <w:tc>
          <w:tcPr>
            <w:tcW w:w="3111" w:type="dxa"/>
            <w:tcBorders>
              <w:top w:val="single" w:sz="4" w:space="0" w:color="4F81BD"/>
              <w:left w:val="single" w:sz="4" w:space="0" w:color="4F81BD"/>
              <w:bottom w:val="single" w:sz="4" w:space="0" w:color="4F81BD"/>
              <w:right w:val="single" w:sz="4" w:space="0" w:color="4F81BD"/>
            </w:tcBorders>
          </w:tcPr>
          <w:p w14:paraId="3B7B2964" w14:textId="77777777" w:rsidR="00A4494E" w:rsidRPr="00325CBE" w:rsidRDefault="00A038EC">
            <w:pPr>
              <w:pStyle w:val="Textkrper"/>
              <w:spacing w:before="0" w:after="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BM-Artefakt bzw. Routine</w:t>
            </w:r>
          </w:p>
        </w:tc>
      </w:tr>
      <w:tr w:rsidR="00A4494E" w:rsidRPr="00325CBE" w14:paraId="22D7144F"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17" w:type="dxa"/>
          </w:tcPr>
          <w:p w14:paraId="4D7377B9" w14:textId="77777777" w:rsidR="00A4494E" w:rsidRPr="00325CBE" w:rsidRDefault="00A038EC">
            <w:pPr>
              <w:pStyle w:val="Textkrper"/>
              <w:spacing w:before="0" w:after="0"/>
              <w:rPr>
                <w:lang w:val="de-DE"/>
              </w:rPr>
            </w:pPr>
            <w:r w:rsidRPr="00325CBE">
              <w:rPr>
                <w:rFonts w:eastAsia="Cambria"/>
                <w:lang w:val="de-DE"/>
              </w:rPr>
              <w:t>Variantenfreigabe ohne vollständige Abwägungsanalyse</w:t>
            </w:r>
          </w:p>
        </w:tc>
        <w:tc>
          <w:tcPr>
            <w:tcW w:w="3992" w:type="dxa"/>
          </w:tcPr>
          <w:p w14:paraId="61C4E13A"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Folgekosten, ESG/LCC-Effekte oder Qualitätsauswirkungen werden spät sichtbar.</w:t>
            </w:r>
          </w:p>
        </w:tc>
        <w:tc>
          <w:tcPr>
            <w:tcW w:w="3111" w:type="dxa"/>
          </w:tcPr>
          <w:p w14:paraId="590152EC"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rFonts w:eastAsia="Cambria"/>
                <w:lang w:val="de-DE"/>
              </w:rPr>
            </w:pPr>
            <w:r w:rsidRPr="00325CBE">
              <w:rPr>
                <w:rFonts w:eastAsia="Cambria"/>
                <w:lang w:val="de-DE"/>
              </w:rPr>
              <w:t>Entscheidungsvorlage, Wertoptimierung, Checkliste für die Freigabe.</w:t>
            </w:r>
          </w:p>
        </w:tc>
      </w:tr>
      <w:tr w:rsidR="00A4494E" w:rsidRPr="00325CBE" w14:paraId="50710EF5"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517" w:type="dxa"/>
          </w:tcPr>
          <w:p w14:paraId="3032D5BE" w14:textId="77777777" w:rsidR="00A4494E" w:rsidRPr="00325CBE" w:rsidRDefault="00A038EC">
            <w:pPr>
              <w:pStyle w:val="Textkrper"/>
              <w:spacing w:before="0" w:after="0"/>
              <w:rPr>
                <w:lang w:val="de-DE"/>
              </w:rPr>
            </w:pPr>
            <w:r w:rsidRPr="00325CBE">
              <w:rPr>
                <w:rFonts w:eastAsia="Cambria"/>
                <w:lang w:val="de-DE"/>
              </w:rPr>
              <w:t>Vergabeentscheidung unter Preis- und Lieferkettenunsicherheit</w:t>
            </w:r>
          </w:p>
        </w:tc>
        <w:tc>
          <w:tcPr>
            <w:tcW w:w="3992" w:type="dxa"/>
          </w:tcPr>
          <w:p w14:paraId="293EB8F6" w14:textId="77777777" w:rsidR="00A4494E" w:rsidRPr="00325CBE" w:rsidRDefault="00A038EC">
            <w:pPr>
              <w:pStyle w:val="Textkrper"/>
              <w:spacing w:before="0" w:after="0"/>
              <w:cnfStyle w:val="000000000000" w:firstRow="0" w:lastRow="0" w:firstColumn="0" w:lastColumn="0" w:oddVBand="0" w:evenVBand="0" w:oddHBand="0" w:evenHBand="0" w:firstRowFirstColumn="0" w:firstRowLastColumn="0" w:lastRowFirstColumn="0" w:lastRowLastColumn="0"/>
              <w:rPr>
                <w:kern w:val="2"/>
                <w:lang w:val="de-DE"/>
              </w:rPr>
            </w:pPr>
            <w:r w:rsidRPr="00325CBE">
              <w:rPr>
                <w:rFonts w:eastAsia="Cambria"/>
                <w:lang w:val="de-DE"/>
              </w:rPr>
              <w:t>Angebotsgültigkeit, Risiken bei Komponenten mit langer Lieferzeit und Terminfolgen werden nicht zusammengeführt.</w:t>
            </w:r>
          </w:p>
        </w:tc>
        <w:tc>
          <w:tcPr>
            <w:tcW w:w="3111" w:type="dxa"/>
          </w:tcPr>
          <w:p w14:paraId="664A6E29" w14:textId="77777777" w:rsidR="00A4494E" w:rsidRPr="00325CBE" w:rsidRDefault="00A038EC">
            <w:pPr>
              <w:pStyle w:val="Textkrper"/>
              <w:spacing w:before="0" w:after="0"/>
              <w:cnfStyle w:val="000000000000" w:firstRow="0" w:lastRow="0" w:firstColumn="0" w:lastColumn="0" w:oddVBand="0" w:evenVBand="0" w:oddHBand="0" w:evenHBand="0" w:firstRowFirstColumn="0" w:firstRowLastColumn="0" w:lastRowFirstColumn="0" w:lastRowLastColumn="0"/>
              <w:rPr>
                <w:rFonts w:eastAsia="Cambria"/>
                <w:lang w:val="de-DE"/>
              </w:rPr>
            </w:pPr>
            <w:r w:rsidRPr="00325CBE">
              <w:rPr>
                <w:rFonts w:eastAsia="Cambria"/>
                <w:lang w:val="de-DE"/>
              </w:rPr>
              <w:t>CTC und Prognose, Risikoregister, Frühwarnung, Freigabereife.</w:t>
            </w:r>
          </w:p>
        </w:tc>
      </w:tr>
      <w:tr w:rsidR="00A4494E" w:rsidRPr="00325CBE" w14:paraId="646A337B"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17" w:type="dxa"/>
          </w:tcPr>
          <w:p w14:paraId="1C57B4B5" w14:textId="77777777" w:rsidR="00A4494E" w:rsidRPr="00325CBE" w:rsidRDefault="00A038EC">
            <w:pPr>
              <w:pStyle w:val="Textkrper"/>
              <w:spacing w:before="0" w:after="0"/>
              <w:rPr>
                <w:lang w:val="de-DE"/>
              </w:rPr>
            </w:pPr>
            <w:r w:rsidRPr="00325CBE">
              <w:rPr>
                <w:rFonts w:eastAsia="Cambria"/>
                <w:lang w:val="de-DE"/>
              </w:rPr>
              <w:t>Änderungsantrag mit unvollständiger Auswirkungsbewertung</w:t>
            </w:r>
          </w:p>
        </w:tc>
        <w:tc>
          <w:tcPr>
            <w:tcW w:w="3992" w:type="dxa"/>
          </w:tcPr>
          <w:p w14:paraId="6BBC4637"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Kosten, Termin, Qualität, Projektumfang, Risiko und ESG/LCC werden nicht konsistent bewertet und entschieden.</w:t>
            </w:r>
          </w:p>
        </w:tc>
        <w:tc>
          <w:tcPr>
            <w:tcW w:w="3111" w:type="dxa"/>
          </w:tcPr>
          <w:p w14:paraId="30DE8A3E"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Änderungsregister, verbindliche Auswirkungsbewertung, Änderungsgremium (monatlich, zzgl. anlassbezogener Sondersitzungen).</w:t>
            </w:r>
          </w:p>
        </w:tc>
      </w:tr>
      <w:tr w:rsidR="00A4494E" w:rsidRPr="00325CBE" w14:paraId="09332AA4"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517" w:type="dxa"/>
          </w:tcPr>
          <w:p w14:paraId="5945D00C" w14:textId="77777777" w:rsidR="00A4494E" w:rsidRPr="00325CBE" w:rsidRDefault="00A038EC">
            <w:pPr>
              <w:pStyle w:val="Textkrper"/>
              <w:spacing w:before="0" w:after="0"/>
              <w:rPr>
                <w:lang w:val="de-DE"/>
              </w:rPr>
            </w:pPr>
            <w:r w:rsidRPr="00325CBE">
              <w:rPr>
                <w:rFonts w:eastAsia="Cambria"/>
                <w:lang w:val="de-DE"/>
              </w:rPr>
              <w:t>Gremienbeschluss ohne Mandatsklarheit</w:t>
            </w:r>
          </w:p>
        </w:tc>
        <w:tc>
          <w:tcPr>
            <w:tcW w:w="3992" w:type="dxa"/>
          </w:tcPr>
          <w:p w14:paraId="664B3872" w14:textId="77777777" w:rsidR="00A4494E" w:rsidRPr="00325CBE" w:rsidRDefault="00A038EC">
            <w:pPr>
              <w:pStyle w:val="Textkrper"/>
              <w:spacing w:before="0" w:after="0"/>
              <w:cnfStyle w:val="000000000000" w:firstRow="0" w:lastRow="0" w:firstColumn="0" w:lastColumn="0" w:oddVBand="0" w:evenVBand="0" w:oddHBand="0" w:evenHBand="0" w:firstRowFirstColumn="0" w:firstRowLastColumn="0" w:lastRowFirstColumn="0" w:lastRowLastColumn="0"/>
              <w:rPr>
                <w:kern w:val="2"/>
                <w:lang w:val="de-DE"/>
              </w:rPr>
            </w:pPr>
            <w:r w:rsidRPr="00325CBE">
              <w:rPr>
                <w:rFonts w:eastAsia="Cambria"/>
                <w:lang w:val="de-DE"/>
              </w:rPr>
              <w:t>Beschlüsse werden angreifbar oder müssen nachträglich geheilt werden.</w:t>
            </w:r>
          </w:p>
        </w:tc>
        <w:tc>
          <w:tcPr>
            <w:tcW w:w="3111" w:type="dxa"/>
          </w:tcPr>
          <w:p w14:paraId="6EC15051" w14:textId="77777777" w:rsidR="00A4494E" w:rsidRPr="00325CBE" w:rsidRDefault="00A038EC">
            <w:pPr>
              <w:pStyle w:val="Textkrper"/>
              <w:spacing w:before="0" w:after="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RACI, Mandatsmatrix, Entscheidungsvorlage.</w:t>
            </w:r>
          </w:p>
        </w:tc>
      </w:tr>
      <w:tr w:rsidR="00A4494E" w:rsidRPr="00325CBE" w14:paraId="016E9811"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17" w:type="dxa"/>
          </w:tcPr>
          <w:p w14:paraId="0AF788C2" w14:textId="77777777" w:rsidR="00A4494E" w:rsidRPr="00325CBE" w:rsidRDefault="00A038EC">
            <w:pPr>
              <w:pStyle w:val="Textkrper"/>
              <w:spacing w:before="0" w:after="0"/>
              <w:rPr>
                <w:kern w:val="2"/>
                <w:lang w:val="de-DE"/>
              </w:rPr>
            </w:pPr>
            <w:r w:rsidRPr="00325CBE">
              <w:rPr>
                <w:rFonts w:eastAsia="Cambria"/>
                <w:lang w:val="de-DE"/>
              </w:rPr>
              <w:t>MVG-Neuinitialisierung ohne eindeutigen Datenstand</w:t>
            </w:r>
          </w:p>
        </w:tc>
        <w:tc>
          <w:tcPr>
            <w:tcW w:w="3992" w:type="dxa"/>
          </w:tcPr>
          <w:p w14:paraId="55463046"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kern w:val="2"/>
                <w:lang w:val="de-DE"/>
              </w:rPr>
            </w:pPr>
            <w:r w:rsidRPr="00325CBE">
              <w:rPr>
                <w:rFonts w:eastAsia="Cambria"/>
                <w:lang w:val="de-DE"/>
              </w:rPr>
              <w:t>Das Projekt arbeitet mit mehreren Wahrheiten und verliert seine Wiederanlauffähigkeit.</w:t>
            </w:r>
          </w:p>
        </w:tc>
        <w:tc>
          <w:tcPr>
            <w:tcW w:w="3111" w:type="dxa"/>
          </w:tcPr>
          <w:p w14:paraId="00B6D74F"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kern w:val="2"/>
                <w:lang w:val="de-DE"/>
              </w:rPr>
            </w:pPr>
            <w:r w:rsidRPr="00325CBE">
              <w:rPr>
                <w:rFonts w:eastAsia="Cambria"/>
                <w:lang w:val="de-DE"/>
              </w:rPr>
              <w:t>Festschreibung des Datenstands, Entscheidungsregister, MVG-Grundsatzdokument.</w:t>
            </w:r>
          </w:p>
        </w:tc>
      </w:tr>
    </w:tbl>
    <w:p w14:paraId="0ACC77A8" w14:textId="77777777" w:rsidR="00A4494E" w:rsidRPr="00325CBE" w:rsidRDefault="00A038EC">
      <w:pPr>
        <w:pStyle w:val="berschrift1"/>
        <w:rPr>
          <w:kern w:val="2"/>
          <w:lang w:val="de-DE"/>
        </w:rPr>
      </w:pPr>
      <w:bookmarkStart w:id="161" w:name="abgrenzung-der-implementierung"/>
      <w:bookmarkStart w:id="162" w:name="X92f6acf40a32ccb79eb2b76e922fa6c3bbc89d8"/>
      <w:bookmarkStart w:id="163" w:name="_Toc234746107"/>
      <w:bookmarkStart w:id="164" w:name="_Toc239764961"/>
      <w:bookmarkEnd w:id="161"/>
      <w:bookmarkEnd w:id="162"/>
      <w:r w:rsidRPr="00325CBE">
        <w:rPr>
          <w:lang w:val="de-DE"/>
        </w:rPr>
        <w:lastRenderedPageBreak/>
        <w:t>MVG-Neuinitialisierung als Vertiefungsformat</w:t>
      </w:r>
      <w:bookmarkEnd w:id="163"/>
      <w:bookmarkEnd w:id="164"/>
    </w:p>
    <w:p w14:paraId="61171ED6" w14:textId="77777777" w:rsidR="00A4494E" w:rsidRPr="00325CBE" w:rsidRDefault="00A4494E">
      <w:pPr>
        <w:pStyle w:val="Textkrper"/>
        <w:jc w:val="center"/>
        <w:rPr>
          <w:lang w:val="de-DE"/>
        </w:rPr>
      </w:pPr>
    </w:p>
    <w:p w14:paraId="4F06EF26" w14:textId="30F6F4C6" w:rsidR="00A4494E" w:rsidRPr="00325CBE" w:rsidRDefault="00A038EC">
      <w:pPr>
        <w:pStyle w:val="Textkrper"/>
        <w:rPr>
          <w:kern w:val="2"/>
          <w:lang w:val="de-DE"/>
        </w:rPr>
      </w:pPr>
      <w:r w:rsidRPr="00325CBE">
        <w:rPr>
          <w:lang w:val="de-DE"/>
        </w:rPr>
        <w:t>Dieses Kapitel vertieft die MVG-Neuinitialisierung als Sonderformat außerhalb der regulären Freigabereihe innerhalb der MVG-Leistungsarchitektur. Eine MVG-Neuinitialisierung ist keine Freigabe; ihr Ergebnis kann die Nachholung oder Wiederholung einzelner Freigaben sein, ohne die Abfolge LPH 0–9 zu verändern. Das Kapitel bündelt die wichtigsten Auslöser, Ordnungsfelder und Ergebnisobjekte für laufende Projekte, deren Steuerungs- und Entscheidungslogik nicht mehr ausreichend trägt. Anwendungssituationen nach Branche und Projektstand sind bereits in Kapitel 10 dargestellt.</w:t>
      </w:r>
    </w:p>
    <w:p w14:paraId="58116BC1" w14:textId="77777777" w:rsidR="00A4494E" w:rsidRPr="00325CBE" w:rsidRDefault="00A038EC">
      <w:pPr>
        <w:pStyle w:val="berschrift2"/>
        <w:rPr>
          <w:kern w:val="2"/>
        </w:rPr>
      </w:pPr>
      <w:bookmarkStart w:id="165" w:name="_Toc234746108"/>
      <w:bookmarkStart w:id="166" w:name="_Toc239764962"/>
      <w:r w:rsidRPr="00325CBE">
        <w:t>Wann eine MVG-Neuinitialisierung erforderlich wird</w:t>
      </w:r>
      <w:bookmarkEnd w:id="165"/>
      <w:bookmarkEnd w:id="166"/>
    </w:p>
    <w:p w14:paraId="2F5FBAFC" w14:textId="77777777" w:rsidR="00A4494E" w:rsidRPr="00325CBE" w:rsidRDefault="00A038EC">
      <w:pPr>
        <w:pStyle w:val="Textkrper"/>
        <w:rPr>
          <w:kern w:val="2"/>
          <w:lang w:val="de-DE"/>
        </w:rPr>
      </w:pPr>
      <w:r w:rsidRPr="00325CBE">
        <w:rPr>
          <w:lang w:val="de-DE"/>
        </w:rPr>
        <w:t>Eine MVG-Neuinitialisierung wird erforderlich, wenn ein Projekt im bisherigen Modus nicht mehr ausreichend führbar ist. Typische Signale sind:</w:t>
      </w:r>
    </w:p>
    <w:p w14:paraId="0695104B" w14:textId="77777777" w:rsidR="00A4494E" w:rsidRPr="00325CBE" w:rsidRDefault="00A038EC">
      <w:pPr>
        <w:pStyle w:val="Compact"/>
        <w:numPr>
          <w:ilvl w:val="0"/>
          <w:numId w:val="48"/>
        </w:numPr>
        <w:rPr>
          <w:lang w:val="de-DE"/>
        </w:rPr>
      </w:pPr>
      <w:r w:rsidRPr="00325CBE">
        <w:rPr>
          <w:lang w:val="de-DE"/>
        </w:rPr>
        <w:t>Kosten, Termine und Projektumfang entwickeln sich auseinander.</w:t>
      </w:r>
    </w:p>
    <w:p w14:paraId="1F9ED04F" w14:textId="77777777" w:rsidR="00A4494E" w:rsidRPr="00325CBE" w:rsidRDefault="00A038EC">
      <w:pPr>
        <w:pStyle w:val="Compact"/>
        <w:numPr>
          <w:ilvl w:val="0"/>
          <w:numId w:val="49"/>
        </w:numPr>
        <w:rPr>
          <w:lang w:val="de-DE"/>
        </w:rPr>
      </w:pPr>
      <w:r w:rsidRPr="00325CBE">
        <w:rPr>
          <w:lang w:val="de-DE"/>
        </w:rPr>
        <w:t>Bauherr, Projektleitung, Projektsteuerung, Planung und Gremien nutzen unterschiedliche Lagebilder.</w:t>
      </w:r>
    </w:p>
    <w:p w14:paraId="2AAA2FFB" w14:textId="77777777" w:rsidR="00A4494E" w:rsidRPr="00325CBE" w:rsidRDefault="00A038EC">
      <w:pPr>
        <w:pStyle w:val="Compact"/>
        <w:numPr>
          <w:ilvl w:val="0"/>
          <w:numId w:val="50"/>
        </w:numPr>
        <w:rPr>
          <w:lang w:val="de-DE"/>
        </w:rPr>
      </w:pPr>
      <w:r w:rsidRPr="00325CBE">
        <w:rPr>
          <w:lang w:val="de-DE"/>
        </w:rPr>
        <w:t>Änderungen werden operativ bearbeitet, aber nicht strategisch freigegeben.</w:t>
      </w:r>
    </w:p>
    <w:p w14:paraId="5DFF7C62" w14:textId="77777777" w:rsidR="00A4494E" w:rsidRPr="00325CBE" w:rsidRDefault="00A038EC">
      <w:pPr>
        <w:pStyle w:val="Compact"/>
        <w:numPr>
          <w:ilvl w:val="0"/>
          <w:numId w:val="51"/>
        </w:numPr>
        <w:rPr>
          <w:lang w:val="de-DE"/>
        </w:rPr>
      </w:pPr>
      <w:r w:rsidRPr="00325CBE">
        <w:rPr>
          <w:lang w:val="de-DE"/>
        </w:rPr>
        <w:t>Risiken sind bekannt, aber nicht mit Risikoannahme, Risikominderung und Entscheidung verbunden.</w:t>
      </w:r>
    </w:p>
    <w:p w14:paraId="2D53B164" w14:textId="77777777" w:rsidR="00A4494E" w:rsidRPr="00325CBE" w:rsidRDefault="00A038EC">
      <w:pPr>
        <w:pStyle w:val="Compact"/>
        <w:numPr>
          <w:ilvl w:val="0"/>
          <w:numId w:val="52"/>
        </w:numPr>
        <w:rPr>
          <w:lang w:val="de-DE"/>
        </w:rPr>
      </w:pPr>
      <w:r w:rsidRPr="00325CBE">
        <w:rPr>
          <w:lang w:val="de-DE"/>
        </w:rPr>
        <w:t>Gremien erhalten Statusberichte, aber keine entscheidungsfähigen Optionen.</w:t>
      </w:r>
    </w:p>
    <w:p w14:paraId="7EC9117B" w14:textId="77777777" w:rsidR="00A4494E" w:rsidRPr="00325CBE" w:rsidRDefault="00A038EC">
      <w:pPr>
        <w:pStyle w:val="Compact"/>
        <w:numPr>
          <w:ilvl w:val="0"/>
          <w:numId w:val="53"/>
        </w:numPr>
        <w:rPr>
          <w:lang w:val="de-DE"/>
        </w:rPr>
      </w:pPr>
      <w:r w:rsidRPr="00325CBE">
        <w:rPr>
          <w:lang w:val="de-DE"/>
        </w:rPr>
        <w:t>Neufestlegung der Projektbasis, Fortführung oder Stopp, Moratorium oder Beschleunigung stehen im Raum, ohne klare Entscheidungslogik.</w:t>
      </w:r>
    </w:p>
    <w:p w14:paraId="02B098D1" w14:textId="77777777" w:rsidR="00A4494E" w:rsidRPr="00325CBE" w:rsidRDefault="00A038EC">
      <w:pPr>
        <w:pStyle w:val="Compact"/>
        <w:numPr>
          <w:ilvl w:val="0"/>
          <w:numId w:val="54"/>
        </w:numPr>
        <w:rPr>
          <w:lang w:val="de-DE"/>
        </w:rPr>
      </w:pPr>
      <w:r w:rsidRPr="00325CBE">
        <w:rPr>
          <w:lang w:val="de-DE"/>
        </w:rPr>
        <w:t>Datenstände, Annahmen und Beschlusslagen sind nicht mehr konsistent.</w:t>
      </w:r>
    </w:p>
    <w:p w14:paraId="4BE34A97" w14:textId="77777777" w:rsidR="00A4494E" w:rsidRPr="00325CBE" w:rsidRDefault="00A038EC">
      <w:pPr>
        <w:pStyle w:val="Compact"/>
        <w:numPr>
          <w:ilvl w:val="0"/>
          <w:numId w:val="55"/>
        </w:numPr>
        <w:rPr>
          <w:lang w:val="de-DE"/>
        </w:rPr>
      </w:pPr>
      <w:r w:rsidRPr="00325CBE">
        <w:rPr>
          <w:lang w:val="de-DE"/>
        </w:rPr>
        <w:t>Projektsteuerung liefert mehr Information, aber der Bauherr gewinnt keine zusätzliche Führungsfähigkeit.</w:t>
      </w:r>
    </w:p>
    <w:p w14:paraId="69B15354" w14:textId="77777777" w:rsidR="00A4494E" w:rsidRPr="00325CBE" w:rsidRDefault="00A038EC">
      <w:pPr>
        <w:pStyle w:val="berschrift2"/>
        <w:rPr>
          <w:kern w:val="2"/>
        </w:rPr>
      </w:pPr>
      <w:bookmarkStart w:id="167" w:name="_Toc234746109"/>
      <w:bookmarkStart w:id="168" w:name="_Toc239764963"/>
      <w:r w:rsidRPr="00325CBE">
        <w:t>Was bei der MVG-Neuinitialisierung neu geordnet wird</w:t>
      </w:r>
      <w:bookmarkEnd w:id="167"/>
      <w:bookmarkEnd w:id="168"/>
    </w:p>
    <w:p w14:paraId="52D6B181" w14:textId="77777777" w:rsidR="00A4494E" w:rsidRPr="00325CBE" w:rsidRDefault="00A038EC">
      <w:pPr>
        <w:pStyle w:val="Textkrper"/>
        <w:rPr>
          <w:kern w:val="2"/>
          <w:lang w:val="de-DE"/>
        </w:rPr>
      </w:pPr>
      <w:r w:rsidRPr="00325CBE">
        <w:rPr>
          <w:lang w:val="de-DE"/>
        </w:rPr>
        <w:t>Die MVG-Neuinitialisierung ordnet nicht das gesamte Projekt fachlich neu. Sie ordnet die Führungs- und Entscheidungslogik. Im Mittelpunkt stehen:</w:t>
      </w:r>
    </w:p>
    <w:p w14:paraId="11648299" w14:textId="77777777" w:rsidR="00A4494E" w:rsidRPr="00325CBE" w:rsidRDefault="00A038EC">
      <w:pPr>
        <w:pStyle w:val="Compact"/>
        <w:numPr>
          <w:ilvl w:val="0"/>
          <w:numId w:val="56"/>
        </w:numPr>
        <w:rPr>
          <w:lang w:val="de-DE"/>
        </w:rPr>
      </w:pPr>
      <w:r w:rsidRPr="00325CBE">
        <w:rPr>
          <w:lang w:val="de-DE"/>
        </w:rPr>
        <w:t>Zielbild und aktuelle Zielkonflikte</w:t>
      </w:r>
    </w:p>
    <w:p w14:paraId="57F2EE2A" w14:textId="77777777" w:rsidR="00A4494E" w:rsidRPr="00325CBE" w:rsidRDefault="00A038EC">
      <w:pPr>
        <w:pStyle w:val="Compact"/>
        <w:numPr>
          <w:ilvl w:val="0"/>
          <w:numId w:val="57"/>
        </w:numPr>
        <w:rPr>
          <w:lang w:val="de-DE"/>
        </w:rPr>
      </w:pPr>
      <w:r w:rsidRPr="00325CBE">
        <w:rPr>
          <w:lang w:val="de-DE"/>
        </w:rPr>
        <w:t>Mandate und Schwellen</w:t>
      </w:r>
    </w:p>
    <w:p w14:paraId="1DA79F25" w14:textId="77777777" w:rsidR="00A4494E" w:rsidRPr="00325CBE" w:rsidRDefault="00A038EC">
      <w:pPr>
        <w:pStyle w:val="Compact"/>
        <w:numPr>
          <w:ilvl w:val="0"/>
          <w:numId w:val="58"/>
        </w:numPr>
        <w:rPr>
          <w:lang w:val="de-DE"/>
        </w:rPr>
      </w:pPr>
      <w:r w:rsidRPr="00325CBE">
        <w:rPr>
          <w:lang w:val="de-DE"/>
        </w:rPr>
        <w:t>offene wesentliche Entscheidungen</w:t>
      </w:r>
    </w:p>
    <w:p w14:paraId="429118C5" w14:textId="77777777" w:rsidR="00A4494E" w:rsidRPr="00325CBE" w:rsidRDefault="00A038EC">
      <w:pPr>
        <w:pStyle w:val="Compact"/>
        <w:numPr>
          <w:ilvl w:val="0"/>
          <w:numId w:val="59"/>
        </w:numPr>
        <w:rPr>
          <w:lang w:val="de-DE"/>
        </w:rPr>
      </w:pPr>
      <w:r w:rsidRPr="00325CBE">
        <w:rPr>
          <w:lang w:val="de-DE"/>
        </w:rPr>
        <w:t>Status der Freigaben sowie erforderliche Nachholungen oder Wiederholungen einzelner Freigaben</w:t>
      </w:r>
    </w:p>
    <w:p w14:paraId="53701E99" w14:textId="77777777" w:rsidR="00A4494E" w:rsidRPr="00325CBE" w:rsidRDefault="00A038EC">
      <w:pPr>
        <w:pStyle w:val="Compact"/>
        <w:numPr>
          <w:ilvl w:val="0"/>
          <w:numId w:val="60"/>
        </w:numPr>
        <w:rPr>
          <w:lang w:val="de-DE"/>
        </w:rPr>
      </w:pPr>
      <w:r w:rsidRPr="00325CBE">
        <w:rPr>
          <w:lang w:val="de-DE"/>
        </w:rPr>
        <w:t>Datenstand und Annahmen</w:t>
      </w:r>
    </w:p>
    <w:p w14:paraId="0F52B60B" w14:textId="77777777" w:rsidR="00A4494E" w:rsidRPr="00325CBE" w:rsidRDefault="00A038EC">
      <w:pPr>
        <w:pStyle w:val="Compact"/>
        <w:numPr>
          <w:ilvl w:val="0"/>
          <w:numId w:val="61"/>
        </w:numPr>
        <w:rPr>
          <w:lang w:val="de-DE"/>
        </w:rPr>
      </w:pPr>
      <w:r w:rsidRPr="00325CBE">
        <w:rPr>
          <w:lang w:val="de-DE"/>
        </w:rPr>
        <w:t>Risiko- und Änderungslage</w:t>
      </w:r>
    </w:p>
    <w:p w14:paraId="731E6B08" w14:textId="77777777" w:rsidR="00A4494E" w:rsidRPr="00325CBE" w:rsidRDefault="00A038EC">
      <w:pPr>
        <w:pStyle w:val="Compact"/>
        <w:numPr>
          <w:ilvl w:val="0"/>
          <w:numId w:val="62"/>
        </w:numPr>
        <w:rPr>
          <w:lang w:val="de-DE"/>
        </w:rPr>
      </w:pPr>
      <w:r w:rsidRPr="00325CBE">
        <w:rPr>
          <w:lang w:val="de-DE"/>
        </w:rPr>
        <w:t>Auswirkungen auf Budget, Termin und Projektumfang</w:t>
      </w:r>
    </w:p>
    <w:p w14:paraId="70FD0418" w14:textId="77777777" w:rsidR="00A4494E" w:rsidRPr="00325CBE" w:rsidRDefault="00A038EC">
      <w:pPr>
        <w:pStyle w:val="Compact"/>
        <w:numPr>
          <w:ilvl w:val="0"/>
          <w:numId w:val="63"/>
        </w:numPr>
        <w:rPr>
          <w:lang w:val="de-DE"/>
        </w:rPr>
      </w:pPr>
      <w:r w:rsidRPr="00325CBE">
        <w:rPr>
          <w:lang w:val="de-DE"/>
        </w:rPr>
        <w:t>Logik zur Neufestlegung der Projektbasis</w:t>
      </w:r>
    </w:p>
    <w:p w14:paraId="35930607" w14:textId="77777777" w:rsidR="00A4494E" w:rsidRPr="00325CBE" w:rsidRDefault="00A038EC">
      <w:pPr>
        <w:pStyle w:val="Compact"/>
        <w:numPr>
          <w:ilvl w:val="0"/>
          <w:numId w:val="64"/>
        </w:numPr>
        <w:rPr>
          <w:lang w:val="de-DE"/>
        </w:rPr>
      </w:pPr>
      <w:r w:rsidRPr="00325CBE">
        <w:rPr>
          <w:lang w:val="de-DE"/>
        </w:rPr>
        <w:t>Eskalations- und Gremienlogik</w:t>
      </w:r>
    </w:p>
    <w:p w14:paraId="645B1761" w14:textId="77777777" w:rsidR="00A4494E" w:rsidRPr="00325CBE" w:rsidRDefault="00A038EC">
      <w:pPr>
        <w:pStyle w:val="Compact"/>
        <w:numPr>
          <w:ilvl w:val="0"/>
          <w:numId w:val="65"/>
        </w:numPr>
        <w:rPr>
          <w:lang w:val="de-DE"/>
        </w:rPr>
      </w:pPr>
      <w:r w:rsidRPr="00325CBE">
        <w:rPr>
          <w:lang w:val="de-DE"/>
        </w:rPr>
        <w:t>Betriebshandbuch für einen stabilisierten Regelbetrieb</w:t>
      </w:r>
    </w:p>
    <w:p w14:paraId="159CC01A" w14:textId="77777777" w:rsidR="00A4494E" w:rsidRPr="00325CBE" w:rsidRDefault="00A038EC">
      <w:pPr>
        <w:pStyle w:val="Textkrper"/>
        <w:rPr>
          <w:lang w:val="de-DE"/>
        </w:rPr>
      </w:pPr>
      <w:r w:rsidRPr="00325CBE">
        <w:rPr>
          <w:lang w:val="de-DE"/>
        </w:rPr>
        <w:lastRenderedPageBreak/>
        <w:t>Die MVG-Neuinitialisierung beginnt mit einem Lagebild und endet mit einer stabilisierten Entscheidungsarchitektur. Dazwischen liegt die zentrale Bauherrenfrage: Welche Entscheidungen müssen jetzt neu legitimiert werden, damit das Projekt wieder führbar wird?</w:t>
      </w:r>
    </w:p>
    <w:p w14:paraId="39827372" w14:textId="77777777" w:rsidR="00A4494E" w:rsidRPr="00325CBE" w:rsidRDefault="00A038EC">
      <w:pPr>
        <w:pStyle w:val="berschrift2"/>
        <w:rPr>
          <w:kern w:val="2"/>
        </w:rPr>
      </w:pPr>
      <w:bookmarkStart w:id="169" w:name="was-im-reset-neu-geordnet-wird"/>
      <w:bookmarkStart w:id="170" w:name="_Toc234746110"/>
      <w:bookmarkStart w:id="171" w:name="_Toc239764964"/>
      <w:bookmarkEnd w:id="169"/>
      <w:r w:rsidRPr="00325CBE">
        <w:t>Ergebnisbild einer MVG-Neuinitialisierung</w:t>
      </w:r>
      <w:bookmarkEnd w:id="170"/>
      <w:bookmarkEnd w:id="171"/>
    </w:p>
    <w:p w14:paraId="5C93B9A0" w14:textId="77777777" w:rsidR="00A4494E" w:rsidRPr="00325CBE" w:rsidRDefault="00A038EC">
      <w:pPr>
        <w:pStyle w:val="Textkrper"/>
        <w:rPr>
          <w:kern w:val="2"/>
          <w:lang w:val="de-DE"/>
        </w:rPr>
      </w:pPr>
      <w:r w:rsidRPr="00325CBE">
        <w:rPr>
          <w:lang w:val="de-DE"/>
        </w:rPr>
        <w:t>Eine wirksame MVG-Neuinitialisierung liefert einen geordneten Führungszustand.</w:t>
      </w:r>
    </w:p>
    <w:tbl>
      <w:tblPr>
        <w:tblStyle w:val="Gitternetztabelle4Akzent1"/>
        <w:tblW w:w="5000" w:type="pct"/>
        <w:tblLayout w:type="fixed"/>
        <w:tblLook w:val="04A0" w:firstRow="1" w:lastRow="0" w:firstColumn="1" w:lastColumn="0" w:noHBand="0" w:noVBand="1"/>
      </w:tblPr>
      <w:tblGrid>
        <w:gridCol w:w="2453"/>
        <w:gridCol w:w="7167"/>
      </w:tblGrid>
      <w:tr w:rsidR="00A4494E" w:rsidRPr="00325CBE" w14:paraId="636FABFE"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98" w:type="dxa"/>
            <w:tcBorders>
              <w:top w:val="single" w:sz="4" w:space="0" w:color="4F81BD"/>
              <w:left w:val="single" w:sz="4" w:space="0" w:color="4F81BD"/>
              <w:bottom w:val="single" w:sz="4" w:space="0" w:color="4F81BD"/>
              <w:right w:val="single" w:sz="4" w:space="0" w:color="4F81BD"/>
            </w:tcBorders>
          </w:tcPr>
          <w:p w14:paraId="2A450778" w14:textId="77777777" w:rsidR="00A4494E" w:rsidRPr="00325CBE" w:rsidRDefault="00A038EC">
            <w:pPr>
              <w:pStyle w:val="Compact"/>
              <w:spacing w:before="0" w:after="40"/>
              <w:rPr>
                <w:lang w:val="de-DE"/>
              </w:rPr>
            </w:pPr>
            <w:r w:rsidRPr="00325CBE">
              <w:rPr>
                <w:rFonts w:eastAsia="Cambria"/>
                <w:sz w:val="18"/>
                <w:szCs w:val="18"/>
                <w:lang w:val="de-DE"/>
              </w:rPr>
              <w:t>Ergebnis</w:t>
            </w:r>
          </w:p>
        </w:tc>
        <w:tc>
          <w:tcPr>
            <w:tcW w:w="7005" w:type="dxa"/>
            <w:tcBorders>
              <w:top w:val="single" w:sz="4" w:space="0" w:color="4F81BD"/>
              <w:left w:val="single" w:sz="4" w:space="0" w:color="4F81BD"/>
              <w:bottom w:val="single" w:sz="4" w:space="0" w:color="4F81BD"/>
              <w:right w:val="single" w:sz="4" w:space="0" w:color="4F81BD"/>
            </w:tcBorders>
          </w:tcPr>
          <w:p w14:paraId="353C3FFD"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Zweck</w:t>
            </w:r>
          </w:p>
        </w:tc>
      </w:tr>
      <w:tr w:rsidR="00A4494E" w:rsidRPr="00325CBE" w14:paraId="58BF6B8B"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98" w:type="dxa"/>
          </w:tcPr>
          <w:p w14:paraId="4E261C5E" w14:textId="77777777" w:rsidR="00A4494E" w:rsidRPr="00325CBE" w:rsidRDefault="00A038EC">
            <w:pPr>
              <w:pStyle w:val="Compact"/>
              <w:spacing w:before="0" w:after="40"/>
              <w:rPr>
                <w:lang w:val="de-DE"/>
              </w:rPr>
            </w:pPr>
            <w:r w:rsidRPr="00325CBE">
              <w:rPr>
                <w:rFonts w:eastAsia="Cambria"/>
                <w:sz w:val="18"/>
                <w:szCs w:val="18"/>
                <w:lang w:val="de-DE"/>
              </w:rPr>
              <w:t>Governance-Lagebild</w:t>
            </w:r>
          </w:p>
        </w:tc>
        <w:tc>
          <w:tcPr>
            <w:tcW w:w="7005" w:type="dxa"/>
          </w:tcPr>
          <w:p w14:paraId="271B2DF9"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Zeigt, wo Steuerbarkeit verloren gegangen ist.</w:t>
            </w:r>
          </w:p>
        </w:tc>
      </w:tr>
      <w:tr w:rsidR="00A4494E" w:rsidRPr="00325CBE" w14:paraId="62A2DBCE"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398" w:type="dxa"/>
          </w:tcPr>
          <w:p w14:paraId="428D9547" w14:textId="77777777" w:rsidR="00A4494E" w:rsidRPr="00325CBE" w:rsidRDefault="00A038EC">
            <w:pPr>
              <w:pStyle w:val="Compact"/>
              <w:spacing w:before="0" w:after="40"/>
              <w:rPr>
                <w:lang w:val="de-DE"/>
              </w:rPr>
            </w:pPr>
            <w:r w:rsidRPr="00325CBE">
              <w:rPr>
                <w:rFonts w:eastAsia="Cambria"/>
                <w:sz w:val="18"/>
                <w:szCs w:val="18"/>
                <w:lang w:val="de-DE"/>
              </w:rPr>
              <w:t>Entscheidungsinventar</w:t>
            </w:r>
          </w:p>
        </w:tc>
        <w:tc>
          <w:tcPr>
            <w:tcW w:w="7005" w:type="dxa"/>
          </w:tcPr>
          <w:p w14:paraId="4CA4A034"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Macht offene, überfällige oder unklare wesentliche Entscheidungen sichtbar.</w:t>
            </w:r>
          </w:p>
        </w:tc>
      </w:tr>
      <w:tr w:rsidR="00A4494E" w:rsidRPr="00325CBE" w14:paraId="4EFEA9B4"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98" w:type="dxa"/>
          </w:tcPr>
          <w:p w14:paraId="1CD763C7" w14:textId="77777777" w:rsidR="00A4494E" w:rsidRPr="00325CBE" w:rsidRDefault="00A038EC">
            <w:pPr>
              <w:pStyle w:val="Compact"/>
              <w:spacing w:before="0" w:after="40"/>
              <w:rPr>
                <w:lang w:val="de-DE"/>
              </w:rPr>
            </w:pPr>
            <w:r w:rsidRPr="00325CBE">
              <w:rPr>
                <w:rFonts w:eastAsia="Cambria"/>
                <w:sz w:val="18"/>
                <w:szCs w:val="18"/>
                <w:lang w:val="de-DE"/>
              </w:rPr>
              <w:t>Logik zur Neufestlegung der Projektbasis</w:t>
            </w:r>
          </w:p>
        </w:tc>
        <w:tc>
          <w:tcPr>
            <w:tcW w:w="7005" w:type="dxa"/>
          </w:tcPr>
          <w:p w14:paraId="0E1B7907"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Klärt, ob und wie Kosten, Termine, Projektumfang, Risiko oder Mandat neu legitimiert werden müssen.</w:t>
            </w:r>
          </w:p>
        </w:tc>
      </w:tr>
      <w:tr w:rsidR="00A4494E" w:rsidRPr="00325CBE" w14:paraId="5BAE5E14"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398" w:type="dxa"/>
          </w:tcPr>
          <w:p w14:paraId="1AC14605" w14:textId="77777777" w:rsidR="00A4494E" w:rsidRPr="00325CBE" w:rsidRDefault="00A038EC">
            <w:pPr>
              <w:pStyle w:val="Compact"/>
              <w:spacing w:before="0" w:after="40"/>
              <w:rPr>
                <w:lang w:val="de-DE"/>
              </w:rPr>
            </w:pPr>
            <w:r w:rsidRPr="00325CBE">
              <w:rPr>
                <w:rFonts w:eastAsia="Cambria"/>
                <w:sz w:val="18"/>
                <w:szCs w:val="18"/>
                <w:lang w:val="de-DE"/>
              </w:rPr>
              <w:t>Datenstands­bereinigung</w:t>
            </w:r>
          </w:p>
        </w:tc>
        <w:tc>
          <w:tcPr>
            <w:tcW w:w="7005" w:type="dxa"/>
          </w:tcPr>
          <w:p w14:paraId="03A7E950"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Definiert, welcher Stand für die nächsten Entscheidungen gilt.</w:t>
            </w:r>
          </w:p>
        </w:tc>
      </w:tr>
      <w:tr w:rsidR="00A4494E" w:rsidRPr="00325CBE" w14:paraId="44226E69"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98" w:type="dxa"/>
          </w:tcPr>
          <w:p w14:paraId="4B5C1210" w14:textId="77777777" w:rsidR="00A4494E" w:rsidRPr="00325CBE" w:rsidRDefault="00A038EC">
            <w:pPr>
              <w:pStyle w:val="Compact"/>
              <w:spacing w:before="0" w:after="40"/>
              <w:rPr>
                <w:lang w:val="de-DE"/>
              </w:rPr>
            </w:pPr>
            <w:r w:rsidRPr="00325CBE">
              <w:rPr>
                <w:rFonts w:eastAsia="Cambria"/>
                <w:sz w:val="18"/>
                <w:szCs w:val="18"/>
                <w:lang w:val="de-DE"/>
              </w:rPr>
              <w:t>Nachholung und Wiederholung von Freigaben</w:t>
            </w:r>
          </w:p>
        </w:tc>
        <w:tc>
          <w:tcPr>
            <w:tcW w:w="7005" w:type="dxa"/>
          </w:tcPr>
          <w:p w14:paraId="262DBFC3" w14:textId="0D190EB0"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Ordnet, welche Freigaben als Ergebnis der MVG-Neuinitialisierung nachgeholt oder wiederholt werden; die Abfolge LPH 0–9 bleibt unverändert.</w:t>
            </w:r>
          </w:p>
        </w:tc>
      </w:tr>
      <w:tr w:rsidR="00A4494E" w:rsidRPr="00325CBE" w14:paraId="7D491454"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398" w:type="dxa"/>
          </w:tcPr>
          <w:p w14:paraId="77F2926D" w14:textId="77777777" w:rsidR="00A4494E" w:rsidRPr="00325CBE" w:rsidRDefault="00A038EC">
            <w:pPr>
              <w:pStyle w:val="Compact"/>
              <w:spacing w:before="0" w:after="40"/>
              <w:rPr>
                <w:lang w:val="de-DE"/>
              </w:rPr>
            </w:pPr>
            <w:r w:rsidRPr="00325CBE">
              <w:rPr>
                <w:rFonts w:eastAsia="Cambria"/>
                <w:sz w:val="18"/>
                <w:szCs w:val="18"/>
                <w:lang w:val="de-DE"/>
              </w:rPr>
              <w:t>Eskalationsplan</w:t>
            </w:r>
          </w:p>
        </w:tc>
        <w:tc>
          <w:tcPr>
            <w:tcW w:w="7005" w:type="dxa"/>
          </w:tcPr>
          <w:p w14:paraId="2FE84919"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sz w:val="18"/>
                <w:szCs w:val="18"/>
                <w:lang w:val="de-DE"/>
              </w:rPr>
              <w:t>Legt fest, welche Entscheidungen auf welcher Ebene getroffen werden müssen.</w:t>
            </w:r>
          </w:p>
        </w:tc>
      </w:tr>
      <w:tr w:rsidR="00A4494E" w:rsidRPr="00325CBE" w14:paraId="7B5CD712"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98" w:type="dxa"/>
          </w:tcPr>
          <w:p w14:paraId="779DC8F5" w14:textId="77777777" w:rsidR="00A4494E" w:rsidRPr="00325CBE" w:rsidRDefault="00A038EC">
            <w:pPr>
              <w:pStyle w:val="Compact"/>
              <w:spacing w:before="0" w:after="40"/>
              <w:rPr>
                <w:lang w:val="de-DE"/>
              </w:rPr>
            </w:pPr>
            <w:r w:rsidRPr="00325CBE">
              <w:rPr>
                <w:rFonts w:eastAsia="Cambria"/>
                <w:sz w:val="18"/>
                <w:szCs w:val="18"/>
                <w:lang w:val="de-DE"/>
              </w:rPr>
              <w:t>Stabilisiertes Betriebshandbuch</w:t>
            </w:r>
          </w:p>
        </w:tc>
        <w:tc>
          <w:tcPr>
            <w:tcW w:w="7005" w:type="dxa"/>
          </w:tcPr>
          <w:p w14:paraId="7B335550"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sz w:val="18"/>
                <w:szCs w:val="18"/>
                <w:lang w:val="de-DE"/>
              </w:rPr>
              <w:t>Führt das Projekt nach der MVG-Neuinitialisierung in einen handhabbaren Regelbetrieb zurück.</w:t>
            </w:r>
          </w:p>
        </w:tc>
      </w:tr>
    </w:tbl>
    <w:p w14:paraId="33B3B4DE" w14:textId="77777777" w:rsidR="00A4494E" w:rsidRPr="00325CBE" w:rsidRDefault="00A4494E">
      <w:pPr>
        <w:pStyle w:val="Textkrper"/>
        <w:rPr>
          <w:lang w:val="de-DE"/>
        </w:rPr>
      </w:pPr>
      <w:bookmarkStart w:id="172" w:name="ergebnisbild-eines-reset"/>
      <w:bookmarkEnd w:id="172"/>
    </w:p>
    <w:p w14:paraId="102E6EB6" w14:textId="77777777" w:rsidR="00A4494E" w:rsidRPr="00325CBE" w:rsidRDefault="00A038EC">
      <w:pPr>
        <w:pStyle w:val="Textkrper"/>
        <w:rPr>
          <w:lang w:val="de-DE"/>
        </w:rPr>
      </w:pPr>
      <w:r w:rsidRPr="00325CBE">
        <w:rPr>
          <w:lang w:val="de-DE"/>
        </w:rPr>
        <w:t>Ob früher Einstieg über die MVG-Reifegradanalyse oder eine MVG-Neuinitialisierung im laufenden Projekt: Am Ende zählt, was der Bauherr an Führungsfähigkeit gewinnt. Das folgende Kapitel zieht Bilanz.</w:t>
      </w:r>
    </w:p>
    <w:p w14:paraId="6059E939" w14:textId="77777777" w:rsidR="00A4494E" w:rsidRPr="00325CBE" w:rsidRDefault="00A038EC">
      <w:pPr>
        <w:pStyle w:val="berschrift1"/>
        <w:rPr>
          <w:kern w:val="2"/>
          <w:lang w:val="de-DE"/>
        </w:rPr>
      </w:pPr>
      <w:r w:rsidRPr="00325CBE">
        <w:rPr>
          <w:lang w:val="de-DE"/>
        </w:rPr>
        <w:br w:type="column"/>
      </w:r>
      <w:bookmarkStart w:id="173" w:name="_Toc234746111"/>
      <w:bookmarkStart w:id="174" w:name="_Toc239764965"/>
      <w:r w:rsidRPr="00325CBE">
        <w:rPr>
          <w:lang w:val="de-DE"/>
        </w:rPr>
        <w:lastRenderedPageBreak/>
        <w:t>Was Bauherren mit MVG und MVG Companion gewinnen</w:t>
      </w:r>
      <w:bookmarkEnd w:id="173"/>
      <w:bookmarkEnd w:id="174"/>
    </w:p>
    <w:p w14:paraId="745516E1" w14:textId="77777777" w:rsidR="00A4494E" w:rsidRPr="00325CBE" w:rsidRDefault="00A038EC">
      <w:pPr>
        <w:pStyle w:val="Textkrper"/>
        <w:rPr>
          <w:kern w:val="2"/>
          <w:lang w:val="de-DE"/>
        </w:rPr>
      </w:pPr>
      <w:r w:rsidRPr="00325CBE">
        <w:rPr>
          <w:lang w:val="de-DE"/>
        </w:rPr>
        <w:t>Für Bauherren zählt am Ende nicht die Zahl der Governance-Artefakte, sondern ihre Führungswirkung. MVG und der MVG Companion schaffen eine pragmatische Architektur, die Entscheidungen schneller vorbereitet, Mandate klarer macht, die Gremienfähigkeit erhöht und Nachweise belastbarer führt.</w:t>
      </w:r>
    </w:p>
    <w:tbl>
      <w:tblPr>
        <w:tblStyle w:val="Gitternetztabelle4Akzent1"/>
        <w:tblW w:w="9620" w:type="dxa"/>
        <w:tblLayout w:type="fixed"/>
        <w:tblLook w:val="04A0" w:firstRow="1" w:lastRow="0" w:firstColumn="1" w:lastColumn="0" w:noHBand="0" w:noVBand="1"/>
      </w:tblPr>
      <w:tblGrid>
        <w:gridCol w:w="3368"/>
        <w:gridCol w:w="6252"/>
      </w:tblGrid>
      <w:tr w:rsidR="00A4494E" w:rsidRPr="00325CBE" w14:paraId="44BF8F80"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8" w:type="dxa"/>
            <w:tcBorders>
              <w:top w:val="single" w:sz="4" w:space="0" w:color="4F81BD"/>
              <w:left w:val="single" w:sz="4" w:space="0" w:color="4F81BD"/>
              <w:bottom w:val="single" w:sz="4" w:space="0" w:color="4F81BD"/>
              <w:right w:val="single" w:sz="4" w:space="0" w:color="4F81BD"/>
            </w:tcBorders>
          </w:tcPr>
          <w:p w14:paraId="7F5BBA82" w14:textId="77777777" w:rsidR="00A4494E" w:rsidRPr="00325CBE" w:rsidRDefault="00A038EC">
            <w:pPr>
              <w:pStyle w:val="Textkrper"/>
              <w:spacing w:before="0" w:after="0"/>
              <w:rPr>
                <w:lang w:val="de-DE"/>
              </w:rPr>
            </w:pPr>
            <w:r w:rsidRPr="00325CBE">
              <w:rPr>
                <w:rFonts w:eastAsia="Cambria"/>
                <w:lang w:val="de-DE"/>
              </w:rPr>
              <w:t>Gewinn</w:t>
            </w:r>
          </w:p>
        </w:tc>
        <w:tc>
          <w:tcPr>
            <w:tcW w:w="6251" w:type="dxa"/>
            <w:tcBorders>
              <w:top w:val="single" w:sz="4" w:space="0" w:color="4F81BD"/>
              <w:left w:val="single" w:sz="4" w:space="0" w:color="4F81BD"/>
              <w:bottom w:val="single" w:sz="4" w:space="0" w:color="4F81BD"/>
              <w:right w:val="single" w:sz="4" w:space="0" w:color="4F81BD"/>
            </w:tcBorders>
          </w:tcPr>
          <w:p w14:paraId="7D0F0855" w14:textId="77777777" w:rsidR="00A4494E" w:rsidRPr="00325CBE" w:rsidRDefault="00A038EC">
            <w:pPr>
              <w:pStyle w:val="Textkrper"/>
              <w:spacing w:before="0" w:after="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Wirkung</w:t>
            </w:r>
          </w:p>
        </w:tc>
      </w:tr>
      <w:tr w:rsidR="00A4494E" w:rsidRPr="00325CBE" w14:paraId="2B9F0C81"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8" w:type="dxa"/>
          </w:tcPr>
          <w:p w14:paraId="03F10DA0" w14:textId="77777777" w:rsidR="00A4494E" w:rsidRPr="00325CBE" w:rsidRDefault="00A038EC">
            <w:pPr>
              <w:pStyle w:val="Textkrper"/>
              <w:spacing w:before="0" w:after="0"/>
              <w:rPr>
                <w:lang w:val="de-DE"/>
              </w:rPr>
            </w:pPr>
            <w:r w:rsidRPr="00325CBE">
              <w:rPr>
                <w:rFonts w:eastAsia="Cambria"/>
                <w:lang w:val="de-DE"/>
              </w:rPr>
              <w:t>Klarere Entscheidungen</w:t>
            </w:r>
          </w:p>
        </w:tc>
        <w:tc>
          <w:tcPr>
            <w:tcW w:w="6251" w:type="dxa"/>
          </w:tcPr>
          <w:p w14:paraId="51A46AB9"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Entscheidungsfragen, Mandate, Freigaben und Datenstände werden vor der Freigabe zusammengeführt.</w:t>
            </w:r>
          </w:p>
        </w:tc>
      </w:tr>
      <w:tr w:rsidR="00A4494E" w:rsidRPr="00325CBE" w14:paraId="69A24DB8"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368" w:type="dxa"/>
          </w:tcPr>
          <w:p w14:paraId="0FAF8DC7" w14:textId="77777777" w:rsidR="00A4494E" w:rsidRPr="00325CBE" w:rsidRDefault="00A038EC">
            <w:pPr>
              <w:pStyle w:val="Textkrper"/>
              <w:spacing w:before="0" w:after="0"/>
              <w:rPr>
                <w:lang w:val="de-DE"/>
              </w:rPr>
            </w:pPr>
            <w:r w:rsidRPr="00325CBE">
              <w:rPr>
                <w:rFonts w:eastAsia="Cambria"/>
                <w:lang w:val="de-DE"/>
              </w:rPr>
              <w:t>Schnellere Befähigung</w:t>
            </w:r>
          </w:p>
        </w:tc>
        <w:tc>
          <w:tcPr>
            <w:tcW w:w="6251" w:type="dxa"/>
          </w:tcPr>
          <w:p w14:paraId="5CDEC7C2" w14:textId="77777777" w:rsidR="00A4494E" w:rsidRPr="00325CBE" w:rsidRDefault="00A038EC">
            <w:pPr>
              <w:pStyle w:val="Textkrper"/>
              <w:spacing w:before="0" w:after="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Rollen lernen die MVG-Logik nicht nur in einer Arbeitssitzung, sondern in der Anwendung.</w:t>
            </w:r>
          </w:p>
        </w:tc>
      </w:tr>
      <w:tr w:rsidR="00A4494E" w:rsidRPr="00325CBE" w14:paraId="5F7444CF"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8" w:type="dxa"/>
          </w:tcPr>
          <w:p w14:paraId="128C696F" w14:textId="77777777" w:rsidR="00A4494E" w:rsidRPr="00325CBE" w:rsidRDefault="00A038EC">
            <w:pPr>
              <w:pStyle w:val="Textkrper"/>
              <w:spacing w:before="0" w:after="0"/>
              <w:rPr>
                <w:lang w:val="de-DE"/>
              </w:rPr>
            </w:pPr>
            <w:r w:rsidRPr="00325CBE">
              <w:rPr>
                <w:rFonts w:eastAsia="Cambria"/>
                <w:lang w:val="de-DE"/>
              </w:rPr>
              <w:t>Stärkere Übergabe</w:t>
            </w:r>
          </w:p>
        </w:tc>
        <w:tc>
          <w:tcPr>
            <w:tcW w:w="6251" w:type="dxa"/>
          </w:tcPr>
          <w:p w14:paraId="2FB575C8"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kern w:val="2"/>
                <w:lang w:val="de-DE"/>
              </w:rPr>
            </w:pPr>
            <w:r w:rsidRPr="00325CBE">
              <w:rPr>
                <w:rFonts w:eastAsia="Cambria"/>
                <w:lang w:val="de-DE"/>
              </w:rPr>
              <w:t>Betriebshandbuch, Routinen und Unterstützung durch den MVG Companion erleichtern den Regelbetrieb.</w:t>
            </w:r>
          </w:p>
        </w:tc>
      </w:tr>
      <w:tr w:rsidR="00A4494E" w:rsidRPr="00325CBE" w14:paraId="53EDAD56"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3368" w:type="dxa"/>
          </w:tcPr>
          <w:p w14:paraId="0A809A29" w14:textId="77777777" w:rsidR="00A4494E" w:rsidRPr="00325CBE" w:rsidRDefault="00A038EC">
            <w:pPr>
              <w:pStyle w:val="Textkrper"/>
              <w:spacing w:before="0" w:after="0"/>
              <w:rPr>
                <w:lang w:val="de-DE"/>
              </w:rPr>
            </w:pPr>
            <w:r w:rsidRPr="00325CBE">
              <w:rPr>
                <w:rFonts w:eastAsia="Cambria"/>
                <w:lang w:val="de-DE"/>
              </w:rPr>
              <w:t>Bessere Nachweis­fähigkeit</w:t>
            </w:r>
          </w:p>
        </w:tc>
        <w:tc>
          <w:tcPr>
            <w:tcW w:w="6251" w:type="dxa"/>
          </w:tcPr>
          <w:p w14:paraId="02A6CC06" w14:textId="77777777" w:rsidR="00A4494E" w:rsidRPr="00325CBE" w:rsidRDefault="00A038EC">
            <w:pPr>
              <w:pStyle w:val="Textkrper"/>
              <w:spacing w:before="0" w:after="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 xml:space="preserve">Entscheidungs-IDs, Datenstände und Beschlusslagen bleiben </w:t>
            </w:r>
            <w:proofErr w:type="spellStart"/>
            <w:r w:rsidRPr="00325CBE">
              <w:rPr>
                <w:rFonts w:eastAsia="Cambria"/>
                <w:lang w:val="de-DE"/>
              </w:rPr>
              <w:t>referenzierbar</w:t>
            </w:r>
            <w:proofErr w:type="spellEnd"/>
            <w:r w:rsidRPr="00325CBE">
              <w:rPr>
                <w:rFonts w:eastAsia="Cambria"/>
                <w:lang w:val="de-DE"/>
              </w:rPr>
              <w:t>.</w:t>
            </w:r>
          </w:p>
        </w:tc>
      </w:tr>
      <w:tr w:rsidR="00A4494E" w:rsidRPr="00325CBE" w14:paraId="5E90B9AB"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8" w:type="dxa"/>
          </w:tcPr>
          <w:p w14:paraId="601FAE0F" w14:textId="77777777" w:rsidR="00A4494E" w:rsidRPr="00325CBE" w:rsidRDefault="00A038EC">
            <w:pPr>
              <w:pStyle w:val="Textkrper"/>
              <w:spacing w:before="0" w:after="0"/>
              <w:rPr>
                <w:kern w:val="2"/>
                <w:lang w:val="de-DE"/>
              </w:rPr>
            </w:pPr>
            <w:r w:rsidRPr="00325CBE">
              <w:rPr>
                <w:rFonts w:eastAsia="Cambria"/>
                <w:lang w:val="de-DE"/>
              </w:rPr>
              <w:t>Geringere Zusatzlast</w:t>
            </w:r>
          </w:p>
        </w:tc>
        <w:tc>
          <w:tcPr>
            <w:tcW w:w="6251" w:type="dxa"/>
          </w:tcPr>
          <w:p w14:paraId="3A6562EC"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Der Mindeststandard bleibt auf führungsrelevante Entscheidungen konzentriert.</w:t>
            </w:r>
          </w:p>
        </w:tc>
      </w:tr>
    </w:tbl>
    <w:p w14:paraId="712FCF54" w14:textId="77777777" w:rsidR="00A4494E" w:rsidRPr="00325CBE" w:rsidRDefault="00A038EC">
      <w:pPr>
        <w:pStyle w:val="Textkrper"/>
        <w:rPr>
          <w:kern w:val="2"/>
          <w:lang w:val="de-DE"/>
        </w:rPr>
      </w:pPr>
      <w:r w:rsidRPr="00325CBE">
        <w:rPr>
          <w:b/>
          <w:bCs/>
          <w:color w:val="345A8A"/>
          <w:lang w:val="de-DE"/>
        </w:rPr>
        <w:t xml:space="preserve">Schlussbild: </w:t>
      </w:r>
      <w:r w:rsidRPr="00325CBE">
        <w:rPr>
          <w:lang w:val="de-DE"/>
        </w:rPr>
        <w:t>Bauherr Mentoren positioniert MVG als schlankes Bauherren-Führungsmodell und den MVG Companion als anwendungsnahen Beschleuniger. Die Kombination macht Bauherrenverantwortung nicht abstrakter, sondern praktischer: vorbereitet, mandatiert, nachvollziehbar und im Regelbetrieb nutzbar. Damit schließt sich der Bogen zur Leitthese dieses Whitepapers: Arbeit kann delegiert werden – bauherrenseitige Legitimation nicht.</w:t>
      </w:r>
    </w:p>
    <w:p w14:paraId="5231AD2B" w14:textId="77777777" w:rsidR="00A4494E" w:rsidRPr="00325CBE" w:rsidRDefault="00A038EC">
      <w:pPr>
        <w:pStyle w:val="berschrift2"/>
        <w:rPr>
          <w:kern w:val="2"/>
        </w:rPr>
      </w:pPr>
      <w:bookmarkStart w:id="175" w:name="_Toc234746112"/>
      <w:bookmarkStart w:id="176" w:name="_Toc239764966"/>
      <w:r w:rsidRPr="00325CBE">
        <w:t>Pragmatischer Einstieg</w:t>
      </w:r>
      <w:bookmarkEnd w:id="175"/>
      <w:bookmarkEnd w:id="176"/>
    </w:p>
    <w:p w14:paraId="56CD3AF0" w14:textId="77777777" w:rsidR="00A4494E" w:rsidRPr="00325CBE" w:rsidRDefault="00A038EC">
      <w:pPr>
        <w:pStyle w:val="Textkrper"/>
        <w:rPr>
          <w:kern w:val="2"/>
          <w:lang w:val="de-DE"/>
        </w:rPr>
      </w:pPr>
      <w:r w:rsidRPr="00325CBE">
        <w:rPr>
          <w:lang w:val="de-DE"/>
        </w:rPr>
        <w:t>Der Einstieg ist kein Governance-Großprojekt. Er beginnt mit einer kompakten MVG-Reifegradanalyse, die in kurzer Zeit sichtbar macht, welche Entscheidungen, Mandate, Datenstände und Nachweise kritisch sind. Auf dieser Grundlage kann der Bauherr priorisieren, welche MVG-Bausteine sofort wirksam werden und wo der Companion die Einführung beschleunigt.</w:t>
      </w:r>
    </w:p>
    <w:tbl>
      <w:tblPr>
        <w:tblStyle w:val="Gitternetztabelle4Akzent1"/>
        <w:tblW w:w="9620" w:type="dxa"/>
        <w:tblLayout w:type="fixed"/>
        <w:tblLook w:val="04A0" w:firstRow="1" w:lastRow="0" w:firstColumn="1" w:lastColumn="0" w:noHBand="0" w:noVBand="1"/>
      </w:tblPr>
      <w:tblGrid>
        <w:gridCol w:w="2517"/>
        <w:gridCol w:w="3685"/>
        <w:gridCol w:w="3418"/>
      </w:tblGrid>
      <w:tr w:rsidR="00A4494E" w:rsidRPr="00325CBE" w14:paraId="25B6EFBC"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4F81BD"/>
              <w:left w:val="single" w:sz="4" w:space="0" w:color="4F81BD"/>
              <w:bottom w:val="single" w:sz="4" w:space="0" w:color="4F81BD"/>
              <w:right w:val="single" w:sz="4" w:space="0" w:color="4F81BD"/>
            </w:tcBorders>
          </w:tcPr>
          <w:p w14:paraId="1A5AEDBE" w14:textId="77777777" w:rsidR="00A4494E" w:rsidRPr="00325CBE" w:rsidRDefault="00A038EC">
            <w:pPr>
              <w:pStyle w:val="Textkrper"/>
              <w:spacing w:before="0" w:after="0"/>
              <w:rPr>
                <w:lang w:val="de-DE"/>
              </w:rPr>
            </w:pPr>
            <w:r w:rsidRPr="00325CBE">
              <w:rPr>
                <w:rFonts w:eastAsia="Cambria"/>
                <w:lang w:val="de-DE"/>
              </w:rPr>
              <w:t>Einstiegspunkt</w:t>
            </w:r>
          </w:p>
        </w:tc>
        <w:tc>
          <w:tcPr>
            <w:tcW w:w="3685" w:type="dxa"/>
            <w:tcBorders>
              <w:top w:val="single" w:sz="4" w:space="0" w:color="4F81BD"/>
              <w:left w:val="single" w:sz="4" w:space="0" w:color="4F81BD"/>
              <w:bottom w:val="single" w:sz="4" w:space="0" w:color="4F81BD"/>
              <w:right w:val="single" w:sz="4" w:space="0" w:color="4F81BD"/>
            </w:tcBorders>
          </w:tcPr>
          <w:p w14:paraId="2D5F62B9" w14:textId="77777777" w:rsidR="00A4494E" w:rsidRPr="00325CBE" w:rsidRDefault="00A038EC">
            <w:pPr>
              <w:pStyle w:val="Textkrper"/>
              <w:spacing w:before="0" w:after="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Kernfrage</w:t>
            </w:r>
          </w:p>
        </w:tc>
        <w:tc>
          <w:tcPr>
            <w:tcW w:w="3418" w:type="dxa"/>
            <w:tcBorders>
              <w:top w:val="single" w:sz="4" w:space="0" w:color="4F81BD"/>
              <w:left w:val="single" w:sz="4" w:space="0" w:color="4F81BD"/>
              <w:bottom w:val="single" w:sz="4" w:space="0" w:color="4F81BD"/>
              <w:right w:val="single" w:sz="4" w:space="0" w:color="4F81BD"/>
            </w:tcBorders>
          </w:tcPr>
          <w:p w14:paraId="3F5B1EBC" w14:textId="77777777" w:rsidR="00A4494E" w:rsidRPr="00325CBE" w:rsidRDefault="00A038EC">
            <w:pPr>
              <w:pStyle w:val="Textkrper"/>
              <w:spacing w:before="0" w:after="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Ergebnis</w:t>
            </w:r>
          </w:p>
        </w:tc>
      </w:tr>
      <w:tr w:rsidR="00A4494E" w:rsidRPr="00325CBE" w14:paraId="1FB86DDB"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17" w:type="dxa"/>
          </w:tcPr>
          <w:p w14:paraId="7617C62D" w14:textId="77777777" w:rsidR="00A4494E" w:rsidRPr="00325CBE" w:rsidRDefault="00A038EC">
            <w:pPr>
              <w:pStyle w:val="Textkrper"/>
              <w:spacing w:before="0" w:after="0"/>
              <w:rPr>
                <w:lang w:val="de-DE"/>
              </w:rPr>
            </w:pPr>
            <w:r w:rsidRPr="00325CBE">
              <w:rPr>
                <w:rFonts w:eastAsia="Cambria"/>
                <w:lang w:val="de-DE"/>
              </w:rPr>
              <w:t>Reifegradanalyse</w:t>
            </w:r>
          </w:p>
        </w:tc>
        <w:tc>
          <w:tcPr>
            <w:tcW w:w="3685" w:type="dxa"/>
          </w:tcPr>
          <w:p w14:paraId="091AA61C"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Welche Entscheidungen, Mandate, Freigaben und Datenstände sind im 30/60/90-Orientierungsrahmen nach der MVG-Reifegradanalyse relevant?</w:t>
            </w:r>
          </w:p>
        </w:tc>
        <w:tc>
          <w:tcPr>
            <w:tcW w:w="3418" w:type="dxa"/>
          </w:tcPr>
          <w:p w14:paraId="5E633A17"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Lagebild, Entscheidungsliste und priorisierte Umsetzungsschritte.</w:t>
            </w:r>
          </w:p>
        </w:tc>
      </w:tr>
      <w:tr w:rsidR="00A4494E" w:rsidRPr="00325CBE" w14:paraId="2C4F3324"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517" w:type="dxa"/>
          </w:tcPr>
          <w:p w14:paraId="015B3AD0" w14:textId="0482F296" w:rsidR="00A4494E" w:rsidRPr="00325CBE" w:rsidRDefault="00A038EC">
            <w:pPr>
              <w:pStyle w:val="Textkrper"/>
              <w:spacing w:before="0" w:after="0"/>
              <w:rPr>
                <w:lang w:val="de-DE"/>
              </w:rPr>
            </w:pPr>
            <w:r w:rsidRPr="00325CBE">
              <w:rPr>
                <w:rFonts w:eastAsia="Cambria"/>
                <w:lang w:val="de-DE"/>
              </w:rPr>
              <w:t>Companion-Kalibrierung</w:t>
            </w:r>
          </w:p>
        </w:tc>
        <w:tc>
          <w:tcPr>
            <w:tcW w:w="3685" w:type="dxa"/>
          </w:tcPr>
          <w:p w14:paraId="23EBDF48" w14:textId="77777777" w:rsidR="00A4494E" w:rsidRPr="00325CBE" w:rsidRDefault="00A038EC">
            <w:pPr>
              <w:pStyle w:val="Textkrper"/>
              <w:spacing w:before="0" w:after="0"/>
              <w:cnfStyle w:val="000000000000" w:firstRow="0" w:lastRow="0" w:firstColumn="0" w:lastColumn="0" w:oddVBand="0" w:evenVBand="0" w:oddHBand="0" w:evenHBand="0" w:firstRowFirstColumn="0" w:firstRowLastColumn="0" w:lastRowFirstColumn="0" w:lastRowLastColumn="0"/>
              <w:rPr>
                <w:kern w:val="2"/>
                <w:lang w:val="de-DE"/>
              </w:rPr>
            </w:pPr>
            <w:r w:rsidRPr="00325CBE">
              <w:rPr>
                <w:rFonts w:eastAsia="Cambria"/>
                <w:lang w:val="de-DE"/>
              </w:rPr>
              <w:t>Welche Rollen, Entscheidungsroutinen und Elemente des Betriebshandbuchs sollen mit Unterstützung des Companion verfügbar sein?</w:t>
            </w:r>
          </w:p>
        </w:tc>
        <w:tc>
          <w:tcPr>
            <w:tcW w:w="3418" w:type="dxa"/>
          </w:tcPr>
          <w:p w14:paraId="2AE19CF5" w14:textId="77777777" w:rsidR="00A4494E" w:rsidRPr="00325CBE" w:rsidRDefault="00A038EC">
            <w:pPr>
              <w:pStyle w:val="Textkrper"/>
              <w:spacing w:before="0" w:after="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Anwendungslogik für Schulung, Pilotierung und Übergabe.</w:t>
            </w:r>
          </w:p>
        </w:tc>
      </w:tr>
      <w:tr w:rsidR="00A4494E" w:rsidRPr="00325CBE" w14:paraId="1B2460C5"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17" w:type="dxa"/>
          </w:tcPr>
          <w:p w14:paraId="7569BCE3" w14:textId="77777777" w:rsidR="00A4494E" w:rsidRPr="00325CBE" w:rsidRDefault="00A038EC">
            <w:pPr>
              <w:pStyle w:val="Textkrper"/>
              <w:spacing w:before="0" w:after="0"/>
              <w:rPr>
                <w:lang w:val="de-DE"/>
              </w:rPr>
            </w:pPr>
            <w:r w:rsidRPr="00325CBE">
              <w:rPr>
                <w:rFonts w:eastAsia="Cambria"/>
                <w:lang w:val="de-DE"/>
              </w:rPr>
              <w:t>Entscheidung für die Pilotierung</w:t>
            </w:r>
          </w:p>
        </w:tc>
        <w:tc>
          <w:tcPr>
            <w:tcW w:w="3685" w:type="dxa"/>
          </w:tcPr>
          <w:p w14:paraId="748039A0"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Welche echte Entscheidung eignet sich zur Kalibrie­rung des MVG-Modells?</w:t>
            </w:r>
          </w:p>
        </w:tc>
        <w:tc>
          <w:tcPr>
            <w:tcW w:w="3418" w:type="dxa"/>
          </w:tcPr>
          <w:p w14:paraId="762F9998" w14:textId="77777777" w:rsidR="00A4494E" w:rsidRPr="00325CBE" w:rsidRDefault="00A038EC">
            <w:pPr>
              <w:pStyle w:val="Textkrper"/>
              <w:spacing w:before="0" w:after="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Praxistest mit Freigabefrage, Entscheidungs-ID, Datenstand und Nachweislogik.</w:t>
            </w:r>
          </w:p>
        </w:tc>
      </w:tr>
    </w:tbl>
    <w:p w14:paraId="5DA1257B" w14:textId="77777777" w:rsidR="00A4494E" w:rsidRPr="00325CBE" w:rsidRDefault="00A038EC">
      <w:pPr>
        <w:pStyle w:val="berschrift1"/>
        <w:rPr>
          <w:kern w:val="2"/>
          <w:lang w:val="de-DE"/>
        </w:rPr>
      </w:pPr>
      <w:r w:rsidRPr="00325CBE">
        <w:rPr>
          <w:lang w:val="de-DE"/>
        </w:rPr>
        <w:br w:type="column"/>
      </w:r>
      <w:bookmarkStart w:id="177" w:name="_Toc234746113"/>
      <w:bookmarkStart w:id="178" w:name="_Toc239764967"/>
      <w:r w:rsidRPr="00325CBE">
        <w:rPr>
          <w:lang w:val="de-DE"/>
        </w:rPr>
        <w:lastRenderedPageBreak/>
        <w:t>Anhang: Glossar</w:t>
      </w:r>
      <w:bookmarkEnd w:id="177"/>
      <w:bookmarkEnd w:id="178"/>
    </w:p>
    <w:tbl>
      <w:tblPr>
        <w:tblStyle w:val="Gitternetztabelle4Akzent1"/>
        <w:tblW w:w="5000" w:type="pct"/>
        <w:tblLayout w:type="fixed"/>
        <w:tblLook w:val="04A0" w:firstRow="1" w:lastRow="0" w:firstColumn="1" w:lastColumn="0" w:noHBand="0" w:noVBand="1"/>
      </w:tblPr>
      <w:tblGrid>
        <w:gridCol w:w="3003"/>
        <w:gridCol w:w="6617"/>
      </w:tblGrid>
      <w:tr w:rsidR="00A4494E" w:rsidRPr="00325CBE" w14:paraId="51705279" w14:textId="77777777" w:rsidTr="00A4494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Borders>
              <w:top w:val="single" w:sz="4" w:space="0" w:color="4F81BD"/>
              <w:left w:val="single" w:sz="4" w:space="0" w:color="4F81BD"/>
              <w:bottom w:val="single" w:sz="4" w:space="0" w:color="4F81BD"/>
              <w:right w:val="single" w:sz="4" w:space="0" w:color="4F81BD"/>
            </w:tcBorders>
          </w:tcPr>
          <w:p w14:paraId="0A27B734" w14:textId="77777777" w:rsidR="00A4494E" w:rsidRPr="00325CBE" w:rsidRDefault="00A038EC">
            <w:pPr>
              <w:pStyle w:val="Compact"/>
              <w:spacing w:before="0" w:after="40"/>
              <w:rPr>
                <w:lang w:val="de-DE"/>
              </w:rPr>
            </w:pPr>
            <w:r w:rsidRPr="00325CBE">
              <w:rPr>
                <w:rFonts w:eastAsia="Cambria"/>
                <w:lang w:val="de-DE"/>
              </w:rPr>
              <w:t>Begriff</w:t>
            </w:r>
          </w:p>
        </w:tc>
        <w:tc>
          <w:tcPr>
            <w:tcW w:w="6468" w:type="dxa"/>
            <w:tcBorders>
              <w:top w:val="single" w:sz="4" w:space="0" w:color="4F81BD"/>
              <w:left w:val="single" w:sz="4" w:space="0" w:color="4F81BD"/>
              <w:bottom w:val="single" w:sz="4" w:space="0" w:color="4F81BD"/>
              <w:right w:val="single" w:sz="4" w:space="0" w:color="4F81BD"/>
            </w:tcBorders>
          </w:tcPr>
          <w:p w14:paraId="30ABFF5D" w14:textId="77777777" w:rsidR="00A4494E" w:rsidRPr="00325CBE" w:rsidRDefault="00A038EC">
            <w:pPr>
              <w:pStyle w:val="Compact"/>
              <w:spacing w:before="0" w:after="40"/>
              <w:cnfStyle w:val="100000000000" w:firstRow="1" w:lastRow="0" w:firstColumn="0" w:lastColumn="0" w:oddVBand="0" w:evenVBand="0" w:oddHBand="0" w:evenHBand="0" w:firstRowFirstColumn="0" w:firstRowLastColumn="0" w:lastRowFirstColumn="0" w:lastRowLastColumn="0"/>
              <w:rPr>
                <w:lang w:val="de-DE"/>
              </w:rPr>
            </w:pPr>
            <w:r w:rsidRPr="00325CBE">
              <w:rPr>
                <w:rFonts w:eastAsia="Cambria"/>
                <w:lang w:val="de-DE"/>
              </w:rPr>
              <w:t>Definition</w:t>
            </w:r>
          </w:p>
        </w:tc>
      </w:tr>
      <w:tr w:rsidR="00A4494E" w:rsidRPr="00325CBE" w14:paraId="4B1303F6"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5D18D4EE" w14:textId="77777777" w:rsidR="00A4494E" w:rsidRPr="00325CBE" w:rsidRDefault="00A038EC">
            <w:pPr>
              <w:pStyle w:val="Compact"/>
              <w:spacing w:before="0" w:after="40"/>
              <w:rPr>
                <w:lang w:val="de-DE"/>
              </w:rPr>
            </w:pPr>
            <w:r w:rsidRPr="00325CBE">
              <w:rPr>
                <w:rFonts w:eastAsia="Cambria"/>
                <w:lang w:val="de-DE"/>
              </w:rPr>
              <w:t>Bauherr</w:t>
            </w:r>
          </w:p>
        </w:tc>
        <w:tc>
          <w:tcPr>
            <w:tcW w:w="6468" w:type="dxa"/>
          </w:tcPr>
          <w:p w14:paraId="1CAD9AA9"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Organisation oder Person, die ein Bau- oder Infrastrukturvorhaben veranlasst, legitimiert und wesentliche Entscheidungen trägt.</w:t>
            </w:r>
          </w:p>
        </w:tc>
      </w:tr>
      <w:tr w:rsidR="00A4494E" w:rsidRPr="00325CBE" w14:paraId="1BE5ADF8"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338BC18B" w14:textId="77777777" w:rsidR="00A4494E" w:rsidRPr="00325CBE" w:rsidRDefault="00A038EC">
            <w:pPr>
              <w:pStyle w:val="Compact"/>
              <w:spacing w:before="0" w:after="40"/>
              <w:rPr>
                <w:lang w:val="de-DE"/>
              </w:rPr>
            </w:pPr>
            <w:r w:rsidRPr="00325CBE">
              <w:rPr>
                <w:rFonts w:eastAsia="Cambria"/>
                <w:lang w:val="de-DE"/>
              </w:rPr>
              <w:t>Bauherrenorganisation</w:t>
            </w:r>
          </w:p>
        </w:tc>
        <w:tc>
          <w:tcPr>
            <w:tcW w:w="6468" w:type="dxa"/>
          </w:tcPr>
          <w:p w14:paraId="138CCEC9"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Die Gesamtheit der bauherrenseitigen Rollen, Gremien, Entscheidungswege, Mandate und Unterstützungsfunktionen.</w:t>
            </w:r>
          </w:p>
        </w:tc>
      </w:tr>
      <w:tr w:rsidR="00A4494E" w:rsidRPr="00325CBE" w14:paraId="12BC9CE3"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554FB85E" w14:textId="77777777" w:rsidR="00A4494E" w:rsidRPr="00325CBE" w:rsidRDefault="00A038EC">
            <w:pPr>
              <w:pStyle w:val="Compact"/>
              <w:spacing w:before="0" w:after="40"/>
              <w:rPr>
                <w:lang w:val="de-DE"/>
              </w:rPr>
            </w:pPr>
            <w:r w:rsidRPr="00325CBE">
              <w:rPr>
                <w:rFonts w:eastAsia="Cambria"/>
                <w:lang w:val="de-DE"/>
              </w:rPr>
              <w:t>Nichtdelegierbare Bauherrenverantwortung</w:t>
            </w:r>
          </w:p>
        </w:tc>
        <w:tc>
          <w:tcPr>
            <w:tcW w:w="6468" w:type="dxa"/>
          </w:tcPr>
          <w:p w14:paraId="6E60CD9B"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Governance-bezogener Begriff für Verantwortungen, bei denen der Bauherr Ziel, Mandat, wesentliche Entscheidung, Risikoannahme, Freigabe, Datenstand und Nachweis selbst legitimieren muss.</w:t>
            </w:r>
          </w:p>
        </w:tc>
      </w:tr>
      <w:tr w:rsidR="00A4494E" w:rsidRPr="00325CBE" w14:paraId="4353E1D0"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68DB6164" w14:textId="77777777" w:rsidR="00A4494E" w:rsidRPr="00325CBE" w:rsidRDefault="00A038EC">
            <w:pPr>
              <w:pStyle w:val="Compact"/>
              <w:spacing w:before="0" w:after="40"/>
              <w:rPr>
                <w:lang w:val="de-DE"/>
              </w:rPr>
            </w:pPr>
            <w:r w:rsidRPr="00325CBE">
              <w:rPr>
                <w:rFonts w:eastAsia="Cambria"/>
                <w:lang w:val="de-DE"/>
              </w:rPr>
              <w:t>Minimum Viable Governance (MVG)</w:t>
            </w:r>
          </w:p>
        </w:tc>
        <w:tc>
          <w:tcPr>
            <w:tcW w:w="6468" w:type="dxa"/>
          </w:tcPr>
          <w:p w14:paraId="43342A9F"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Kleinster funktionsfähiger Governance-Standard, mit dem Bauherrenverantwortung entscheidungsfähig, nachweisbar und operabel wird.</w:t>
            </w:r>
          </w:p>
        </w:tc>
      </w:tr>
      <w:tr w:rsidR="00A4494E" w:rsidRPr="00325CBE" w14:paraId="0F15944D"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040AD06B" w14:textId="77777777" w:rsidR="00A4494E" w:rsidRPr="00325CBE" w:rsidRDefault="00A038EC">
            <w:pPr>
              <w:pStyle w:val="Compact"/>
              <w:spacing w:before="0" w:after="40"/>
              <w:rPr>
                <w:lang w:val="de-DE"/>
              </w:rPr>
            </w:pPr>
            <w:r w:rsidRPr="00325CBE">
              <w:rPr>
                <w:rFonts w:eastAsia="Cambria"/>
                <w:lang w:val="de-DE"/>
              </w:rPr>
              <w:t>Bauherren-Führungsmodell</w:t>
            </w:r>
          </w:p>
        </w:tc>
        <w:tc>
          <w:tcPr>
            <w:tcW w:w="6468" w:type="dxa"/>
          </w:tcPr>
          <w:p w14:paraId="2DEA42E8" w14:textId="15551AFE"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Das Zusammenspiel aus Zielsystem, Rollen und Mandaten, Freigaben, Entscheidungs-IDs, Datenstands- und Nachweislogik, Risiko-/Änderungs-/Maßnahmenverknüpfung, Restkostenprognose (CTC), Leistungskennzahlen (KPI), Eskalation, Betriebshandbuch und Befähigung zu einer durchgängigen Steuerungsarchitektur – das Führungsmodell, mit dem ein Bauherr ein komplexes Vorhaben steuerbar hält.</w:t>
            </w:r>
          </w:p>
        </w:tc>
      </w:tr>
      <w:tr w:rsidR="00A4494E" w:rsidRPr="00325CBE" w14:paraId="2DCA71DE"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49E71587" w14:textId="77777777" w:rsidR="00A4494E" w:rsidRPr="00325CBE" w:rsidRDefault="00A038EC">
            <w:pPr>
              <w:pStyle w:val="Compact"/>
              <w:spacing w:before="0" w:after="40"/>
              <w:rPr>
                <w:lang w:val="de-DE"/>
              </w:rPr>
            </w:pPr>
            <w:r w:rsidRPr="00325CBE">
              <w:rPr>
                <w:rFonts w:eastAsia="Cambria"/>
                <w:lang w:val="de-DE"/>
              </w:rPr>
              <w:t>Mandat</w:t>
            </w:r>
          </w:p>
        </w:tc>
        <w:tc>
          <w:tcPr>
            <w:tcW w:w="6468" w:type="dxa"/>
          </w:tcPr>
          <w:p w14:paraId="4131C7CA"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Klar zugewiesene Entscheidungs- und Eskalationsbefugnis einer Rolle oder eines Gremiums, verbunden mit Schwellen, Stellvertretung und Freigabeweg.</w:t>
            </w:r>
          </w:p>
        </w:tc>
      </w:tr>
      <w:tr w:rsidR="00A4494E" w:rsidRPr="00325CBE" w14:paraId="6780CB65"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4A7F1130" w14:textId="77777777" w:rsidR="00A4494E" w:rsidRPr="00325CBE" w:rsidRDefault="00A038EC">
            <w:pPr>
              <w:pStyle w:val="Compact"/>
              <w:spacing w:before="0" w:after="40"/>
              <w:rPr>
                <w:lang w:val="de-DE"/>
              </w:rPr>
            </w:pPr>
            <w:r w:rsidRPr="00325CBE">
              <w:rPr>
                <w:rFonts w:eastAsia="Cambria"/>
                <w:lang w:val="de-DE"/>
              </w:rPr>
              <w:t>Entscheidungs-ID</w:t>
            </w:r>
          </w:p>
        </w:tc>
        <w:tc>
          <w:tcPr>
            <w:tcW w:w="6468" w:type="dxa"/>
          </w:tcPr>
          <w:p w14:paraId="07C3397B"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Eindeutige Kennung für eine wesentliche Bauherrenentscheidung. Sie schafft Nachverfolgbarkeit und Referenzlogik.</w:t>
            </w:r>
          </w:p>
        </w:tc>
      </w:tr>
      <w:tr w:rsidR="00A4494E" w:rsidRPr="00325CBE" w14:paraId="40C74791"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5307C5DF" w14:textId="77777777" w:rsidR="00A4494E" w:rsidRPr="00325CBE" w:rsidRDefault="00A038EC">
            <w:pPr>
              <w:pStyle w:val="Compact"/>
              <w:spacing w:before="0" w:after="40"/>
              <w:rPr>
                <w:lang w:val="de-DE"/>
              </w:rPr>
            </w:pPr>
            <w:r w:rsidRPr="00325CBE">
              <w:rPr>
                <w:rFonts w:eastAsia="Cambria"/>
                <w:lang w:val="de-DE"/>
              </w:rPr>
              <w:t>Entscheidungsvorlage</w:t>
            </w:r>
          </w:p>
        </w:tc>
        <w:tc>
          <w:tcPr>
            <w:tcW w:w="6468" w:type="dxa"/>
          </w:tcPr>
          <w:p w14:paraId="6C3ED03B"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Nachweislogik für eine wesentliche Entscheidung mit Entscheidungsfrage, Bezug zur Freigabe und zum Mandat, Datenstand, Optionen, Annahmen, Auswirkungen, Empfehlung, Freigabeprozess, Beschlusslage und Nachverfolgung.</w:t>
            </w:r>
          </w:p>
        </w:tc>
      </w:tr>
      <w:tr w:rsidR="00A4494E" w:rsidRPr="00325CBE" w14:paraId="5D12ECE4"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38116150" w14:textId="77777777" w:rsidR="00A4494E" w:rsidRPr="00325CBE" w:rsidRDefault="00A038EC">
            <w:pPr>
              <w:pStyle w:val="Compact"/>
              <w:spacing w:before="0" w:after="40"/>
              <w:rPr>
                <w:lang w:val="de-DE"/>
              </w:rPr>
            </w:pPr>
            <w:r w:rsidRPr="00325CBE">
              <w:rPr>
                <w:rFonts w:eastAsia="Cambria"/>
                <w:lang w:val="de-DE"/>
              </w:rPr>
              <w:t>Entscheidungs­reife</w:t>
            </w:r>
          </w:p>
        </w:tc>
        <w:tc>
          <w:tcPr>
            <w:tcW w:w="6468" w:type="dxa"/>
          </w:tcPr>
          <w:p w14:paraId="0DCF1986"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Zustand, in dem eine Entscheidung ausreichend vorbereitet ist, um auf der zuständigen Mandatsebene getroffen zu werden.</w:t>
            </w:r>
          </w:p>
        </w:tc>
      </w:tr>
      <w:tr w:rsidR="00A4494E" w:rsidRPr="00325CBE" w14:paraId="40E497F6"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3A16BE0C" w14:textId="77777777" w:rsidR="00A4494E" w:rsidRPr="00325CBE" w:rsidRDefault="00A038EC">
            <w:pPr>
              <w:pStyle w:val="Compact"/>
              <w:spacing w:before="0" w:after="40"/>
              <w:rPr>
                <w:lang w:val="de-DE"/>
              </w:rPr>
            </w:pPr>
            <w:r w:rsidRPr="00325CBE">
              <w:rPr>
                <w:rFonts w:eastAsia="Cambria"/>
                <w:lang w:val="de-DE"/>
              </w:rPr>
              <w:t>Freigabe</w:t>
            </w:r>
          </w:p>
        </w:tc>
        <w:tc>
          <w:tcPr>
            <w:tcW w:w="6468" w:type="dxa"/>
          </w:tcPr>
          <w:p w14:paraId="15859652" w14:textId="7CF94212"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Entscheidung des Bauherrn am Abschluss einer Leistungsphase (LPH 0–9). Die Freigabe gibt die nächste Leistungsphase frei und verbindet Freigabereife, Mandat, Datenstand und Nachweis. Die Freigabe erteilt der Bauherr selbst – nicht Projektsteuerung oder Lenkungskreis.</w:t>
            </w:r>
          </w:p>
        </w:tc>
      </w:tr>
      <w:tr w:rsidR="00A4494E" w:rsidRPr="00325CBE" w14:paraId="5328C196"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1CA69FD8" w14:textId="77777777" w:rsidR="00A4494E" w:rsidRPr="00325CBE" w:rsidRDefault="00A038EC">
            <w:pPr>
              <w:pStyle w:val="Compact"/>
              <w:spacing w:before="0" w:after="40"/>
              <w:rPr>
                <w:lang w:val="de-DE"/>
              </w:rPr>
            </w:pPr>
            <w:r w:rsidRPr="00325CBE">
              <w:rPr>
                <w:rFonts w:eastAsia="Cambria"/>
                <w:lang w:val="de-DE"/>
              </w:rPr>
              <w:t>Datenstand</w:t>
            </w:r>
          </w:p>
        </w:tc>
        <w:tc>
          <w:tcPr>
            <w:tcW w:w="6468" w:type="dxa"/>
          </w:tcPr>
          <w:p w14:paraId="3F4EF564"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Benannte und versionierte Grundlage, auf der eine Entscheidung getroffen wird.</w:t>
            </w:r>
          </w:p>
        </w:tc>
      </w:tr>
      <w:tr w:rsidR="00A4494E" w:rsidRPr="00325CBE" w14:paraId="04A9CD0C"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5D97838A" w14:textId="77777777" w:rsidR="00A4494E" w:rsidRPr="00325CBE" w:rsidRDefault="00A038EC">
            <w:pPr>
              <w:pStyle w:val="Compact"/>
              <w:spacing w:before="0" w:after="40"/>
              <w:rPr>
                <w:lang w:val="de-DE"/>
              </w:rPr>
            </w:pPr>
            <w:r w:rsidRPr="00325CBE">
              <w:rPr>
                <w:rFonts w:eastAsia="Cambria"/>
                <w:lang w:val="de-DE"/>
              </w:rPr>
              <w:t>Nachweiskette</w:t>
            </w:r>
          </w:p>
        </w:tc>
        <w:tc>
          <w:tcPr>
            <w:tcW w:w="6468" w:type="dxa"/>
          </w:tcPr>
          <w:p w14:paraId="189E1C21"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Nachvollziehbare Kette von Entscheidungs­grundlagen, Annahmen, Freigaben, Beschlüssen und Nachverfolgung.</w:t>
            </w:r>
          </w:p>
        </w:tc>
      </w:tr>
      <w:tr w:rsidR="00A4494E" w:rsidRPr="00325CBE" w14:paraId="0FA1CEF7"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012BFB89" w14:textId="77777777" w:rsidR="00A4494E" w:rsidRPr="00325CBE" w:rsidRDefault="00A038EC">
            <w:pPr>
              <w:pStyle w:val="Compact"/>
              <w:spacing w:before="0" w:after="40"/>
              <w:rPr>
                <w:lang w:val="de-DE"/>
              </w:rPr>
            </w:pPr>
            <w:r w:rsidRPr="00325CBE">
              <w:rPr>
                <w:rFonts w:eastAsia="Cambria"/>
                <w:lang w:val="de-DE"/>
              </w:rPr>
              <w:t>Betriebshandbuch</w:t>
            </w:r>
          </w:p>
        </w:tc>
        <w:tc>
          <w:tcPr>
            <w:tcW w:w="6468" w:type="dxa"/>
          </w:tcPr>
          <w:p w14:paraId="0F5D76C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Betriebslogik für den Regelbetrieb von MVG mit Rollen, Routinen, Taktung, Eskalation und Prüfmechanismen.</w:t>
            </w:r>
          </w:p>
        </w:tc>
      </w:tr>
      <w:tr w:rsidR="00A4494E" w:rsidRPr="00325CBE" w14:paraId="02DC6203"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4D8D9A95" w14:textId="77777777" w:rsidR="00A4494E" w:rsidRPr="00325CBE" w:rsidRDefault="00A038EC">
            <w:pPr>
              <w:pStyle w:val="Compact"/>
              <w:spacing w:before="0" w:after="40"/>
              <w:rPr>
                <w:lang w:val="de-DE"/>
              </w:rPr>
            </w:pPr>
            <w:r w:rsidRPr="00325CBE">
              <w:rPr>
                <w:rFonts w:eastAsia="Cambria"/>
                <w:lang w:val="de-DE"/>
              </w:rPr>
              <w:t>Befähigung</w:t>
            </w:r>
          </w:p>
        </w:tc>
        <w:tc>
          <w:tcPr>
            <w:tcW w:w="6468" w:type="dxa"/>
          </w:tcPr>
          <w:p w14:paraId="4C7014D7"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Verankerung von MVG in Schlüsselrollen, damit die Bauherrenorganisation das Modell selbst anwenden kann.</w:t>
            </w:r>
          </w:p>
        </w:tc>
      </w:tr>
      <w:tr w:rsidR="00A4494E" w:rsidRPr="00325CBE" w14:paraId="491480FA"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5BA8C1C3" w14:textId="77777777" w:rsidR="00A4494E" w:rsidRPr="00325CBE" w:rsidRDefault="00A038EC">
            <w:pPr>
              <w:pStyle w:val="Compact"/>
              <w:spacing w:before="0" w:after="40"/>
              <w:rPr>
                <w:lang w:val="de-DE"/>
              </w:rPr>
            </w:pPr>
            <w:r w:rsidRPr="00325CBE">
              <w:rPr>
                <w:rFonts w:eastAsia="Cambria"/>
                <w:lang w:val="de-DE"/>
              </w:rPr>
              <w:lastRenderedPageBreak/>
              <w:t>MVG-Neuinitialisierung</w:t>
            </w:r>
          </w:p>
        </w:tc>
        <w:tc>
          <w:tcPr>
            <w:tcW w:w="6468" w:type="dxa"/>
          </w:tcPr>
          <w:p w14:paraId="741E4A47"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Sonderformat außerhalb der regulären Freigabereihe zur gezielten Neuordnung der Steuerungs- und Entscheidungslogik in laufenden Projekten mit eingeschränkter Steuerbarkeit.</w:t>
            </w:r>
          </w:p>
        </w:tc>
      </w:tr>
      <w:tr w:rsidR="00A4494E" w:rsidRPr="00325CBE" w14:paraId="547713FF"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32A4C1F9" w14:textId="77777777" w:rsidR="00A4494E" w:rsidRPr="00325CBE" w:rsidRDefault="00A038EC">
            <w:pPr>
              <w:pStyle w:val="Compact"/>
              <w:spacing w:before="0" w:after="40"/>
              <w:rPr>
                <w:lang w:val="de-DE"/>
              </w:rPr>
            </w:pPr>
            <w:r w:rsidRPr="00325CBE">
              <w:rPr>
                <w:rFonts w:eastAsia="Cambria"/>
                <w:lang w:val="de-DE"/>
              </w:rPr>
              <w:t>ESG</w:t>
            </w:r>
          </w:p>
        </w:tc>
        <w:tc>
          <w:tcPr>
            <w:tcW w:w="6468" w:type="dxa"/>
          </w:tcPr>
          <w:p w14:paraId="75B24E69"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rFonts w:eastAsia="Cambria"/>
                <w:lang w:val="de-DE"/>
              </w:rPr>
              <w:t>Umwelt-, Sozial- und Governance-Aspekte, die als Entscheidungsdimension in Zielsystem, Varianten und Freigaben berücksichtigt werden können.</w:t>
            </w:r>
          </w:p>
        </w:tc>
      </w:tr>
      <w:tr w:rsidR="00A4494E" w:rsidRPr="00325CBE" w14:paraId="05066DB2"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7746EF3B" w14:textId="77777777" w:rsidR="00A4494E" w:rsidRPr="00325CBE" w:rsidRDefault="00A038EC">
            <w:pPr>
              <w:pStyle w:val="Compact"/>
              <w:spacing w:before="0" w:after="40"/>
              <w:rPr>
                <w:lang w:val="de-DE"/>
              </w:rPr>
            </w:pPr>
            <w:r w:rsidRPr="00325CBE">
              <w:rPr>
                <w:rFonts w:eastAsia="Cambria"/>
                <w:lang w:val="de-DE"/>
              </w:rPr>
              <w:t>LCC</w:t>
            </w:r>
          </w:p>
        </w:tc>
        <w:tc>
          <w:tcPr>
            <w:tcW w:w="6468" w:type="dxa"/>
          </w:tcPr>
          <w:p w14:paraId="7754A337"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rFonts w:eastAsia="Cambria"/>
                <w:lang w:val="de-DE"/>
              </w:rPr>
              <w:t>Lebenszykluskosten; Kostenbetrachtung über Errichtung, Betrieb, Instandhaltung und Nutzung hinweg als Entscheidungsdimension.</w:t>
            </w:r>
          </w:p>
        </w:tc>
      </w:tr>
      <w:tr w:rsidR="00A4494E" w:rsidRPr="00325CBE" w14:paraId="690E5321"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62AAEAC0" w14:textId="77777777" w:rsidR="00A4494E" w:rsidRPr="00325CBE" w:rsidRDefault="00A038EC">
            <w:pPr>
              <w:pStyle w:val="Compact"/>
              <w:rPr>
                <w:rFonts w:eastAsia="Cambria"/>
                <w:b w:val="0"/>
                <w:bCs w:val="0"/>
                <w:lang w:val="de-DE"/>
              </w:rPr>
            </w:pPr>
            <w:r w:rsidRPr="00325CBE">
              <w:rPr>
                <w:rFonts w:eastAsia="Cambria"/>
                <w:lang w:val="de-DE"/>
              </w:rPr>
              <w:t>Frühwarnung</w:t>
            </w:r>
          </w:p>
        </w:tc>
        <w:tc>
          <w:tcPr>
            <w:tcW w:w="6468" w:type="dxa"/>
          </w:tcPr>
          <w:p w14:paraId="51FCC494" w14:textId="77777777" w:rsidR="00A4494E" w:rsidRPr="00325CBE" w:rsidRDefault="00A038EC">
            <w:pPr>
              <w:pStyle w:val="Compact"/>
              <w:cnfStyle w:val="000000000000" w:firstRow="0" w:lastRow="0" w:firstColumn="0" w:lastColumn="0" w:oddVBand="0" w:evenVBand="0" w:oddHBand="0" w:evenHBand="0" w:firstRowFirstColumn="0" w:firstRowLastColumn="0" w:lastRowFirstColumn="0" w:lastRowLastColumn="0"/>
              <w:rPr>
                <w:rFonts w:eastAsia="Cambria"/>
                <w:lang w:val="de-DE"/>
              </w:rPr>
            </w:pPr>
            <w:r w:rsidRPr="00325CBE">
              <w:rPr>
                <w:rFonts w:eastAsia="Cambria"/>
                <w:lang w:val="de-DE"/>
              </w:rPr>
              <w:t>Unbewertetes Signal und strikte Vorstufe eines Risikos. Erst nach Bestätigung und Bewertung wird daraus ein Risiko; CTC- oder Schwellenwertverletzungen erzeugen neue Frühwarnungen als neue Signale.</w:t>
            </w:r>
          </w:p>
        </w:tc>
      </w:tr>
      <w:tr w:rsidR="00A4494E" w:rsidRPr="00325CBE" w14:paraId="7260DD4B"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6598125F" w14:textId="77777777" w:rsidR="00A4494E" w:rsidRPr="00325CBE" w:rsidRDefault="00A038EC">
            <w:pPr>
              <w:pStyle w:val="Compact"/>
              <w:rPr>
                <w:rFonts w:eastAsia="Cambria"/>
                <w:b w:val="0"/>
                <w:bCs w:val="0"/>
                <w:lang w:val="de-DE"/>
              </w:rPr>
            </w:pPr>
            <w:r w:rsidRPr="00325CBE">
              <w:rPr>
                <w:rFonts w:eastAsia="Cambria"/>
                <w:lang w:val="de-DE"/>
              </w:rPr>
              <w:t>Neufestlegung der Projektbasis</w:t>
            </w:r>
          </w:p>
        </w:tc>
        <w:tc>
          <w:tcPr>
            <w:tcW w:w="6468" w:type="dxa"/>
          </w:tcPr>
          <w:p w14:paraId="1605AA3F" w14:textId="77777777" w:rsidR="00A4494E" w:rsidRPr="00325CBE" w:rsidRDefault="00A038EC">
            <w:pPr>
              <w:pStyle w:val="Compact"/>
              <w:cnfStyle w:val="000000100000" w:firstRow="0" w:lastRow="0" w:firstColumn="0" w:lastColumn="0" w:oddVBand="0" w:evenVBand="0" w:oddHBand="1" w:evenHBand="0" w:firstRowFirstColumn="0" w:firstRowLastColumn="0" w:lastRowFirstColumn="0" w:lastRowLastColumn="0"/>
              <w:rPr>
                <w:rFonts w:eastAsia="Cambria"/>
                <w:lang w:val="de-DE"/>
              </w:rPr>
            </w:pPr>
            <w:r w:rsidRPr="00325CBE">
              <w:rPr>
                <w:rFonts w:eastAsia="Cambria"/>
                <w:lang w:val="de-DE"/>
              </w:rPr>
              <w:t>Sonderformat außerhalb der regulären Freigabereihe zur erneuten Legitimation von Kosten-, Termin-, Projektumfangs- oder Risikogrundlagen. Es wird über eine Entscheidungsvorlage vorbereitet und durch den Bauherrn im Lenkungskreis beschlossen; betroffene Freigaben können anschließend nachgeholt oder wiederholt werden.</w:t>
            </w:r>
          </w:p>
        </w:tc>
      </w:tr>
      <w:tr w:rsidR="00A4494E" w:rsidRPr="00325CBE" w14:paraId="71A25AC0"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09167F1C" w14:textId="77777777" w:rsidR="00A4494E" w:rsidRPr="00325CBE" w:rsidRDefault="00A038EC">
            <w:pPr>
              <w:pStyle w:val="Compact"/>
              <w:rPr>
                <w:rFonts w:eastAsia="Cambria"/>
                <w:b w:val="0"/>
                <w:bCs w:val="0"/>
                <w:lang w:val="de-DE"/>
              </w:rPr>
            </w:pPr>
            <w:r w:rsidRPr="00325CBE">
              <w:rPr>
                <w:rFonts w:eastAsia="Cambria"/>
                <w:lang w:val="de-DE"/>
              </w:rPr>
              <w:t>Finale Investitionsentscheidung (FID)</w:t>
            </w:r>
          </w:p>
        </w:tc>
        <w:tc>
          <w:tcPr>
            <w:tcW w:w="6468" w:type="dxa"/>
          </w:tcPr>
          <w:p w14:paraId="3F170833" w14:textId="0168B327" w:rsidR="00A4494E" w:rsidRPr="00325CBE" w:rsidRDefault="00A038EC">
            <w:pPr>
              <w:pStyle w:val="Compact"/>
              <w:cnfStyle w:val="000000000000" w:firstRow="0" w:lastRow="0" w:firstColumn="0" w:lastColumn="0" w:oddVBand="0" w:evenVBand="0" w:oddHBand="0" w:evenHBand="0" w:firstRowFirstColumn="0" w:firstRowLastColumn="0" w:lastRowFirstColumn="0" w:lastRowLastColumn="0"/>
              <w:rPr>
                <w:rFonts w:eastAsia="Cambria"/>
                <w:lang w:val="de-DE"/>
              </w:rPr>
            </w:pPr>
            <w:r w:rsidRPr="00325CBE">
              <w:rPr>
                <w:rFonts w:eastAsia="Cambria"/>
                <w:lang w:val="de-DE"/>
              </w:rPr>
              <w:t>Investitionsentscheidung zum Abschluss von LPH 3 auf Basis der Kostenberechnung; sie bestätigt die in LPH 2 getroffene Variantenwahl mit Business Case und legitimiert die weitere Projektverfolgung.</w:t>
            </w:r>
          </w:p>
        </w:tc>
      </w:tr>
      <w:tr w:rsidR="00A4494E" w:rsidRPr="00325CBE" w14:paraId="369AFBF4"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7C8069DD" w14:textId="77777777" w:rsidR="00A4494E" w:rsidRPr="00325CBE" w:rsidRDefault="00A038EC">
            <w:pPr>
              <w:pStyle w:val="Compact"/>
              <w:rPr>
                <w:rFonts w:eastAsia="Cambria"/>
                <w:b w:val="0"/>
                <w:bCs w:val="0"/>
                <w:lang w:val="de-DE"/>
              </w:rPr>
            </w:pPr>
            <w:r w:rsidRPr="00325CBE">
              <w:rPr>
                <w:rFonts w:eastAsia="Cambria"/>
                <w:lang w:val="de-DE"/>
              </w:rPr>
              <w:t>Übergabe</w:t>
            </w:r>
          </w:p>
        </w:tc>
        <w:tc>
          <w:tcPr>
            <w:tcW w:w="6468" w:type="dxa"/>
          </w:tcPr>
          <w:p w14:paraId="656A35B3" w14:textId="28AD8BC1" w:rsidR="00A4494E" w:rsidRPr="00325CBE" w:rsidRDefault="00A038EC">
            <w:pPr>
              <w:pStyle w:val="Compact"/>
              <w:cnfStyle w:val="000000100000" w:firstRow="0" w:lastRow="0" w:firstColumn="0" w:lastColumn="0" w:oddVBand="0" w:evenVBand="0" w:oddHBand="1" w:evenHBand="0" w:firstRowFirstColumn="0" w:firstRowLastColumn="0" w:lastRowFirstColumn="0" w:lastRowLastColumn="0"/>
              <w:rPr>
                <w:rFonts w:eastAsia="Cambria"/>
                <w:lang w:val="de-DE"/>
              </w:rPr>
            </w:pPr>
            <w:r w:rsidRPr="00325CBE">
              <w:rPr>
                <w:rFonts w:eastAsia="Cambria"/>
                <w:lang w:val="de-DE"/>
              </w:rPr>
              <w:t>Die Übergabe des Vorhabens ist in LPH 9 verankert. Die Übergabe des Bauherren-Führungsmodells ist dagegen ein Befähigungsschritt ohne Zuordnung zu einer Freigabe im Leistungsphasen- und Freigabemodell und überführt Rollen, Routinen und Betriebshandbuch in den Eigenbetrieb.</w:t>
            </w:r>
          </w:p>
        </w:tc>
      </w:tr>
      <w:tr w:rsidR="00A4494E" w:rsidRPr="00325CBE" w14:paraId="530E3721"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72C09701" w14:textId="24D72184" w:rsidR="00A4494E" w:rsidRPr="00325CBE" w:rsidRDefault="00A038EC">
            <w:pPr>
              <w:pStyle w:val="Compact"/>
              <w:rPr>
                <w:rFonts w:eastAsia="Cambria"/>
                <w:b w:val="0"/>
                <w:bCs w:val="0"/>
                <w:lang w:val="de-DE"/>
              </w:rPr>
            </w:pPr>
            <w:r w:rsidRPr="00325CBE">
              <w:rPr>
                <w:rFonts w:eastAsia="Cambria"/>
                <w:lang w:val="de-DE"/>
              </w:rPr>
              <w:t>Leistungsphasen- und Freigabemodell LPH 0–9</w:t>
            </w:r>
          </w:p>
        </w:tc>
        <w:tc>
          <w:tcPr>
            <w:tcW w:w="6468" w:type="dxa"/>
          </w:tcPr>
          <w:p w14:paraId="616DF99F" w14:textId="6C2D7EFC" w:rsidR="00A4494E" w:rsidRPr="00325CBE" w:rsidRDefault="00A038EC">
            <w:pPr>
              <w:pStyle w:val="Compact"/>
              <w:cnfStyle w:val="000000000000" w:firstRow="0" w:lastRow="0" w:firstColumn="0" w:lastColumn="0" w:oddVBand="0" w:evenVBand="0" w:oddHBand="0" w:evenHBand="0" w:firstRowFirstColumn="0" w:firstRowLastColumn="0" w:lastRowFirstColumn="0" w:lastRowLastColumn="0"/>
              <w:rPr>
                <w:rFonts w:eastAsia="Cambria"/>
                <w:lang w:val="de-DE"/>
              </w:rPr>
            </w:pPr>
            <w:r w:rsidRPr="00325CBE">
              <w:rPr>
                <w:rFonts w:eastAsia="Cambria"/>
                <w:lang w:val="de-DE"/>
              </w:rPr>
              <w:t>Zehn HOAI-Leistungsphasen mit einer Freigabe des Bauherrn am jeweiligen Abschluss: LPH 0 · Bedarfsplanung; LPH 1 · Grundlagenermittlung; LPH 2 · Vorplanung; LPH 3 · Entwurfsplanung; LPH 4 · Genehmigungsplanung; LPH 5 · Ausführungsplanung; LPH 6 · Vorbereitung Vergabe; LPH 7 · Vergabe; LPH 8 · Ausführung; LPH 9 · Übergabe. Der Regelbetrieb folgt nach der Freigabe zum Abschluss von LPH 9.</w:t>
            </w:r>
          </w:p>
        </w:tc>
      </w:tr>
      <w:tr w:rsidR="00A4494E" w:rsidRPr="00325CBE" w14:paraId="4518102A"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6365DC2E" w14:textId="77777777" w:rsidR="00A4494E" w:rsidRPr="00325CBE" w:rsidRDefault="00A038EC">
            <w:pPr>
              <w:pStyle w:val="Compact"/>
              <w:rPr>
                <w:rFonts w:eastAsia="Cambria"/>
                <w:b w:val="0"/>
                <w:bCs w:val="0"/>
                <w:lang w:val="de-DE"/>
              </w:rPr>
            </w:pPr>
            <w:r w:rsidRPr="00325CBE">
              <w:rPr>
                <w:rFonts w:eastAsia="Cambria"/>
                <w:lang w:val="de-DE"/>
              </w:rPr>
              <w:t>30/60/90-Tage-Plan</w:t>
            </w:r>
          </w:p>
        </w:tc>
        <w:tc>
          <w:tcPr>
            <w:tcW w:w="6468" w:type="dxa"/>
          </w:tcPr>
          <w:p w14:paraId="55BCBFD4" w14:textId="77777777" w:rsidR="00A4494E" w:rsidRPr="00325CBE" w:rsidRDefault="00A038EC">
            <w:pPr>
              <w:pStyle w:val="Compact"/>
              <w:cnfStyle w:val="000000100000" w:firstRow="0" w:lastRow="0" w:firstColumn="0" w:lastColumn="0" w:oddVBand="0" w:evenVBand="0" w:oddHBand="1" w:evenHBand="0" w:firstRowFirstColumn="0" w:firstRowLastColumn="0" w:lastRowFirstColumn="0" w:lastRowLastColumn="0"/>
              <w:rPr>
                <w:rFonts w:eastAsia="Cambria"/>
                <w:lang w:val="de-DE"/>
              </w:rPr>
            </w:pPr>
            <w:r w:rsidRPr="00325CBE">
              <w:rPr>
                <w:rFonts w:eastAsia="Cambria"/>
                <w:lang w:val="de-DE"/>
              </w:rPr>
              <w:t>Orientierungsrahmen nach der MVG-Reifegradanalyse und im Rahmen einer MVG-Neuinitialisierung, der die ersten Wirkungen priorisiert; kein allgemeiner Einführungsrhythmus. Bis Tag 90 ist das Modell in Anwendung und der Entwurf des Betriebshandbuchs liegt vor; die Übergabe schließt an.</w:t>
            </w:r>
          </w:p>
        </w:tc>
      </w:tr>
      <w:tr w:rsidR="00A4494E" w:rsidRPr="00325CBE" w14:paraId="51AB986E"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45B68322" w14:textId="77777777" w:rsidR="00A4494E" w:rsidRPr="00325CBE" w:rsidRDefault="00A038EC">
            <w:pPr>
              <w:pStyle w:val="Compact"/>
              <w:spacing w:before="0" w:after="40"/>
              <w:rPr>
                <w:lang w:val="de-DE"/>
              </w:rPr>
            </w:pPr>
            <w:r w:rsidRPr="00325CBE">
              <w:rPr>
                <w:lang w:val="de-DE"/>
              </w:rPr>
              <w:t>Governance</w:t>
            </w:r>
          </w:p>
        </w:tc>
        <w:tc>
          <w:tcPr>
            <w:tcW w:w="6468" w:type="dxa"/>
          </w:tcPr>
          <w:p w14:paraId="05D1836D"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lang w:val="de-DE"/>
              </w:rPr>
              <w:t>Ordnungs- und Führungsrahmen, der Rollen, Mandate, Entscheidungswege, Freigaben und Nachweise verbindlich miteinander verknüpft.</w:t>
            </w:r>
          </w:p>
        </w:tc>
      </w:tr>
      <w:tr w:rsidR="00A4494E" w:rsidRPr="00325CBE" w14:paraId="06D73F4B"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3F0397C4" w14:textId="77777777" w:rsidR="00A4494E" w:rsidRPr="00325CBE" w:rsidRDefault="00A038EC">
            <w:pPr>
              <w:pStyle w:val="Compact"/>
              <w:spacing w:before="0" w:after="40"/>
              <w:rPr>
                <w:lang w:val="de-DE"/>
              </w:rPr>
            </w:pPr>
            <w:r w:rsidRPr="00325CBE">
              <w:rPr>
                <w:lang w:val="de-DE"/>
              </w:rPr>
              <w:t>MVG Companion</w:t>
            </w:r>
          </w:p>
        </w:tc>
        <w:tc>
          <w:tcPr>
            <w:tcW w:w="6468" w:type="dxa"/>
          </w:tcPr>
          <w:p w14:paraId="07E211F3"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lang w:val="de-DE"/>
              </w:rPr>
              <w:t>Optionales, lokal lauffähiges und browserbasiertes Arbeitsmittel, das die Anwendung von Minimum Viable Governance unterstützt; kein Ersatz für Bauherrenentscheidungen oder verbindliche Systeme.</w:t>
            </w:r>
          </w:p>
        </w:tc>
      </w:tr>
      <w:tr w:rsidR="00A4494E" w:rsidRPr="00325CBE" w14:paraId="5B3F8A58"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0AA3D393" w14:textId="77777777" w:rsidR="00A4494E" w:rsidRPr="00325CBE" w:rsidRDefault="00A038EC">
            <w:pPr>
              <w:pStyle w:val="Compact"/>
              <w:spacing w:before="0" w:after="40"/>
              <w:rPr>
                <w:lang w:val="de-DE"/>
              </w:rPr>
            </w:pPr>
            <w:r w:rsidRPr="00325CBE">
              <w:rPr>
                <w:lang w:val="de-DE"/>
              </w:rPr>
              <w:lastRenderedPageBreak/>
              <w:t>Business Case</w:t>
            </w:r>
          </w:p>
        </w:tc>
        <w:tc>
          <w:tcPr>
            <w:tcW w:w="6468" w:type="dxa"/>
          </w:tcPr>
          <w:p w14:paraId="49F87223"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lang w:val="de-DE"/>
              </w:rPr>
              <w:t>Wirtschaftliche und strategische Entscheidungsgrundlage, die Nutzen, Aufwand, Risiken und Rahmenbedingungen eines Vorhabens oder einer Variante zusammenführt.</w:t>
            </w:r>
          </w:p>
        </w:tc>
      </w:tr>
      <w:tr w:rsidR="00A4494E" w:rsidRPr="00325CBE" w14:paraId="56744D76"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2FAB45CF" w14:textId="77777777" w:rsidR="00A4494E" w:rsidRPr="00325CBE" w:rsidRDefault="00A038EC">
            <w:pPr>
              <w:pStyle w:val="Compact"/>
              <w:spacing w:before="0" w:after="40"/>
              <w:rPr>
                <w:lang w:val="de-DE"/>
              </w:rPr>
            </w:pPr>
            <w:r w:rsidRPr="00325CBE">
              <w:rPr>
                <w:lang w:val="de-DE"/>
              </w:rPr>
              <w:t>RACI</w:t>
            </w:r>
          </w:p>
        </w:tc>
        <w:tc>
          <w:tcPr>
            <w:tcW w:w="6468" w:type="dxa"/>
          </w:tcPr>
          <w:p w14:paraId="58A1E8FE"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lang w:val="de-DE"/>
              </w:rPr>
              <w:t>Rollen- und Zuständigkeitsmatrix mit ausführungsverantwortlichen, letztverantwortlichen, konsultierten und informierten Rollen.</w:t>
            </w:r>
          </w:p>
        </w:tc>
      </w:tr>
      <w:tr w:rsidR="00A4494E" w:rsidRPr="00325CBE" w14:paraId="2B4E382E"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46CC8501" w14:textId="77777777" w:rsidR="00A4494E" w:rsidRPr="00325CBE" w:rsidRDefault="00A038EC">
            <w:pPr>
              <w:pStyle w:val="Compact"/>
              <w:spacing w:before="0" w:after="40"/>
              <w:rPr>
                <w:lang w:val="de-DE"/>
              </w:rPr>
            </w:pPr>
            <w:r w:rsidRPr="00325CBE">
              <w:rPr>
                <w:lang w:val="de-DE"/>
              </w:rPr>
              <w:t>PMO</w:t>
            </w:r>
          </w:p>
        </w:tc>
        <w:tc>
          <w:tcPr>
            <w:tcW w:w="6468" w:type="dxa"/>
          </w:tcPr>
          <w:p w14:paraId="2F1748BD"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lang w:val="de-DE"/>
              </w:rPr>
              <w:t>Projektmanagementbüro; unterstützt unter anderem Koordination, Berichterstattung, Gremienarbeit, Datenpflege und Nachverfolgung.</w:t>
            </w:r>
          </w:p>
        </w:tc>
      </w:tr>
      <w:tr w:rsidR="00A4494E" w:rsidRPr="00325CBE" w14:paraId="278A7588"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72CDF50E" w14:textId="77777777" w:rsidR="00A4494E" w:rsidRPr="00325CBE" w:rsidRDefault="00A038EC">
            <w:pPr>
              <w:pStyle w:val="Compact"/>
              <w:spacing w:before="0" w:after="40"/>
              <w:rPr>
                <w:lang w:val="de-DE"/>
              </w:rPr>
            </w:pPr>
            <w:r w:rsidRPr="00325CBE">
              <w:rPr>
                <w:lang w:val="de-DE"/>
              </w:rPr>
              <w:t>CTC</w:t>
            </w:r>
          </w:p>
        </w:tc>
        <w:tc>
          <w:tcPr>
            <w:tcW w:w="6468" w:type="dxa"/>
          </w:tcPr>
          <w:p w14:paraId="623F0AB4"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lang w:val="de-DE"/>
              </w:rPr>
              <w:t xml:space="preserve">Cost to </w:t>
            </w:r>
            <w:proofErr w:type="spellStart"/>
            <w:r w:rsidRPr="00325CBE">
              <w:rPr>
                <w:lang w:val="de-DE"/>
              </w:rPr>
              <w:t>Complete</w:t>
            </w:r>
            <w:proofErr w:type="spellEnd"/>
            <w:r w:rsidRPr="00325CBE">
              <w:rPr>
                <w:lang w:val="de-DE"/>
              </w:rPr>
              <w:t>; im Whitepaper als Restkostenprognose verwendet. Bezeichnet die erwarteten noch anfallenden Kosten bis zum Projektabschluss.</w:t>
            </w:r>
          </w:p>
        </w:tc>
      </w:tr>
      <w:tr w:rsidR="00A4494E" w:rsidRPr="00325CBE" w14:paraId="3849DE90"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05CBA998" w14:textId="77777777" w:rsidR="00A4494E" w:rsidRPr="00325CBE" w:rsidRDefault="00A038EC">
            <w:pPr>
              <w:pStyle w:val="Compact"/>
              <w:spacing w:before="0" w:after="40"/>
              <w:rPr>
                <w:lang w:val="de-DE"/>
              </w:rPr>
            </w:pPr>
            <w:r w:rsidRPr="00325CBE">
              <w:rPr>
                <w:lang w:val="de-DE"/>
              </w:rPr>
              <w:t>KPI</w:t>
            </w:r>
          </w:p>
        </w:tc>
        <w:tc>
          <w:tcPr>
            <w:tcW w:w="6468" w:type="dxa"/>
          </w:tcPr>
          <w:p w14:paraId="7135CEC2"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lang w:val="de-DE"/>
              </w:rPr>
              <w:t>Key Performance Indicator; im Whitepaper als Leistungskennzahl verwendet. Dient der verdichteten Beurteilung von Leistung und Steuerungsbedarf.</w:t>
            </w:r>
          </w:p>
        </w:tc>
      </w:tr>
      <w:tr w:rsidR="00A4494E" w:rsidRPr="00325CBE" w14:paraId="5F926BA0" w14:textId="77777777" w:rsidTr="00A449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35" w:type="dxa"/>
          </w:tcPr>
          <w:p w14:paraId="04EC1E58" w14:textId="77777777" w:rsidR="00A4494E" w:rsidRPr="00325CBE" w:rsidRDefault="00A038EC">
            <w:pPr>
              <w:pStyle w:val="Compact"/>
              <w:spacing w:before="0" w:after="40"/>
              <w:rPr>
                <w:lang w:val="de-DE"/>
              </w:rPr>
            </w:pPr>
            <w:r w:rsidRPr="00325CBE">
              <w:rPr>
                <w:lang w:val="de-DE"/>
              </w:rPr>
              <w:t>SaaS</w:t>
            </w:r>
          </w:p>
        </w:tc>
        <w:tc>
          <w:tcPr>
            <w:tcW w:w="6468" w:type="dxa"/>
          </w:tcPr>
          <w:p w14:paraId="7154DC40" w14:textId="77777777" w:rsidR="00A4494E" w:rsidRPr="00325CBE" w:rsidRDefault="00A038EC">
            <w:pPr>
              <w:pStyle w:val="Compact"/>
              <w:spacing w:before="0" w:after="40"/>
              <w:cnfStyle w:val="000000100000" w:firstRow="0" w:lastRow="0" w:firstColumn="0" w:lastColumn="0" w:oddVBand="0" w:evenVBand="0" w:oddHBand="1" w:evenHBand="0" w:firstRowFirstColumn="0" w:firstRowLastColumn="0" w:lastRowFirstColumn="0" w:lastRowLastColumn="0"/>
              <w:rPr>
                <w:lang w:val="de-DE"/>
              </w:rPr>
            </w:pPr>
            <w:r w:rsidRPr="00325CBE">
              <w:rPr>
                <w:lang w:val="de-DE"/>
              </w:rPr>
              <w:t>Software as a Service, also die Bereitstellung von Software als internetbasierter Dienst. Der MVG Companion ist ausdrücklich keine SaaS-Leistung.</w:t>
            </w:r>
          </w:p>
        </w:tc>
      </w:tr>
      <w:tr w:rsidR="00A4494E" w:rsidRPr="00325CBE" w14:paraId="48D33647" w14:textId="77777777" w:rsidTr="00A4494E">
        <w:trPr>
          <w:cantSplit/>
        </w:trPr>
        <w:tc>
          <w:tcPr>
            <w:cnfStyle w:val="001000000000" w:firstRow="0" w:lastRow="0" w:firstColumn="1" w:lastColumn="0" w:oddVBand="0" w:evenVBand="0" w:oddHBand="0" w:evenHBand="0" w:firstRowFirstColumn="0" w:firstRowLastColumn="0" w:lastRowFirstColumn="0" w:lastRowLastColumn="0"/>
            <w:tcW w:w="2935" w:type="dxa"/>
          </w:tcPr>
          <w:p w14:paraId="0F37B404" w14:textId="77777777" w:rsidR="00A4494E" w:rsidRPr="00325CBE" w:rsidRDefault="00A038EC">
            <w:pPr>
              <w:pStyle w:val="Compact"/>
              <w:spacing w:before="0" w:after="40"/>
              <w:rPr>
                <w:lang w:val="de-DE"/>
              </w:rPr>
            </w:pPr>
            <w:r w:rsidRPr="00325CBE">
              <w:rPr>
                <w:lang w:val="de-DE"/>
              </w:rPr>
              <w:t>Whitepaper</w:t>
            </w:r>
          </w:p>
        </w:tc>
        <w:tc>
          <w:tcPr>
            <w:tcW w:w="6468" w:type="dxa"/>
          </w:tcPr>
          <w:p w14:paraId="6701BD97" w14:textId="77777777" w:rsidR="00A4494E" w:rsidRPr="00325CBE" w:rsidRDefault="00A038EC">
            <w:pPr>
              <w:pStyle w:val="Compact"/>
              <w:spacing w:before="0" w:after="40"/>
              <w:cnfStyle w:val="000000000000" w:firstRow="0" w:lastRow="0" w:firstColumn="0" w:lastColumn="0" w:oddVBand="0" w:evenVBand="0" w:oddHBand="0" w:evenHBand="0" w:firstRowFirstColumn="0" w:firstRowLastColumn="0" w:lastRowFirstColumn="0" w:lastRowLastColumn="0"/>
              <w:rPr>
                <w:lang w:val="de-DE"/>
              </w:rPr>
            </w:pPr>
            <w:r w:rsidRPr="00325CBE">
              <w:rPr>
                <w:lang w:val="de-DE"/>
              </w:rPr>
              <w:t>Fachliches Grundlagendokument, das Position, Methodik, Leistungslogik und Anwendungsrahmen von Bauherr Mentoren nachvollziehbar darstellt.</w:t>
            </w:r>
          </w:p>
        </w:tc>
      </w:tr>
    </w:tbl>
    <w:p w14:paraId="47310787" w14:textId="77777777" w:rsidR="00A4494E" w:rsidRPr="00325CBE" w:rsidRDefault="00A4494E">
      <w:pPr>
        <w:pStyle w:val="Compact"/>
        <w:rPr>
          <w:lang w:val="de-DE"/>
        </w:rPr>
      </w:pPr>
      <w:bookmarkStart w:id="179" w:name="redaktioneller-prüfvermerk"/>
      <w:bookmarkEnd w:id="0"/>
      <w:bookmarkEnd w:id="179"/>
    </w:p>
    <w:sectPr w:rsidR="00A4494E" w:rsidRPr="00325CBE">
      <w:headerReference w:type="even" r:id="rId22"/>
      <w:headerReference w:type="default" r:id="rId23"/>
      <w:footerReference w:type="even" r:id="rId24"/>
      <w:footerReference w:type="default" r:id="rId25"/>
      <w:headerReference w:type="first" r:id="rId26"/>
      <w:footerReference w:type="first" r:id="rId27"/>
      <w:pgSz w:w="12240" w:h="15840"/>
      <w:pgMar w:top="1418" w:right="1418" w:bottom="1134" w:left="1418" w:header="397" w:footer="28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AAF86" w14:textId="77777777" w:rsidR="005259D8" w:rsidRDefault="005259D8">
      <w:pPr>
        <w:spacing w:after="0"/>
      </w:pPr>
      <w:r>
        <w:separator/>
      </w:r>
    </w:p>
  </w:endnote>
  <w:endnote w:type="continuationSeparator" w:id="0">
    <w:p w14:paraId="5C67FE77" w14:textId="77777777" w:rsidR="005259D8" w:rsidRDefault="005259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9CA3" w14:textId="77777777" w:rsidR="00A4494E" w:rsidRDefault="00A4494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CD4B" w14:textId="77777777" w:rsidR="00A4494E" w:rsidRDefault="00A038EC">
    <w:pPr>
      <w:ind w:right="-375"/>
      <w:jc w:val="right"/>
      <w:rPr>
        <w:rFonts w:asciiTheme="majorHAnsi" w:hAnsiTheme="majorHAnsi" w:cstheme="majorHAnsi"/>
      </w:rPr>
    </w:pPr>
    <w:r>
      <w:rPr>
        <w:noProof/>
      </w:rPr>
      <w:drawing>
        <wp:inline distT="0" distB="0" distL="0" distR="0" wp14:anchorId="014E9339" wp14:editId="3E729094">
          <wp:extent cx="287655" cy="3632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287655" cy="363220"/>
                  </a:xfrm>
                  <a:prstGeom prst="rect">
                    <a:avLst/>
                  </a:prstGeom>
                  <a:noFill/>
                </pic:spPr>
              </pic:pic>
            </a:graphicData>
          </a:graphic>
        </wp:inline>
      </w:drawing>
    </w:r>
    <w:r>
      <w:rPr>
        <w:rFonts w:asciiTheme="majorHAnsi" w:hAnsiTheme="majorHAnsi" w:cstheme="majorHAnsi"/>
        <w:sz w:val="14"/>
      </w:rPr>
      <w:t xml:space="preserve">      </w:t>
    </w:r>
    <w:r>
      <w:rPr>
        <w:rFonts w:asciiTheme="majorHAnsi" w:hAnsiTheme="majorHAnsi" w:cstheme="majorHAnsi"/>
        <w:sz w:val="20"/>
        <w:szCs w:val="36"/>
      </w:rPr>
      <w:t>Seite</w:t>
    </w:r>
    <w:r>
      <w:rPr>
        <w:rFonts w:asciiTheme="majorHAnsi" w:hAnsiTheme="majorHAnsi" w:cstheme="majorHAnsi"/>
        <w:sz w:val="14"/>
      </w:rPr>
      <w:t xml:space="preserve"> </w:t>
    </w:r>
    <w:r>
      <w:rPr>
        <w:rFonts w:asciiTheme="majorHAnsi" w:hAnsiTheme="majorHAnsi" w:cstheme="majorHAnsi"/>
      </w:rPr>
      <w:fldChar w:fldCharType="begin"/>
    </w:r>
    <w:r>
      <w:rPr>
        <w:rFonts w:ascii="Calibri" w:hAnsi="Calibri" w:cs="Calibri"/>
      </w:rPr>
      <w:instrText xml:space="preserve"> PAGE </w:instrText>
    </w:r>
    <w:r>
      <w:rPr>
        <w:rFonts w:ascii="Calibri" w:hAnsi="Calibri" w:cs="Calibri"/>
      </w:rPr>
      <w:fldChar w:fldCharType="separate"/>
    </w:r>
    <w:r>
      <w:rPr>
        <w:rFonts w:ascii="Calibri" w:hAnsi="Calibri" w:cs="Calibri"/>
      </w:rPr>
      <w:t>34</w:t>
    </w:r>
    <w:r>
      <w:rPr>
        <w:rFonts w:ascii="Calibri" w:hAnsi="Calibri" w:cs="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F495" w14:textId="77777777" w:rsidR="00A4494E" w:rsidRDefault="00A038EC">
    <w:pPr>
      <w:ind w:right="-375"/>
      <w:jc w:val="right"/>
      <w:rPr>
        <w:rFonts w:asciiTheme="majorHAnsi" w:hAnsiTheme="majorHAnsi" w:cstheme="majorHAnsi"/>
      </w:rPr>
    </w:pPr>
    <w:r>
      <w:rPr>
        <w:noProof/>
      </w:rPr>
      <w:drawing>
        <wp:inline distT="0" distB="0" distL="0" distR="0" wp14:anchorId="4C215150" wp14:editId="35393D4F">
          <wp:extent cx="287655" cy="3632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
                  <a:stretch>
                    <a:fillRect/>
                  </a:stretch>
                </pic:blipFill>
                <pic:spPr bwMode="auto">
                  <a:xfrm>
                    <a:off x="0" y="0"/>
                    <a:ext cx="287655" cy="363220"/>
                  </a:xfrm>
                  <a:prstGeom prst="rect">
                    <a:avLst/>
                  </a:prstGeom>
                  <a:noFill/>
                </pic:spPr>
              </pic:pic>
            </a:graphicData>
          </a:graphic>
        </wp:inline>
      </w:drawing>
    </w:r>
    <w:r>
      <w:rPr>
        <w:rFonts w:asciiTheme="majorHAnsi" w:hAnsiTheme="majorHAnsi" w:cstheme="majorHAnsi"/>
        <w:sz w:val="14"/>
      </w:rPr>
      <w:t xml:space="preserve">      </w:t>
    </w:r>
    <w:r>
      <w:rPr>
        <w:rFonts w:asciiTheme="majorHAnsi" w:hAnsiTheme="majorHAnsi" w:cstheme="majorHAnsi"/>
        <w:sz w:val="20"/>
        <w:szCs w:val="36"/>
      </w:rPr>
      <w:t>Seite</w:t>
    </w:r>
    <w:r>
      <w:rPr>
        <w:rFonts w:asciiTheme="majorHAnsi" w:hAnsiTheme="majorHAnsi" w:cstheme="majorHAnsi"/>
        <w:sz w:val="14"/>
      </w:rPr>
      <w:t xml:space="preserve"> </w:t>
    </w:r>
    <w:r>
      <w:rPr>
        <w:rFonts w:asciiTheme="majorHAnsi" w:hAnsiTheme="majorHAnsi" w:cstheme="majorHAnsi"/>
      </w:rPr>
      <w:fldChar w:fldCharType="begin"/>
    </w:r>
    <w:r>
      <w:rPr>
        <w:rFonts w:ascii="Calibri" w:hAnsi="Calibri" w:cs="Calibri"/>
      </w:rPr>
      <w:instrText xml:space="preserve"> PAGE </w:instrText>
    </w:r>
    <w:r>
      <w:rPr>
        <w:rFonts w:ascii="Calibri" w:hAnsi="Calibri" w:cs="Calibri"/>
      </w:rPr>
      <w:fldChar w:fldCharType="separate"/>
    </w:r>
    <w:r>
      <w:rPr>
        <w:rFonts w:ascii="Calibri" w:hAnsi="Calibri" w:cs="Calibri"/>
      </w:rPr>
      <w:t>34</w:t>
    </w:r>
    <w:r>
      <w:rPr>
        <w:rFonts w:ascii="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985A7" w14:textId="77777777" w:rsidR="005259D8" w:rsidRDefault="005259D8">
      <w:pPr>
        <w:spacing w:after="0"/>
      </w:pPr>
      <w:r>
        <w:separator/>
      </w:r>
    </w:p>
  </w:footnote>
  <w:footnote w:type="continuationSeparator" w:id="0">
    <w:p w14:paraId="2230780D" w14:textId="77777777" w:rsidR="005259D8" w:rsidRDefault="005259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617E" w14:textId="77777777" w:rsidR="00A4494E" w:rsidRDefault="00A4494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B201" w14:textId="77777777" w:rsidR="00A4494E" w:rsidRDefault="00A038EC">
    <w:r>
      <w:rPr>
        <w:rFonts w:ascii="Arial" w:hAnsi="Arial"/>
        <w:sz w:val="14"/>
      </w:rPr>
      <w:t>Bauherr Mentoren – Whitepaper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3440E" w14:textId="77777777" w:rsidR="00A4494E" w:rsidRDefault="00A038EC">
    <w:r>
      <w:rPr>
        <w:rFonts w:ascii="Arial" w:hAnsi="Arial"/>
        <w:sz w:val="14"/>
      </w:rPr>
      <w:t>Bauherr Mentoren – Whitepaper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48DD"/>
    <w:multiLevelType w:val="multilevel"/>
    <w:tmpl w:val="FAC87656"/>
    <w:lvl w:ilvl="0">
      <w:start w:val="1"/>
      <w:numFmt w:val="bullet"/>
      <w:lvlText w:val=""/>
      <w:lvlJc w:val="left"/>
      <w:pPr>
        <w:tabs>
          <w:tab w:val="num" w:pos="0"/>
        </w:tabs>
        <w:ind w:left="720" w:hanging="480"/>
      </w:pPr>
      <w:rPr>
        <w:rFonts w:ascii="Symbol" w:hAnsi="Symbol" w:cs="Symbol"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3E9D5E3F"/>
    <w:multiLevelType w:val="multilevel"/>
    <w:tmpl w:val="CBE80D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3A20E3"/>
    <w:multiLevelType w:val="multilevel"/>
    <w:tmpl w:val="CF769DC8"/>
    <w:lvl w:ilvl="0">
      <w:numFmt w:val="bullet"/>
      <w:pStyle w:val="Formatvorlage1"/>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55CA6F36"/>
    <w:multiLevelType w:val="multilevel"/>
    <w:tmpl w:val="7BCCC55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7C3D73B7"/>
    <w:multiLevelType w:val="multilevel"/>
    <w:tmpl w:val="C2302574"/>
    <w:lvl w:ilvl="0">
      <w:start w:val="1"/>
      <w:numFmt w:val="decimal"/>
      <w:pStyle w:val="berschrift1"/>
      <w:lvlText w:val="%1"/>
      <w:lvlJc w:val="left"/>
      <w:pPr>
        <w:tabs>
          <w:tab w:val="num" w:pos="0"/>
        </w:tabs>
        <w:ind w:left="432" w:hanging="432"/>
      </w:pPr>
    </w:lvl>
    <w:lvl w:ilvl="1">
      <w:start w:val="1"/>
      <w:numFmt w:val="decimal"/>
      <w:pStyle w:val="berschrift2"/>
      <w:lvlText w:val="%1.%2"/>
      <w:lvlJc w:val="left"/>
      <w:pPr>
        <w:tabs>
          <w:tab w:val="num" w:pos="0"/>
        </w:tabs>
        <w:ind w:left="576" w:hanging="576"/>
      </w:pPr>
      <w:rPr>
        <w:i w:val="0"/>
        <w:iCs/>
      </w:rPr>
    </w:lvl>
    <w:lvl w:ilvl="2">
      <w:start w:val="1"/>
      <w:numFmt w:val="decimal"/>
      <w:pStyle w:val="berschrift3"/>
      <w:lvlText w:val="%1.%2.%3"/>
      <w:lvlJc w:val="left"/>
      <w:pPr>
        <w:tabs>
          <w:tab w:val="num" w:pos="0"/>
        </w:tabs>
        <w:ind w:left="720" w:hanging="720"/>
      </w:p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pStyle w:val="berschrift7"/>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num w:numId="1" w16cid:durableId="2090734844">
    <w:abstractNumId w:val="4"/>
  </w:num>
  <w:num w:numId="2" w16cid:durableId="947467464">
    <w:abstractNumId w:val="0"/>
  </w:num>
  <w:num w:numId="3" w16cid:durableId="1411847802">
    <w:abstractNumId w:val="3"/>
  </w:num>
  <w:num w:numId="4" w16cid:durableId="615257931">
    <w:abstractNumId w:val="2"/>
  </w:num>
  <w:num w:numId="5" w16cid:durableId="992487839">
    <w:abstractNumId w:val="1"/>
  </w:num>
  <w:num w:numId="6" w16cid:durableId="1706054618">
    <w:abstractNumId w:val="0"/>
  </w:num>
  <w:num w:numId="7" w16cid:durableId="1753892226">
    <w:abstractNumId w:val="0"/>
  </w:num>
  <w:num w:numId="8" w16cid:durableId="218782378">
    <w:abstractNumId w:val="0"/>
  </w:num>
  <w:num w:numId="9" w16cid:durableId="782262745">
    <w:abstractNumId w:val="0"/>
  </w:num>
  <w:num w:numId="10" w16cid:durableId="365757074">
    <w:abstractNumId w:val="0"/>
  </w:num>
  <w:num w:numId="11" w16cid:durableId="983972392">
    <w:abstractNumId w:val="3"/>
  </w:num>
  <w:num w:numId="12" w16cid:durableId="1155681003">
    <w:abstractNumId w:val="3"/>
  </w:num>
  <w:num w:numId="13" w16cid:durableId="1768039385">
    <w:abstractNumId w:val="3"/>
  </w:num>
  <w:num w:numId="14" w16cid:durableId="953052408">
    <w:abstractNumId w:val="3"/>
  </w:num>
  <w:num w:numId="15" w16cid:durableId="606085321">
    <w:abstractNumId w:val="3"/>
  </w:num>
  <w:num w:numId="16" w16cid:durableId="742727363">
    <w:abstractNumId w:val="3"/>
  </w:num>
  <w:num w:numId="17" w16cid:durableId="2140371619">
    <w:abstractNumId w:val="3"/>
  </w:num>
  <w:num w:numId="18" w16cid:durableId="225380406">
    <w:abstractNumId w:val="3"/>
  </w:num>
  <w:num w:numId="19" w16cid:durableId="2120686491">
    <w:abstractNumId w:val="3"/>
  </w:num>
  <w:num w:numId="20" w16cid:durableId="703291466">
    <w:abstractNumId w:val="3"/>
  </w:num>
  <w:num w:numId="21" w16cid:durableId="632834688">
    <w:abstractNumId w:val="3"/>
  </w:num>
  <w:num w:numId="22" w16cid:durableId="1644384518">
    <w:abstractNumId w:val="3"/>
  </w:num>
  <w:num w:numId="23" w16cid:durableId="154957693">
    <w:abstractNumId w:val="3"/>
  </w:num>
  <w:num w:numId="24" w16cid:durableId="1721780802">
    <w:abstractNumId w:val="3"/>
  </w:num>
  <w:num w:numId="25" w16cid:durableId="1386486098">
    <w:abstractNumId w:val="3"/>
  </w:num>
  <w:num w:numId="26" w16cid:durableId="1468549848">
    <w:abstractNumId w:val="3"/>
  </w:num>
  <w:num w:numId="27" w16cid:durableId="397095840">
    <w:abstractNumId w:val="3"/>
  </w:num>
  <w:num w:numId="28" w16cid:durableId="1065566572">
    <w:abstractNumId w:val="3"/>
  </w:num>
  <w:num w:numId="29" w16cid:durableId="137647025">
    <w:abstractNumId w:val="3"/>
  </w:num>
  <w:num w:numId="30" w16cid:durableId="272133980">
    <w:abstractNumId w:val="3"/>
  </w:num>
  <w:num w:numId="31" w16cid:durableId="584845380">
    <w:abstractNumId w:val="3"/>
  </w:num>
  <w:num w:numId="32" w16cid:durableId="525221361">
    <w:abstractNumId w:val="3"/>
  </w:num>
  <w:num w:numId="33" w16cid:durableId="1042637771">
    <w:abstractNumId w:val="3"/>
  </w:num>
  <w:num w:numId="34" w16cid:durableId="1602911178">
    <w:abstractNumId w:val="3"/>
  </w:num>
  <w:num w:numId="35" w16cid:durableId="776413633">
    <w:abstractNumId w:val="3"/>
  </w:num>
  <w:num w:numId="36" w16cid:durableId="960187611">
    <w:abstractNumId w:val="3"/>
  </w:num>
  <w:num w:numId="37" w16cid:durableId="1432777504">
    <w:abstractNumId w:val="3"/>
  </w:num>
  <w:num w:numId="38" w16cid:durableId="1325861517">
    <w:abstractNumId w:val="3"/>
  </w:num>
  <w:num w:numId="39" w16cid:durableId="206962699">
    <w:abstractNumId w:val="3"/>
  </w:num>
  <w:num w:numId="40" w16cid:durableId="573970613">
    <w:abstractNumId w:val="3"/>
  </w:num>
  <w:num w:numId="41" w16cid:durableId="1903640728">
    <w:abstractNumId w:val="3"/>
  </w:num>
  <w:num w:numId="42" w16cid:durableId="1889562479">
    <w:abstractNumId w:val="3"/>
  </w:num>
  <w:num w:numId="43" w16cid:durableId="816921097">
    <w:abstractNumId w:val="3"/>
  </w:num>
  <w:num w:numId="44" w16cid:durableId="116410239">
    <w:abstractNumId w:val="3"/>
  </w:num>
  <w:num w:numId="45" w16cid:durableId="2146970758">
    <w:abstractNumId w:val="3"/>
  </w:num>
  <w:num w:numId="46" w16cid:durableId="838353705">
    <w:abstractNumId w:val="3"/>
  </w:num>
  <w:num w:numId="47" w16cid:durableId="491025133">
    <w:abstractNumId w:val="3"/>
  </w:num>
  <w:num w:numId="48" w16cid:durableId="981888628">
    <w:abstractNumId w:val="3"/>
  </w:num>
  <w:num w:numId="49" w16cid:durableId="1686596133">
    <w:abstractNumId w:val="3"/>
  </w:num>
  <w:num w:numId="50" w16cid:durableId="1488596414">
    <w:abstractNumId w:val="3"/>
  </w:num>
  <w:num w:numId="51" w16cid:durableId="1786460033">
    <w:abstractNumId w:val="3"/>
  </w:num>
  <w:num w:numId="52" w16cid:durableId="1050424420">
    <w:abstractNumId w:val="3"/>
  </w:num>
  <w:num w:numId="53" w16cid:durableId="741950225">
    <w:abstractNumId w:val="3"/>
  </w:num>
  <w:num w:numId="54" w16cid:durableId="1284465028">
    <w:abstractNumId w:val="3"/>
  </w:num>
  <w:num w:numId="55" w16cid:durableId="955020542">
    <w:abstractNumId w:val="3"/>
  </w:num>
  <w:num w:numId="56" w16cid:durableId="1966962991">
    <w:abstractNumId w:val="3"/>
  </w:num>
  <w:num w:numId="57" w16cid:durableId="99187731">
    <w:abstractNumId w:val="3"/>
  </w:num>
  <w:num w:numId="58" w16cid:durableId="1144353624">
    <w:abstractNumId w:val="3"/>
  </w:num>
  <w:num w:numId="59" w16cid:durableId="1892568516">
    <w:abstractNumId w:val="3"/>
  </w:num>
  <w:num w:numId="60" w16cid:durableId="1061253644">
    <w:abstractNumId w:val="3"/>
  </w:num>
  <w:num w:numId="61" w16cid:durableId="1916043224">
    <w:abstractNumId w:val="3"/>
  </w:num>
  <w:num w:numId="62" w16cid:durableId="839927156">
    <w:abstractNumId w:val="3"/>
  </w:num>
  <w:num w:numId="63" w16cid:durableId="181676224">
    <w:abstractNumId w:val="3"/>
  </w:num>
  <w:num w:numId="64" w16cid:durableId="1601060968">
    <w:abstractNumId w:val="3"/>
  </w:num>
  <w:num w:numId="65" w16cid:durableId="1595892166">
    <w:abstractNumId w:val="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4494E"/>
    <w:rsid w:val="000A6F3E"/>
    <w:rsid w:val="000C4ACC"/>
    <w:rsid w:val="00186BFF"/>
    <w:rsid w:val="001C2DCC"/>
    <w:rsid w:val="00230664"/>
    <w:rsid w:val="002407E9"/>
    <w:rsid w:val="002847B6"/>
    <w:rsid w:val="003156A6"/>
    <w:rsid w:val="00325CBE"/>
    <w:rsid w:val="00332197"/>
    <w:rsid w:val="00340518"/>
    <w:rsid w:val="003532DD"/>
    <w:rsid w:val="003A3AD0"/>
    <w:rsid w:val="00410259"/>
    <w:rsid w:val="004262BD"/>
    <w:rsid w:val="0045305F"/>
    <w:rsid w:val="0049528E"/>
    <w:rsid w:val="004A53A6"/>
    <w:rsid w:val="004E4C3F"/>
    <w:rsid w:val="00517CAA"/>
    <w:rsid w:val="005259D8"/>
    <w:rsid w:val="00542168"/>
    <w:rsid w:val="005B6209"/>
    <w:rsid w:val="005C2F56"/>
    <w:rsid w:val="006129E0"/>
    <w:rsid w:val="00650467"/>
    <w:rsid w:val="006B6521"/>
    <w:rsid w:val="006E5113"/>
    <w:rsid w:val="007305B8"/>
    <w:rsid w:val="00732C53"/>
    <w:rsid w:val="0075423C"/>
    <w:rsid w:val="00761E82"/>
    <w:rsid w:val="007B08D1"/>
    <w:rsid w:val="007D4506"/>
    <w:rsid w:val="0081203B"/>
    <w:rsid w:val="00862EBD"/>
    <w:rsid w:val="00876E65"/>
    <w:rsid w:val="00902DB4"/>
    <w:rsid w:val="00915867"/>
    <w:rsid w:val="00923A67"/>
    <w:rsid w:val="00953803"/>
    <w:rsid w:val="00953B6D"/>
    <w:rsid w:val="0099380F"/>
    <w:rsid w:val="00A038EC"/>
    <w:rsid w:val="00A4494E"/>
    <w:rsid w:val="00AB1DDB"/>
    <w:rsid w:val="00B656EB"/>
    <w:rsid w:val="00C649E2"/>
    <w:rsid w:val="00C72E93"/>
    <w:rsid w:val="00C93BF3"/>
    <w:rsid w:val="00CF08A4"/>
    <w:rsid w:val="00D06CA7"/>
    <w:rsid w:val="00D07E53"/>
    <w:rsid w:val="00D152C4"/>
    <w:rsid w:val="00D64309"/>
    <w:rsid w:val="00D853A9"/>
    <w:rsid w:val="00DA0503"/>
    <w:rsid w:val="00DA2F99"/>
    <w:rsid w:val="00DB6CD5"/>
    <w:rsid w:val="00E1380C"/>
    <w:rsid w:val="00EB16B4"/>
    <w:rsid w:val="00F074FE"/>
    <w:rsid w:val="00F54134"/>
    <w:rsid w:val="00F6246D"/>
    <w:rsid w:val="00FA1130"/>
    <w:rsid w:val="00FA4EC6"/>
    <w:rsid w:val="00FF725A"/>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A5EDFFD"/>
  <w15:docId w15:val="{BC05FD2E-0590-4EBD-87DD-841FA8C7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Body Text"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after="200"/>
    </w:pPr>
  </w:style>
  <w:style w:type="paragraph" w:styleId="berschrift1">
    <w:name w:val="heading 1"/>
    <w:basedOn w:val="Standard"/>
    <w:next w:val="Textkrper"/>
    <w:link w:val="berschrift1Zchn"/>
    <w:uiPriority w:val="9"/>
    <w:qFormat/>
    <w:rsid w:val="00E85032"/>
    <w:pPr>
      <w:keepNext/>
      <w:keepLines/>
      <w:numPr>
        <w:numId w:val="1"/>
      </w:numPr>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link w:val="berschrift2Zchn"/>
    <w:autoRedefine/>
    <w:uiPriority w:val="9"/>
    <w:unhideWhenUsed/>
    <w:qFormat/>
    <w:rsid w:val="00D679CB"/>
    <w:pPr>
      <w:keepNext/>
      <w:keepLines/>
      <w:numPr>
        <w:ilvl w:val="1"/>
        <w:numId w:val="1"/>
      </w:numPr>
      <w:spacing w:before="120" w:after="0"/>
      <w:ind w:left="578" w:hanging="578"/>
      <w:outlineLvl w:val="1"/>
    </w:pPr>
    <w:rPr>
      <w:rFonts w:asciiTheme="majorHAnsi" w:eastAsiaTheme="majorEastAsia" w:hAnsiTheme="majorHAnsi" w:cstheme="majorBidi"/>
      <w:b/>
      <w:bCs/>
      <w:color w:val="4F81BD" w:themeColor="accent1"/>
      <w:sz w:val="28"/>
      <w:szCs w:val="28"/>
      <w:lang w:val="de-DE"/>
    </w:rPr>
  </w:style>
  <w:style w:type="paragraph" w:styleId="berschrift3">
    <w:name w:val="heading 3"/>
    <w:basedOn w:val="Standard"/>
    <w:next w:val="Textkrpe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numPr>
        <w:ilvl w:val="3"/>
        <w:numId w:val="1"/>
      </w:numPr>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numPr>
        <w:ilvl w:val="4"/>
        <w:numId w:val="1"/>
      </w:numPr>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numPr>
        <w:ilvl w:val="5"/>
        <w:numId w:val="1"/>
      </w:numPr>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numPr>
        <w:ilvl w:val="6"/>
        <w:numId w:val="1"/>
      </w:numPr>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numPr>
        <w:ilvl w:val="7"/>
        <w:numId w:val="1"/>
      </w:numPr>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numPr>
        <w:ilvl w:val="8"/>
        <w:numId w:val="1"/>
      </w:numPr>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schriftungZchn">
    <w:name w:val="Beschriftung Zchn"/>
    <w:basedOn w:val="Absatz-Standardschriftart"/>
    <w:link w:val="Beschriftung"/>
    <w:qFormat/>
  </w:style>
  <w:style w:type="character" w:customStyle="1" w:styleId="VerbatimChar">
    <w:name w:val="Verbatim Char"/>
    <w:basedOn w:val="BeschriftungZchn"/>
    <w:link w:val="SourceCode"/>
    <w:qFormat/>
    <w:rPr>
      <w:rFonts w:ascii="Consolas" w:hAnsi="Consolas"/>
      <w:sz w:val="22"/>
    </w:rPr>
  </w:style>
  <w:style w:type="character" w:customStyle="1" w:styleId="SectionNumber">
    <w:name w:val="Section Number"/>
    <w:basedOn w:val="BeschriftungZchn"/>
    <w:qFormat/>
  </w:style>
  <w:style w:type="character" w:customStyle="1" w:styleId="FootnoteCharacters">
    <w:name w:val="Footnote Characters"/>
    <w:basedOn w:val="BeschriftungZchn"/>
    <w:qFormat/>
    <w:rPr>
      <w:vertAlign w:val="superscript"/>
    </w:rPr>
  </w:style>
  <w:style w:type="character" w:styleId="Funotenzeichen">
    <w:name w:val="footnote reference"/>
    <w:rPr>
      <w:vertAlign w:val="superscript"/>
    </w:rPr>
  </w:style>
  <w:style w:type="character" w:styleId="Hyperlink">
    <w:name w:val="Hyperlink"/>
    <w:basedOn w:val="BeschriftungZchn"/>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KopfzeileZchn">
    <w:name w:val="Kopfzeile Zchn"/>
    <w:basedOn w:val="Absatz-Standardschriftart"/>
    <w:link w:val="Kopfzeile"/>
    <w:qFormat/>
    <w:rsid w:val="0051049C"/>
  </w:style>
  <w:style w:type="character" w:customStyle="1" w:styleId="FuzeileZchn">
    <w:name w:val="Fußzeile Zchn"/>
    <w:basedOn w:val="Absatz-Standardschriftart"/>
    <w:link w:val="Fuzeile"/>
    <w:qFormat/>
    <w:rsid w:val="0051049C"/>
  </w:style>
  <w:style w:type="character" w:styleId="NichtaufgelsteErwhnung">
    <w:name w:val="Unresolved Mention"/>
    <w:basedOn w:val="Absatz-Standardschriftart"/>
    <w:uiPriority w:val="99"/>
    <w:semiHidden/>
    <w:unhideWhenUsed/>
    <w:qFormat/>
    <w:rsid w:val="00306CA3"/>
    <w:rPr>
      <w:color w:val="605E5C"/>
      <w:shd w:val="clear" w:color="auto" w:fill="E1DFDD"/>
    </w:rPr>
  </w:style>
  <w:style w:type="character" w:customStyle="1" w:styleId="TextkrperZchn">
    <w:name w:val="Textkörper Zchn"/>
    <w:basedOn w:val="Absatz-Standardschriftart"/>
    <w:link w:val="Textkrper"/>
    <w:uiPriority w:val="99"/>
    <w:qFormat/>
    <w:rsid w:val="00DD2793"/>
    <w:rPr>
      <w:rFonts w:asciiTheme="majorHAnsi" w:hAnsiTheme="majorHAnsi"/>
      <w:sz w:val="22"/>
    </w:rPr>
  </w:style>
  <w:style w:type="character" w:customStyle="1" w:styleId="berschrift1Zchn">
    <w:name w:val="Überschrift 1 Zchn"/>
    <w:basedOn w:val="Absatz-Standardschriftart"/>
    <w:link w:val="berschrift1"/>
    <w:uiPriority w:val="9"/>
    <w:qFormat/>
    <w:rsid w:val="008C7D18"/>
    <w:rPr>
      <w:rFonts w:asciiTheme="majorHAnsi" w:eastAsiaTheme="majorEastAsia" w:hAnsiTheme="majorHAnsi" w:cstheme="majorBidi"/>
      <w:b/>
      <w:bCs/>
      <w:color w:val="4F81BD" w:themeColor="accent1"/>
      <w:sz w:val="32"/>
      <w:szCs w:val="32"/>
    </w:rPr>
  </w:style>
  <w:style w:type="character" w:customStyle="1" w:styleId="berschrift2Zchn">
    <w:name w:val="Überschrift 2 Zchn"/>
    <w:basedOn w:val="Absatz-Standardschriftart"/>
    <w:link w:val="berschrift2"/>
    <w:uiPriority w:val="9"/>
    <w:qFormat/>
    <w:rsid w:val="00D679CB"/>
    <w:rPr>
      <w:rFonts w:asciiTheme="majorHAnsi" w:eastAsiaTheme="majorEastAsia" w:hAnsiTheme="majorHAnsi" w:cstheme="majorBidi"/>
      <w:b/>
      <w:bCs/>
      <w:color w:val="4F81BD" w:themeColor="accent1"/>
      <w:sz w:val="28"/>
      <w:szCs w:val="28"/>
      <w:lang w:val="de-DE"/>
    </w:rPr>
  </w:style>
  <w:style w:type="character" w:customStyle="1" w:styleId="CompactZchn">
    <w:name w:val="Compact Zchn"/>
    <w:basedOn w:val="TextkrperZchn"/>
    <w:link w:val="Compact"/>
    <w:qFormat/>
    <w:rsid w:val="00F11E0A"/>
    <w:rPr>
      <w:rFonts w:asciiTheme="majorHAnsi" w:hAnsiTheme="majorHAnsi"/>
      <w:sz w:val="22"/>
    </w:rPr>
  </w:style>
  <w:style w:type="character" w:customStyle="1" w:styleId="Formatvorlage1Zchn">
    <w:name w:val="Formatvorlage1 Zchn"/>
    <w:basedOn w:val="CompactZchn"/>
    <w:link w:val="Formatvorlage1"/>
    <w:qFormat/>
    <w:rsid w:val="00F11E0A"/>
    <w:rPr>
      <w:rFonts w:asciiTheme="majorHAnsi" w:hAnsiTheme="majorHAnsi"/>
      <w:sz w:val="22"/>
      <w:lang w:val="de-DE"/>
    </w:rP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link w:val="TextkrperZchn"/>
    <w:uiPriority w:val="99"/>
    <w:qFormat/>
    <w:rsid w:val="008B1274"/>
    <w:pPr>
      <w:spacing w:before="180" w:after="180"/>
    </w:pPr>
    <w:rPr>
      <w:rFonts w:asciiTheme="majorHAnsi" w:hAnsiTheme="majorHAnsi"/>
      <w:sz w:val="22"/>
    </w:rPr>
  </w:style>
  <w:style w:type="paragraph" w:styleId="Liste">
    <w:name w:val="List"/>
    <w:basedOn w:val="Textkrper"/>
    <w:rPr>
      <w:rFonts w:cs="Lohit Devanagari"/>
    </w:rPr>
  </w:style>
  <w:style w:type="paragraph" w:styleId="Beschriftung">
    <w:name w:val="caption"/>
    <w:basedOn w:val="Standard"/>
    <w:link w:val="BeschriftungZchn"/>
    <w:qFormat/>
    <w:pPr>
      <w:spacing w:after="120"/>
    </w:pPr>
    <w:rPr>
      <w:i/>
    </w:rPr>
  </w:style>
  <w:style w:type="paragraph" w:customStyle="1" w:styleId="Index">
    <w:name w:val="Index"/>
    <w:basedOn w:val="Standard"/>
    <w:qFormat/>
    <w:pPr>
      <w:suppressLineNumbers/>
    </w:pPr>
    <w:rPr>
      <w:rFonts w:cs="Lohit Devanagari"/>
    </w:rPr>
  </w:style>
  <w:style w:type="paragraph" w:customStyle="1" w:styleId="FirstParagraph">
    <w:name w:val="First Paragraph"/>
    <w:basedOn w:val="Textkrper"/>
    <w:next w:val="Textkrper"/>
    <w:qFormat/>
  </w:style>
  <w:style w:type="paragraph" w:customStyle="1" w:styleId="Compact">
    <w:name w:val="Compact"/>
    <w:basedOn w:val="Textkrper"/>
    <w:link w:val="CompactZchn"/>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spacing w:after="200"/>
      <w:jc w:val="center"/>
    </w:pPr>
  </w:style>
  <w:style w:type="paragraph" w:styleId="Datum">
    <w:name w:val="Date"/>
    <w:next w:val="Textkrper"/>
    <w:qFormat/>
    <w:pPr>
      <w:keepNext/>
      <w:keepLines/>
      <w:spacing w:after="200"/>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style>
  <w:style w:type="paragraph" w:customStyle="1" w:styleId="FootnoteBlockText">
    <w:name w:val="Footnote Block Text"/>
    <w:uiPriority w:val="9"/>
    <w:unhideWhenUsed/>
    <w:qFormat/>
    <w:pPr>
      <w:spacing w:before="100" w:after="100"/>
      <w:ind w:left="480" w:right="480"/>
    </w:pPr>
  </w:style>
  <w:style w:type="paragraph" w:customStyle="1" w:styleId="DefinitionTerm">
    <w:name w:val="Definition Term"/>
    <w:basedOn w:val="Standard"/>
    <w:next w:val="Definition"/>
    <w:qFormat/>
    <w:pPr>
      <w:keepNext/>
      <w:keepLines/>
      <w:spacing w:after="0"/>
    </w:pPr>
    <w:rPr>
      <w:b/>
    </w:rPr>
  </w:style>
  <w:style w:type="paragraph" w:customStyle="1" w:styleId="Definition">
    <w:name w:val="Definition"/>
    <w:basedOn w:val="Standard"/>
    <w:qFormat/>
  </w:style>
  <w:style w:type="paragraph" w:customStyle="1" w:styleId="TableCaption">
    <w:name w:val="Table Caption"/>
    <w:basedOn w:val="Beschriftung"/>
    <w:qFormat/>
    <w:pPr>
      <w:keepNext/>
    </w:pPr>
  </w:style>
  <w:style w:type="paragraph" w:customStyle="1" w:styleId="ImageCaption">
    <w:name w:val="Image Caption"/>
    <w:basedOn w:val="Beschriftung"/>
    <w:qFormat/>
  </w:style>
  <w:style w:type="paragraph" w:customStyle="1" w:styleId="Figure">
    <w:name w:val="Figure"/>
    <w:basedOn w:val="Standard"/>
    <w:qFormat/>
  </w:style>
  <w:style w:type="paragraph" w:customStyle="1" w:styleId="CaptionedFigure">
    <w:name w:val="Captioned Figure"/>
    <w:basedOn w:val="Figure"/>
    <w:qFormat/>
    <w:pPr>
      <w:keepNext/>
    </w:pPr>
  </w:style>
  <w:style w:type="paragraph" w:styleId="Indexberschrift">
    <w:name w:val="index heading"/>
    <w:basedOn w:val="Heading"/>
  </w:style>
  <w:style w:type="paragraph" w:styleId="Inhaltsverzeichnisberschrift">
    <w:name w:val="TOC Heading"/>
    <w:basedOn w:val="Textkrper"/>
    <w:next w:val="Textkrper"/>
    <w:uiPriority w:val="39"/>
    <w:unhideWhenUsed/>
    <w:qFormat/>
    <w:pPr>
      <w:spacing w:before="240" w:line="259" w:lineRule="auto"/>
    </w:pPr>
    <w:rPr>
      <w:color w:val="365F91" w:themeColor="accent1" w:themeShade="BF"/>
      <w:sz w:val="32"/>
    </w:rPr>
  </w:style>
  <w:style w:type="paragraph" w:customStyle="1" w:styleId="SourceCode">
    <w:name w:val="Source Code"/>
    <w:basedOn w:val="Standard"/>
    <w:link w:val="VerbatimChar"/>
    <w:qFormat/>
  </w:style>
  <w:style w:type="paragraph" w:styleId="Verzeichnis2">
    <w:name w:val="toc 2"/>
    <w:basedOn w:val="Standard"/>
    <w:next w:val="Standard"/>
    <w:autoRedefine/>
    <w:uiPriority w:val="39"/>
    <w:rsid w:val="00340518"/>
    <w:pPr>
      <w:tabs>
        <w:tab w:val="left" w:pos="805"/>
        <w:tab w:val="right" w:leader="dot" w:pos="9394"/>
      </w:tabs>
      <w:spacing w:after="100"/>
      <w:ind w:firstLine="240"/>
    </w:pPr>
  </w:style>
  <w:style w:type="paragraph" w:styleId="Verzeichnis1">
    <w:name w:val="toc 1"/>
    <w:basedOn w:val="Standard"/>
    <w:next w:val="Standard"/>
    <w:autoRedefine/>
    <w:uiPriority w:val="39"/>
    <w:rsid w:val="00340518"/>
    <w:pPr>
      <w:tabs>
        <w:tab w:val="left" w:pos="368"/>
        <w:tab w:val="right" w:leader="dot" w:pos="9394"/>
      </w:tabs>
      <w:spacing w:after="100"/>
    </w:pPr>
  </w:style>
  <w:style w:type="paragraph" w:customStyle="1" w:styleId="HeaderandFooter">
    <w:name w:val="Header and Footer"/>
    <w:basedOn w:val="Standard"/>
    <w:qFormat/>
  </w:style>
  <w:style w:type="paragraph" w:styleId="Kopfzeile">
    <w:name w:val="header"/>
    <w:basedOn w:val="Standard"/>
    <w:link w:val="KopfzeileZchn"/>
    <w:rsid w:val="0051049C"/>
    <w:pPr>
      <w:tabs>
        <w:tab w:val="center" w:pos="4703"/>
        <w:tab w:val="right" w:pos="9406"/>
      </w:tabs>
      <w:spacing w:after="0"/>
    </w:pPr>
  </w:style>
  <w:style w:type="paragraph" w:styleId="Fuzeile">
    <w:name w:val="footer"/>
    <w:basedOn w:val="Standard"/>
    <w:link w:val="FuzeileZchn"/>
    <w:rsid w:val="0051049C"/>
    <w:pPr>
      <w:tabs>
        <w:tab w:val="center" w:pos="4703"/>
        <w:tab w:val="right" w:pos="9406"/>
      </w:tabs>
      <w:spacing w:after="0"/>
    </w:pPr>
  </w:style>
  <w:style w:type="paragraph" w:styleId="StandardWeb">
    <w:name w:val="Normal (Web)"/>
    <w:basedOn w:val="Standard"/>
    <w:qFormat/>
    <w:rsid w:val="003C55CF"/>
    <w:rPr>
      <w:rFonts w:ascii="Times New Roman" w:hAnsi="Times New Roman" w:cs="Times New Roman"/>
    </w:rPr>
  </w:style>
  <w:style w:type="paragraph" w:customStyle="1" w:styleId="BoxText">
    <w:name w:val="Box Text"/>
    <w:qFormat/>
    <w:rsid w:val="008B3260"/>
    <w:pPr>
      <w:spacing w:after="60" w:line="276" w:lineRule="auto"/>
    </w:pPr>
    <w:rPr>
      <w:rFonts w:ascii="Aptos" w:eastAsia="Aptos" w:hAnsi="Aptos"/>
      <w:color w:val="1F2933"/>
      <w:sz w:val="18"/>
      <w:szCs w:val="22"/>
    </w:rPr>
  </w:style>
  <w:style w:type="paragraph" w:customStyle="1" w:styleId="Formatvorlage1">
    <w:name w:val="Formatvorlage1"/>
    <w:basedOn w:val="Compact"/>
    <w:link w:val="Formatvorlage1Zchn"/>
    <w:qFormat/>
    <w:rsid w:val="00F11E0A"/>
    <w:pPr>
      <w:numPr>
        <w:numId w:val="4"/>
      </w:numPr>
    </w:pPr>
    <w:rPr>
      <w:lang w:val="de-DE"/>
    </w:rPr>
  </w:style>
  <w:style w:type="paragraph" w:customStyle="1" w:styleId="FrameContents">
    <w:name w:val="Frame Contents"/>
    <w:basedOn w:val="Standard"/>
    <w:qFormat/>
  </w:style>
  <w:style w:type="paragraph" w:styleId="Verzeichnis3">
    <w:name w:val="toc 3"/>
    <w:basedOn w:val="Index"/>
    <w:uiPriority w:val="39"/>
  </w:style>
  <w:style w:type="paragraph" w:styleId="Verzeichnis4">
    <w:name w:val="toc 4"/>
    <w:basedOn w:val="Index"/>
  </w:style>
  <w:style w:type="paragraph" w:styleId="Verzeichnis5">
    <w:name w:val="toc 5"/>
    <w:basedOn w:val="Index"/>
  </w:style>
  <w:style w:type="paragraph" w:styleId="Verzeichnis6">
    <w:name w:val="toc 6"/>
    <w:basedOn w:val="Index"/>
  </w:style>
  <w:style w:type="paragraph" w:styleId="Verzeichnis7">
    <w:name w:val="toc 7"/>
    <w:basedOn w:val="Index"/>
  </w:style>
  <w:style w:type="paragraph" w:styleId="Verzeichnis8">
    <w:name w:val="toc 8"/>
    <w:basedOn w:val="Index"/>
  </w:style>
  <w:style w:type="paragraph" w:styleId="Verzeichnis9">
    <w:name w:val="toc 9"/>
    <w:basedOn w:val="Index"/>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Gitternetztabelle4Akzent1">
    <w:name w:val="Grid Table 4 Accent 1"/>
    <w:basedOn w:val="NormaleTabelle"/>
    <w:uiPriority w:val="49"/>
    <w:rsid w:val="0009676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rPr>
        <w:tblHeader/>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val="0"/>
        <w:bCs/>
      </w:rPr>
      <w:tblPr/>
      <w:tcPr>
        <w:tcBorders>
          <w:top w:val="double" w:sz="4" w:space="0" w:color="4F81BD" w:themeColor="accent1"/>
        </w:tcBorders>
      </w:tcPr>
    </w:tblStylePr>
    <w:tblStylePr w:type="firstCol">
      <w:rPr>
        <w:b/>
        <w:bCs/>
      </w:rPr>
    </w:tblStylePr>
    <w:tblStylePr w:type="lastCol">
      <w:rPr>
        <w:b w:val="0"/>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itternetztabelle5dunkelAkzent1">
    <w:name w:val="Grid Table 5 Dark Accent 1"/>
    <w:basedOn w:val="NormaleTabelle"/>
    <w:uiPriority w:val="50"/>
    <w:rsid w:val="00C1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ellenraster">
    <w:name w:val="Table Grid"/>
    <w:basedOn w:val="NormaleTabelle"/>
    <w:rsid w:val="00B727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8594E-8950-43FC-ACE2-2D542660F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9717</Words>
  <Characters>75507</Characters>
  <Application>Microsoft Office Word</Application>
  <DocSecurity>0</DocSecurity>
  <Lines>2220</Lines>
  <Paragraphs>1136</Paragraphs>
  <ScaleCrop>false</ScaleCrop>
  <Company/>
  <LinksUpToDate>false</LinksUpToDate>
  <CharactersWithSpaces>84088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Bauherr Mentoren Whitepaper V1.2</dc:title>
  <dc:subject>Bauherr Mentoren Whitepaper – deutschsprachige Terminologie</dc:subject>
  <dc:description>Version 1.0 – terminologisch und redaktionell überarbeitet</dc:description>
  <cp:lastModifiedBy>Marc Heinz</cp:lastModifiedBy>
  <cp:revision>53</cp:revision>
  <dcterms:created xsi:type="dcterms:W3CDTF">2026-07-12T08:56:00Z</dcterms:created>
  <dcterms:modified xsi:type="dcterms:W3CDTF">2026-09-08T11:08:00Z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2026-06-22T10:56:00Z</dcterms:created>
  <dc:creator>Bauherr Mentoren</dc:creator>
  <dc:description/>
  <cp:keywords>MVG Bauherrenverantwortung Governance Bauherren-Operating-Model</cp:keywords>
  <dc:language>en-US</dc:language>
  <cp:lastModifiedBy/>
  <dcterms:modified xsi:type="dcterms:W3CDTF">2026-07-10T13:09:58Z</dcterms:modified>
  <cp:revision>279</cp:revision>
  <dc:subject>Whitepaper Bauherr Mentoren</dc:subject>
  <dc:title>Nichtdelegierbare Bauherrenverantwortung und Minimum Viable Governance</dc:title>
  <cp:version>3.1</cp:version>
</cp:coreProperties>
</file>