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 Responder cuestionario en el Aula del Campus para la asistencia:​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 En grupo realizar la siguiente actividad: enviar al correo de la profesora en formato pdf o doc word. 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A-Responder a las preguntas del PDF (pag. 5,8,11 y 13) y del PDF DE GIT (pág. 4,8,12 y 13)​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 Desarrollar 2  casos actuales de ciberataques y especifique a que malware pertenecen.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0000"/>
          <w:sz w:val="24"/>
          <w:szCs w:val="24"/>
          <w:u w:val="none"/>
          <w:shd w:fill="auto" w:val="clear"/>
          <w:vertAlign w:val="baseline"/>
          <w:rtl w:val="0"/>
        </w:rPr>
        <w:t xml:space="preserve">PDF  Arquitectura y S.O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PAG 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-60959</wp:posOffset>
            </wp:positionH>
            <wp:positionV relativeFrom="paragraph">
              <wp:posOffset>68580</wp:posOffset>
            </wp:positionV>
            <wp:extent cx="4019550" cy="2157720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15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Respuesta= </w:t>
      </w:r>
      <w:r w:rsidDel="00000000" w:rsidR="00000000" w:rsidRPr="00000000">
        <w:rPr>
          <w:rFonts w:ascii="Arial" w:cs="Arial" w:eastAsia="Arial" w:hAnsi="Arial"/>
          <w:rtl w:val="0"/>
        </w:rPr>
        <w:t xml:space="preserve">1 🡪 C ; 2 🡪 B ; 3 🡪 A ; 4 🡪 D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PAG 8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238760</wp:posOffset>
            </wp:positionV>
            <wp:extent cx="3775849" cy="2122805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5849" cy="2122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 =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2. Que el dispositivo se infecte con malware no detectado por la tienda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color w:val="ff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u w:val="single"/>
          <w:rtl w:val="0"/>
        </w:rPr>
        <w:t xml:space="preserve">PAG 11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35973</wp:posOffset>
            </wp:positionH>
            <wp:positionV relativeFrom="paragraph">
              <wp:posOffset>252095</wp:posOffset>
            </wp:positionV>
            <wp:extent cx="4036927" cy="2161310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6927" cy="2161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Respuesta =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hd w:fill="auto" w:val="clear"/>
          <w:vertAlign w:val="baseline"/>
          <w:rtl w:val="0"/>
        </w:rPr>
        <w:t xml:space="preserve">Falso. Las copias de seguridad ayudan a recuperar información, pero no reemplazan la seguridad activa del celular, como antivirus, contraseñas, actualizaciones y protección contra malware.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u w:val="single"/>
          <w:shd w:fill="auto" w:val="clear"/>
          <w:vertAlign w:val="baseline"/>
          <w:rtl w:val="0"/>
        </w:rPr>
        <w:t xml:space="preserve">PAG 13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-32608</wp:posOffset>
            </wp:positionH>
            <wp:positionV relativeFrom="paragraph">
              <wp:posOffset>293313</wp:posOffset>
            </wp:positionV>
            <wp:extent cx="4107947" cy="2178604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947" cy="21786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 =</w:t>
      </w:r>
      <w:r w:rsidDel="00000000" w:rsidR="00000000" w:rsidRPr="00000000">
        <w:rPr>
          <w:rFonts w:ascii="Arial" w:cs="Arial" w:eastAsia="Arial" w:hAnsi="Arial"/>
          <w:rtl w:val="0"/>
        </w:rPr>
        <w:t xml:space="preserve"> Exigir actualizaciones periódicas de Android y de las apps.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Capacitar a los empleados para evitar descargas peligrosas o enlaces sospechosos.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Limitar permisos y accesos a información sensible.</w:t>
      </w:r>
    </w:p>
    <w:p w:rsidR="00000000" w:rsidDel="00000000" w:rsidP="00000000" w:rsidRDefault="00000000" w:rsidRPr="00000000" w14:paraId="0000003A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80000"/>
          <w:sz w:val="26"/>
          <w:szCs w:val="26"/>
          <w:rtl w:val="0"/>
        </w:rPr>
        <w:t xml:space="preserve">PDF GIT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PAG 5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11430</wp:posOffset>
            </wp:positionH>
            <wp:positionV relativeFrom="paragraph">
              <wp:posOffset>221615</wp:posOffset>
            </wp:positionV>
            <wp:extent cx="4072890" cy="219964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2199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 = </w:t>
      </w:r>
      <w:r w:rsidDel="00000000" w:rsidR="00000000" w:rsidRPr="00000000">
        <w:rPr>
          <w:rFonts w:ascii="Arial" w:cs="Arial" w:eastAsia="Arial" w:hAnsi="Arial"/>
          <w:rtl w:val="0"/>
        </w:rPr>
        <w:t xml:space="preserve">1 🡪 C ; 2 🡪 A ; 3 🡪 D ; 4 🡪 B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PAG 8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12396</wp:posOffset>
            </wp:positionH>
            <wp:positionV relativeFrom="paragraph">
              <wp:posOffset>185842</wp:posOffset>
            </wp:positionV>
            <wp:extent cx="4093123" cy="221416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3123" cy="2214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 =  </w:t>
      </w:r>
      <w:r w:rsidDel="00000000" w:rsidR="00000000" w:rsidRPr="00000000">
        <w:rPr>
          <w:rFonts w:ascii="Arial" w:cs="Arial" w:eastAsia="Arial" w:hAnsi="Arial"/>
          <w:rtl w:val="0"/>
        </w:rPr>
        <w:t xml:space="preserve">3. Uso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git stash</w:t>
      </w:r>
      <w:r w:rsidDel="00000000" w:rsidR="00000000" w:rsidRPr="00000000">
        <w:rPr>
          <w:rFonts w:ascii="Arial" w:cs="Arial" w:eastAsia="Arial" w:hAnsi="Arial"/>
          <w:rtl w:val="0"/>
        </w:rPr>
        <w:t xml:space="preserve">, cambio de rama, arreglo el logo y luego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git stash pop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PAG 12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12395</wp:posOffset>
            </wp:positionH>
            <wp:positionV relativeFrom="paragraph">
              <wp:posOffset>214679</wp:posOffset>
            </wp:positionV>
            <wp:extent cx="4078933" cy="2284566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8933" cy="2284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Falso.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Git merge no borra automáticamente los cambios del commit más viejo.</w:t>
        <w:br w:type="textWrapping"/>
        <w:t xml:space="preserve">Cuando hay conflictos, Git le pide al usuario que los resuelva manualmente.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PAG 15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520</wp:posOffset>
            </wp:positionH>
            <wp:positionV relativeFrom="paragraph">
              <wp:posOffset>201048</wp:posOffset>
            </wp:positionV>
            <wp:extent cx="4215543" cy="2250041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5543" cy="2250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 =</w:t>
      </w:r>
      <w:r w:rsidDel="00000000" w:rsidR="00000000" w:rsidRPr="00000000">
        <w:rPr>
          <w:rFonts w:ascii="Arial" w:cs="Arial" w:eastAsia="Arial" w:hAnsi="Arial"/>
          <w:rtl w:val="0"/>
        </w:rPr>
        <w:t xml:space="preserve"> Un desarrollador Senior debe saber usar bien la consola de Git, pero no necesariamente depender únicamente de ella, también puede usar herramientas visuales como GitKraken o Visual Studio Code para trabajar más rápido y entender mejor el historial y las ramas.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rPr>
          <w:rFonts w:ascii="Arial" w:cs="Arial" w:eastAsia="Arial" w:hAnsi="Arial"/>
          <w:b w:val="1"/>
          <w:bCs w:val="1"/>
          <w:color w:val="98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80000"/>
          <w:rtl w:val="0"/>
        </w:rPr>
        <w:t xml:space="preserve">Desarrollar 2 casos actuales de ciberataques y especifique a que malware pertenecen. </w:t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Rta</w:t>
      </w:r>
      <w:r w:rsidDel="00000000" w:rsidR="00000000" w:rsidRPr="00000000">
        <w:rPr>
          <w:rFonts w:ascii="Arial" w:cs="Arial" w:eastAsia="Arial" w:hAnsi="Arial"/>
          <w:rtl w:val="0"/>
        </w:rPr>
        <w:t xml:space="preserve">;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gycv6woae93v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Caso 1: WannaCry (2017)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ataque WannaCry afectó a miles de computadoras en todo el mundo, incluyendo hospitales, empresas y organismos públicos. El malware bloqueaba los archivos de las computadoras y pedía dinero para recuperarlos.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Tipo de malware:</w:t>
      </w:r>
      <w:r w:rsidDel="00000000" w:rsidR="00000000" w:rsidRPr="00000000">
        <w:rPr>
          <w:rFonts w:ascii="Arial" w:cs="Arial" w:eastAsia="Arial" w:hAnsi="Arial"/>
          <w:rtl w:val="0"/>
        </w:rPr>
        <w:t xml:space="preserve"> Ransomware.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xyonqvcn20f4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Caso 2: Colonial Pipeline (2021)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empresa Colonial Pipeline, encargada de transportar combustible en Estados Unidos, sufrió un ciberataque que obligó a detener sus operaciones por varios días. Los atacantes pidieron un rescate económico.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Tipo de malware:</w:t>
      </w:r>
      <w:r w:rsidDel="00000000" w:rsidR="00000000" w:rsidRPr="00000000">
        <w:rPr>
          <w:rFonts w:ascii="Arial" w:cs="Arial" w:eastAsia="Arial" w:hAnsi="Arial"/>
          <w:rtl w:val="0"/>
        </w:rPr>
        <w:t xml:space="preserve"> Ransomware.</w:t>
      </w:r>
    </w:p>
    <w:p w:rsidR="00000000" w:rsidDel="00000000" w:rsidP="00000000" w:rsidRDefault="00000000" w:rsidRPr="00000000" w14:paraId="00000070">
      <w:pPr>
        <w:tabs>
          <w:tab w:val="left" w:leader="none" w:pos="111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spacing w:after="0" w:line="276" w:lineRule="auto"/>
      <w:jc w:val="center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Arquitectura y S.O</w:t>
    </w:r>
  </w:p>
  <w:p w:rsidR="00000000" w:rsidDel="00000000" w:rsidP="00000000" w:rsidRDefault="00000000" w:rsidRPr="00000000" w14:paraId="00000076">
    <w:pPr>
      <w:spacing w:after="0" w:line="276" w:lineRule="auto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Fecha;21/05/2026</w:t>
    </w:r>
  </w:p>
  <w:p w:rsidR="00000000" w:rsidDel="00000000" w:rsidP="00000000" w:rsidRDefault="00000000" w:rsidRPr="00000000" w14:paraId="00000077">
    <w:pPr>
      <w:spacing w:after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Alumnos;</w:t>
    </w:r>
    <w:r w:rsidDel="00000000" w:rsidR="00000000" w:rsidRPr="00000000">
      <w:rPr>
        <w:rFonts w:ascii="Liberation Serif" w:cs="Liberation Serif" w:eastAsia="Liberation Serif" w:hAnsi="Liberation Serif"/>
        <w:rtl w:val="0"/>
      </w:rPr>
      <w:t xml:space="preserve">Heber Ascurra</w:t>
    </w:r>
    <w:r w:rsidDel="00000000" w:rsidR="00000000" w:rsidRPr="00000000">
      <w:rPr>
        <w:rFonts w:ascii="Arial" w:cs="Arial" w:eastAsia="Arial" w:hAnsi="Arial"/>
        <w:rtl w:val="0"/>
      </w:rPr>
      <w:t xml:space="preserve">,Axel Ditlevsen, Gaston Villafuerte, Lucas Arreceygor, Guajardo Matias.</w:t>
    </w:r>
  </w:p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