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67152F" w:rsidP="00C159A4">
      <w:pPr>
        <w:jc w:val="center"/>
      </w:pPr>
      <w:bookmarkStart w:id="0" w:name="_GoBack"/>
      <w:bookmarkEnd w:id="0"/>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t>badgeSurname</w:t>
      </w:r>
      <w:proofErr w:type="spellEnd"/>
      <w:r>
        <w:t xml:space="preserve"> – apellido en la acreditación</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lastRenderedPageBreak/>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lastRenderedPageBreak/>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P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-php .html .php</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.git,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Pr="0067152F"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Pr="0067152F">
        <w:rPr>
          <w:rFonts w:ascii="Courier New" w:hAnsi="Courier New" w:cs="Courier New"/>
          <w:color w:val="538135" w:themeColor="accent6" w:themeShade="BF"/>
          <w:sz w:val="20"/>
        </w:rPr>
        <w:t>update</w:t>
      </w:r>
      <w:proofErr w:type="spellEnd"/>
    </w:p>
    <w:p w:rsidR="002341EC" w:rsidRDefault="002341EC" w:rsidP="002341EC"/>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w:t>
      </w:r>
      <w:proofErr w:type="spellStart"/>
      <w:r w:rsidR="00096294">
        <w:t>pre-production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lastRenderedPageBreak/>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los consentimientos de socios y medios de prensa</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lastRenderedPageBreak/>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lastRenderedPageBreak/>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lastRenderedPageBreak/>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lastRenderedPageBreak/>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lastRenderedPageBreak/>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C030E8" w:rsidRDefault="00C030E8" w:rsidP="00C030E8">
      <w:pPr>
        <w:pStyle w:val="Ttulo4"/>
      </w:pPr>
      <w:r>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lastRenderedPageBreak/>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 xml:space="preserve">Además, se verifica qué usuarios hayan dado consentimiento al realizar un pedido, y para los que no tengamos dicho consentimiento actualizado; y permite actualizarlos. En la clase controladora </w:t>
      </w:r>
      <w:proofErr w:type="gramStart"/>
      <w:r>
        <w:t>app\</w:t>
      </w:r>
      <w:proofErr w:type="spellStart"/>
      <w:r>
        <w:t>controllers</w:t>
      </w:r>
      <w:proofErr w:type="spellEnd"/>
      <w:r>
        <w:t>\</w:t>
      </w:r>
      <w:proofErr w:type="spellStart"/>
      <w:r>
        <w:t>MemberController.php</w:t>
      </w:r>
      <w:proofErr w:type="spellEnd"/>
      <w:r>
        <w:t>,  método</w:t>
      </w:r>
      <w:proofErr w:type="gramEnd"/>
      <w:r>
        <w:t xml:space="preserve">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w:t>
      </w:r>
      <w:proofErr w:type="gramStart"/>
      <w:r>
        <w:t>Además</w:t>
      </w:r>
      <w:proofErr w:type="gramEnd"/>
      <w:r>
        <w:t xml:space="preserve">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lastRenderedPageBreak/>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lastRenderedPageBreak/>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w:t>
      </w:r>
      <w:r>
        <w:lastRenderedPageBreak/>
        <w:t xml:space="preserve">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lastRenderedPageBreak/>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lastRenderedPageBreak/>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lastRenderedPageBreak/>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 xml:space="preserve">En la clase controladora </w:t>
      </w:r>
      <w:proofErr w:type="spellStart"/>
      <w:proofErr w:type="gramStart"/>
      <w:r>
        <w:t>controllers</w:t>
      </w:r>
      <w:proofErr w:type="spellEnd"/>
      <w:r>
        <w:t>/</w:t>
      </w:r>
      <w:proofErr w:type="spell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lastRenderedPageBreak/>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pseudo-Excel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rsidR="00530706" w:rsidRDefault="00530706" w:rsidP="00530706">
      <w:r>
        <w:lastRenderedPageBreak/>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530706" w:rsidRPr="0067152F" w:rsidRDefault="00530706" w:rsidP="00EA7C2A"/>
    <w:sectPr w:rsidR="00530706"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3"/>
  </w:num>
  <w:num w:numId="5">
    <w:abstractNumId w:val="14"/>
  </w:num>
  <w:num w:numId="6">
    <w:abstractNumId w:val="12"/>
  </w:num>
  <w:num w:numId="7">
    <w:abstractNumId w:val="1"/>
  </w:num>
  <w:num w:numId="8">
    <w:abstractNumId w:val="21"/>
  </w:num>
  <w:num w:numId="9">
    <w:abstractNumId w:val="17"/>
  </w:num>
  <w:num w:numId="10">
    <w:abstractNumId w:val="3"/>
  </w:num>
  <w:num w:numId="11">
    <w:abstractNumId w:val="22"/>
  </w:num>
  <w:num w:numId="12">
    <w:abstractNumId w:val="24"/>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5"/>
  </w:num>
  <w:num w:numId="23">
    <w:abstractNumId w:val="16"/>
  </w:num>
  <w:num w:numId="24">
    <w:abstractNumId w:val="27"/>
  </w:num>
  <w:num w:numId="25">
    <w:abstractNumId w:val="15"/>
  </w:num>
  <w:num w:numId="26">
    <w:abstractNumId w:val="2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73C32"/>
    <w:rsid w:val="00274291"/>
    <w:rsid w:val="00297A3A"/>
    <w:rsid w:val="002A7919"/>
    <w:rsid w:val="00310252"/>
    <w:rsid w:val="00352518"/>
    <w:rsid w:val="00357EE3"/>
    <w:rsid w:val="00376014"/>
    <w:rsid w:val="003C74A5"/>
    <w:rsid w:val="003F528F"/>
    <w:rsid w:val="004200BC"/>
    <w:rsid w:val="00453471"/>
    <w:rsid w:val="004A1C6C"/>
    <w:rsid w:val="004E1ACF"/>
    <w:rsid w:val="00530706"/>
    <w:rsid w:val="00534FAD"/>
    <w:rsid w:val="00565482"/>
    <w:rsid w:val="00596C40"/>
    <w:rsid w:val="005A4340"/>
    <w:rsid w:val="005D17CA"/>
    <w:rsid w:val="00611B9D"/>
    <w:rsid w:val="00670BEE"/>
    <w:rsid w:val="0067152F"/>
    <w:rsid w:val="006A0888"/>
    <w:rsid w:val="00704564"/>
    <w:rsid w:val="0070693E"/>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C030E8"/>
    <w:rsid w:val="00C159A4"/>
    <w:rsid w:val="00C63746"/>
    <w:rsid w:val="00D05A45"/>
    <w:rsid w:val="00D10B5A"/>
    <w:rsid w:val="00D226CD"/>
    <w:rsid w:val="00D47502"/>
    <w:rsid w:val="00D90887"/>
    <w:rsid w:val="00DB2699"/>
    <w:rsid w:val="00DD5094"/>
    <w:rsid w:val="00EA7C2A"/>
    <w:rsid w:val="00EB0400"/>
    <w:rsid w:val="00EC17A1"/>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4FCD"/>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0894A-F222-4987-8752-40A811BA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12415</TotalTime>
  <Pages>22</Pages>
  <Words>7899</Words>
  <Characters>43447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38</cp:revision>
  <dcterms:created xsi:type="dcterms:W3CDTF">2018-04-08T18:42:00Z</dcterms:created>
  <dcterms:modified xsi:type="dcterms:W3CDTF">2019-02-07T21:24:00Z</dcterms:modified>
</cp:coreProperties>
</file>