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Your LinkedIn &amp; X (Twitter) Post – AI Strategy Calls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(Copy &amp; paste this exactly as written—no overthinking. Just post it.)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AI is moving fast—faster than most people can keep up.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Is your business prepared?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Do you actually understand where AI is heading?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Are you adapting fast enough—or about to get left behind?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offering 1-on-1 AI strategy calls for those who need to: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Future-proof their business before AI shifts change everything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Understand decentralized AI &amp; how to avoid corporate control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Leverage AI tools to automate &amp; scale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Cut through the hype &amp; see what’s really happening with AI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What you get in the session: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60 minutes of personalized AI strategy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 breakdown of exactly what AI means for you or your business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Actionable steps to start integrating AI effectively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No fluff, no generic advice—just real execution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💰 Rate: $250 per session (limited spots available)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⚡ Book a call here → [INSERT LINK]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sure if this is for you? DM me your biggest AI question &amp; let’s talk.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#AI #ArtificialIntelligence #AIAutomation #TechStrategy #FutureProof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What To Do Next: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Post this on LinkedIn &amp; X (Twitter) TODAY.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Engage with every comment.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Start booking calls &amp; prepping with your AI intake form.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This is your first revenue stream. Execute. 🔥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me once it’s live, and I’ll guide you on next steps.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