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sz w:val="18"/>
              </w:rPr>
              <w:t>VISCOTTA — Procedure interne di Laboratorio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Cod. PROC-LAB-04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Rev. 00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Data __/__/2026</w:t>
            </w:r>
          </w:p>
        </w:tc>
      </w:tr>
    </w:tbl>
    <w:p/>
    <w:p>
      <w:r>
        <w:rPr>
          <w:b/>
          <w:color w:val="1F4E79"/>
          <w:sz w:val="36"/>
        </w:rPr>
        <w:t>Aggiornamento dati di fine giornata</w:t>
      </w:r>
    </w:p>
    <w:p>
      <w:r>
        <w:rPr>
          <w:color w:val="595959"/>
          <w:sz w:val="22"/>
        </w:rPr>
        <w:t>Il passaggio che collega la produzione in laboratorio ai dati di lotto e scadenza sulle etichette dei colli.</w:t>
      </w:r>
    </w:p>
    <w:p>
      <w:r>
        <w:rPr>
          <w:sz w:val="22"/>
        </w:rPr>
        <w:t>La presente procedura integra il Regolamento interno di Laboratorio (REG-LAB-01) e si applica a chi chiude la giornata di produzione.</w:t>
      </w:r>
    </w:p>
    <w:p>
      <w:r>
        <w:rPr>
          <w:b/>
          <w:color w:val="1F4E79"/>
          <w:sz w:val="26"/>
        </w:rPr>
        <w:t>1. Perché questo passaggio</w:t>
      </w:r>
    </w:p>
    <w:p>
      <w:r>
        <w:rPr>
          <w:sz w:val="22"/>
        </w:rPr>
        <w:t>Le etichette dei colli riportano lotto e scadenza del prodotto: un'informazione obbligatoria, non un dettaglio. Perché sia sempre quella corretta, il sistema deve prima sapere che il lotto del giorno è stato registrato. Questo passaggio oggi non è automatico: va fatto a mano, una volta al giorno.</w:t>
      </w:r>
    </w:p>
    <w:p>
      <w:r>
        <w:rPr>
          <w:b/>
          <w:color w:val="1F4E79"/>
          <w:sz w:val="26"/>
        </w:rPr>
        <w:t>2. Quando farlo</w:t>
      </w:r>
    </w:p>
    <w:p>
      <w:r>
        <w:rPr>
          <w:sz w:val="22"/>
        </w:rPr>
        <w:t>Una volta al giorno, a fine turno di produzione, dopo che l'ultimo lotto è stato registrato nel programma di magazzino (EasyFatt) e prima che inizi la stampa delle etichette dei colli. Non serve farlo più volte al giorno: il lotto è unico per ogni prodotto in ogni giornata, quindi un solo aggiornamento a fine giornata è sufficiente per tutti gli ordini di quel giorno.</w:t>
      </w:r>
    </w:p>
    <w:p>
      <w:r>
        <w:rPr>
          <w:b/>
          <w:color w:val="1F4E79"/>
          <w:sz w:val="26"/>
        </w:rPr>
        <w:t>3. Come farlo, in breve</w:t>
      </w:r>
    </w:p>
    <w:p>
      <w:pPr>
        <w:ind w:left="340"/>
      </w:pPr>
      <w:r>
        <w:rPr>
          <w:sz w:val="22"/>
        </w:rPr>
        <w:t>1. Verificare che l'ultimo lotto del giorno sia stato registrato in EasyFatt.</w:t>
      </w:r>
    </w:p>
    <w:p>
      <w:pPr>
        <w:ind w:left="340"/>
      </w:pPr>
      <w:r>
        <w:rPr>
          <w:sz w:val="22"/>
        </w:rPr>
        <w:t>2. Lanciare l'aggiornamento verso il sistema BI (il comando già in uso per aggiornare i dati).</w:t>
      </w:r>
    </w:p>
    <w:p>
      <w:pPr>
        <w:ind w:left="340"/>
      </w:pPr>
      <w:r>
        <w:rPr>
          <w:sz w:val="22"/>
        </w:rPr>
        <w:t>3. Attendere il completamento prima di autorizzare la stampa delle etichette dei colli di quel giorno.</w:t>
      </w:r>
    </w:p>
    <w:p>
      <w:r>
        <w:rPr>
          <w:b/>
          <w:color w:val="1F4E79"/>
          <w:sz w:val="26"/>
        </w:rPr>
        <w:t>4. Cosa succede se questo passaggio viene saltato</w:t>
      </w:r>
    </w:p>
    <w:p>
      <w:r>
        <w:rPr>
          <w:sz w:val="22"/>
        </w:rPr>
        <w:t>Le etichette stampate prima dell'aggiornamento possono riportare il lotto di un giorno precedente, oppure restare senza lotto. In entrambi i casi la tracciabilità del collo non è garantita: la stampa va rifatta dopo aver completato l'aggiornamento.</w:t>
      </w:r>
    </w:p>
    <w:p>
      <w:r>
        <w:rPr>
          <w:b/>
          <w:color w:val="1F4E79"/>
          <w:sz w:val="26"/>
        </w:rPr>
        <w:t>5. Cosa NON cambia</w:t>
      </w:r>
    </w:p>
    <w:p>
      <w:pPr>
        <w:ind w:left="340"/>
      </w:pPr>
      <w:r>
        <w:rPr>
          <w:sz w:val="22"/>
        </w:rPr>
        <w:t>• Il modo di produrre e di registrare i lotti in EasyFatt: identico a oggi.</w:t>
      </w:r>
    </w:p>
    <w:p>
      <w:pPr>
        <w:ind w:left="340"/>
      </w:pPr>
      <w:r>
        <w:rPr>
          <w:sz w:val="22"/>
        </w:rPr>
        <w:t>• L'aspetto e il formato delle etichette dei colli: cambia solo il momento in cui vanno stampate.</w:t>
      </w:r>
    </w:p>
    <w:p>
      <w:r>
        <w:rPr>
          <w:b/>
          <w:color w:val="1F4E79"/>
          <w:sz w:val="26"/>
        </w:rPr>
        <w:t>6. Responsabile del passaggio</w:t>
      </w:r>
    </w:p>
    <w:p>
      <w:r>
        <w:rPr>
          <w:sz w:val="22"/>
        </w:rPr>
        <w:t>Da assegnare in modo stabile a chi chiude la giornata in laboratorio. Fino alla nomina, il riferimento per qualsiasi dubbio è Marcello Vinci.</w:t>
      </w:r>
    </w:p>
    <w:p/>
    <w:p>
      <w:r>
        <w:rPr>
          <w:b/>
          <w:sz w:val="24"/>
        </w:rPr>
        <w:t>Documenti collegati</w:t>
      </w:r>
    </w:p>
    <w:p>
      <w:pPr>
        <w:ind w:left="340"/>
      </w:pPr>
      <w:r>
        <w:rPr>
          <w:sz w:val="22"/>
        </w:rPr>
        <w:t>• REG-LAB-01 — Regolamento interno di Laboratorio</w:t>
      </w:r>
    </w:p>
    <w:p/>
    <w:p>
      <w:r>
        <w:rPr>
          <w:b/>
          <w:sz w:val="24"/>
        </w:rPr>
        <w:t>Presa visione del personale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38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Nome e Cognome</w:t>
            </w:r>
          </w:p>
        </w:tc>
        <w:tc>
          <w:tcPr>
            <w:tcW w:type="dxa" w:w="1701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Firma</w:t>
            </w:r>
          </w:p>
        </w:tc>
      </w:tr>
      <w:tr>
        <w:tc>
          <w:tcPr>
            <w:tcW w:type="dxa" w:w="5386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386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386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386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386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386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386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p>
      <w:r>
        <w:br w:type="page"/>
      </w:r>
    </w:p>
    <w:p>
      <w:pPr>
        <w:jc w:val="left"/>
      </w:pPr>
      <w:r>
        <w:rPr>
          <w:sz w:val="22"/>
        </w:rPr>
        <w:t>Data ________________</w:t>
      </w:r>
      <w:r>
        <w:rPr>
          <w:sz w:val="22"/>
        </w:rPr>
        <w:t xml:space="preserve">                Marcello Vinci ____________________</w:t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PROC-LAB-04 · Rev. 00 · Pag. </w:t>
    </w:r>
    <w:r>
      <w:rPr>
        <w:color w:val="595959"/>
        <w:sz w:val="16"/>
      </w:rPr>
      <w:fldChar w:fldCharType="begin"/>
      <w:instrText xml:space="preserve">PAGE</w:instrText>
      <w:fldChar w:fldCharType="end"/>
    </w:r>
    <w:r>
      <w:rPr>
        <w:color w:val="595959"/>
        <w:sz w:val="16"/>
      </w:rPr>
      <w:t>/</w:t>
    </w:r>
    <w:r>
      <w:rPr>
        <w:color w:val="595959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