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8581" w14:textId="2D4F7EDC" w:rsidR="00C04FC2" w:rsidRDefault="00C04FC2" w:rsidP="00C04FC2">
      <w:r>
        <w:t>Plan4</w:t>
      </w:r>
      <w:r w:rsidR="00A4528F">
        <w:t>res</w:t>
      </w:r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electricity</w:t>
      </w:r>
      <w:proofErr w:type="spellEnd"/>
      <w:r>
        <w:t xml:space="preserve"> system optimisation and simulation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composed</w:t>
      </w:r>
      <w:proofErr w:type="spellEnd"/>
      <w:r>
        <w:t xml:space="preserve"> of the 3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 :</w:t>
      </w:r>
    </w:p>
    <w:p w14:paraId="60AB5178" w14:textId="77777777" w:rsidR="00C04FC2" w:rsidRDefault="00C04FC2" w:rsidP="00C04FC2">
      <w:pPr>
        <w:pStyle w:val="Paragraphedeliste"/>
        <w:numPr>
          <w:ilvl w:val="0"/>
          <w:numId w:val="3"/>
        </w:numPr>
        <w:spacing w:before="120" w:after="12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A Capacity expansion model (CEM) aimed at adapting the electricity mix,</w:t>
      </w:r>
    </w:p>
    <w:p w14:paraId="5D5A7EA9" w14:textId="77777777" w:rsidR="00C04FC2" w:rsidRDefault="00C04FC2" w:rsidP="00A4528F">
      <w:pPr>
        <w:pStyle w:val="Paragraphedeliste"/>
        <w:numPr>
          <w:ilvl w:val="0"/>
          <w:numId w:val="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A seasonal storage valuation model (SSV) aimed at optimizing the management of seasonal storages</w:t>
      </w:r>
    </w:p>
    <w:p w14:paraId="73BA0D02" w14:textId="6D195178" w:rsidR="00C04FC2" w:rsidRDefault="00C04FC2" w:rsidP="00A4528F">
      <w:pPr>
        <w:pStyle w:val="Paragraphedeliste"/>
        <w:numPr>
          <w:ilvl w:val="0"/>
          <w:numId w:val="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 xml:space="preserve">A </w:t>
      </w:r>
      <w:r w:rsidR="00B77086">
        <w:rPr>
          <w:lang w:val="en-US"/>
        </w:rPr>
        <w:t xml:space="preserve">simulation tool, based on a </w:t>
      </w:r>
      <w:r>
        <w:rPr>
          <w:lang w:val="en-US"/>
        </w:rPr>
        <w:t>Unit Commitment model (EUC), aimed at optimizing the short term operation of the system.</w:t>
      </w:r>
    </w:p>
    <w:p w14:paraId="4391E9FB" w14:textId="77777777" w:rsidR="00C04FC2" w:rsidRPr="00C96684" w:rsidRDefault="00C04FC2" w:rsidP="00C04FC2">
      <w:pPr>
        <w:pStyle w:val="Paragraphedeliste"/>
        <w:spacing w:after="0" w:line="240" w:lineRule="auto"/>
        <w:ind w:left="1434"/>
        <w:contextualSpacing w:val="0"/>
        <w:jc w:val="both"/>
        <w:rPr>
          <w:lang w:val="en-US"/>
        </w:rPr>
      </w:pPr>
    </w:p>
    <w:p w14:paraId="4FCA1D85" w14:textId="77777777" w:rsidR="00C04FC2" w:rsidRPr="009D3A7D" w:rsidRDefault="00C04FC2" w:rsidP="00C04FC2">
      <w:pPr>
        <w:spacing w:after="0"/>
        <w:rPr>
          <w:color w:val="2F5496"/>
          <w:sz w:val="32"/>
          <w:szCs w:val="32"/>
          <w:u w:val="single"/>
          <w:lang w:val="en-US" w:eastAsia="en-GB"/>
        </w:rPr>
      </w:pPr>
      <w:r w:rsidRPr="009D3A7D">
        <w:rPr>
          <w:b/>
          <w:lang w:val="en-US" w:eastAsia="en-GB"/>
        </w:rPr>
        <w:t>Those 3 models cannot be described independently as:</w:t>
      </w:r>
    </w:p>
    <w:p w14:paraId="562F4166" w14:textId="308A044D" w:rsidR="00C04FC2" w:rsidRDefault="00C04FC2" w:rsidP="00C04FC2">
      <w:pPr>
        <w:numPr>
          <w:ilvl w:val="0"/>
          <w:numId w:val="2"/>
        </w:numPr>
        <w:spacing w:before="120" w:after="120" w:line="240" w:lineRule="auto"/>
        <w:jc w:val="both"/>
      </w:pPr>
      <w:r>
        <w:t>The S</w:t>
      </w:r>
      <w:proofErr w:type="spellStart"/>
      <w:r>
        <w:t>easonal</w:t>
      </w:r>
      <w:proofErr w:type="spellEnd"/>
      <w:r>
        <w:t xml:space="preserve"> Storage Valuation Model </w:t>
      </w:r>
      <w:proofErr w:type="spellStart"/>
      <w:r>
        <w:t>itself</w:t>
      </w:r>
      <w:proofErr w:type="spellEnd"/>
      <w:r>
        <w:t xml:space="preserve"> uses the </w:t>
      </w:r>
      <w:proofErr w:type="spellStart"/>
      <w:r>
        <w:t>European</w:t>
      </w:r>
      <w:proofErr w:type="spellEnd"/>
      <w:r>
        <w:t xml:space="preserve"> Unit </w:t>
      </w:r>
      <w:proofErr w:type="spellStart"/>
      <w:r>
        <w:t>Commitment</w:t>
      </w:r>
      <w:proofErr w:type="spellEnd"/>
      <w:r>
        <w:t xml:space="preserve"> Model for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transition </w:t>
      </w:r>
      <w:proofErr w:type="spellStart"/>
      <w:r>
        <w:t>problem</w:t>
      </w:r>
      <w:proofErr w:type="spellEnd"/>
      <w:r>
        <w:t>.</w:t>
      </w:r>
    </w:p>
    <w:p w14:paraId="39D3BABD" w14:textId="619F8DD0" w:rsidR="00B77086" w:rsidRDefault="00B77086" w:rsidP="00B77086">
      <w:pPr>
        <w:numPr>
          <w:ilvl w:val="0"/>
          <w:numId w:val="2"/>
        </w:numPr>
        <w:spacing w:before="120" w:after="120" w:line="240" w:lineRule="auto"/>
        <w:jc w:val="both"/>
      </w:pPr>
      <w:r>
        <w:t xml:space="preserve">The </w:t>
      </w:r>
      <w:proofErr w:type="spellStart"/>
      <w:r>
        <w:t>Capacity</w:t>
      </w:r>
      <w:proofErr w:type="spellEnd"/>
      <w:r>
        <w:t xml:space="preserve"> Expansion Model uses </w:t>
      </w:r>
      <w:r>
        <w:t xml:space="preserve">the </w:t>
      </w:r>
      <w:r>
        <w:rPr>
          <w:lang w:val="en-US"/>
        </w:rPr>
        <w:t>Unit Commitment model</w:t>
      </w:r>
      <w:r>
        <w:rPr>
          <w:lang w:val="en-US"/>
        </w:rPr>
        <w:t xml:space="preserve"> alone, or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Storage Valuation Model </w:t>
      </w:r>
      <w:r>
        <w:t xml:space="preserve">(and the </w:t>
      </w:r>
      <w:r>
        <w:rPr>
          <w:lang w:val="en-US"/>
        </w:rPr>
        <w:t>Unit Commitment model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t xml:space="preserve">for the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</w:t>
      </w:r>
      <w:r>
        <w:t>n</w:t>
      </w:r>
      <w:proofErr w:type="spellEnd"/>
      <w:r>
        <w:t>.</w:t>
      </w:r>
    </w:p>
    <w:p w14:paraId="6DECBBC5" w14:textId="5ECCE066" w:rsidR="00C04FC2" w:rsidRDefault="00C04FC2" w:rsidP="00C04FC2">
      <w:r>
        <w:t xml:space="preserve">This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CEM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EUC, </w:t>
      </w:r>
      <w:r w:rsidR="00B77086">
        <w:t xml:space="preserve">or SSV and EUC, </w:t>
      </w:r>
      <w:r>
        <w:t xml:space="preserve">and SSV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EUC, </w:t>
      </w:r>
      <w:proofErr w:type="spellStart"/>
      <w:r>
        <w:t>while</w:t>
      </w:r>
      <w:proofErr w:type="spellEnd"/>
      <w:r>
        <w:t xml:space="preserve"> EUC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and SSV-EUC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CEM.</w:t>
      </w:r>
    </w:p>
    <w:p w14:paraId="2DEC6CFA" w14:textId="77777777" w:rsidR="00C04FC2" w:rsidRDefault="00C04FC2" w:rsidP="00C04FC2">
      <w:proofErr w:type="spellStart"/>
      <w:r>
        <w:t>Both</w:t>
      </w:r>
      <w:proofErr w:type="spellEnd"/>
      <w:r>
        <w:t xml:space="preserve"> 3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the exact </w:t>
      </w:r>
      <w:proofErr w:type="spellStart"/>
      <w:r>
        <w:t>same</w:t>
      </w:r>
      <w:proofErr w:type="spellEnd"/>
      <w:r>
        <w:t xml:space="preserve"> set of data.</w:t>
      </w:r>
    </w:p>
    <w:p w14:paraId="621D88C3" w14:textId="6076CC98" w:rsidR="00C04FC2" w:rsidRPr="00B77086" w:rsidRDefault="00C04FC2" w:rsidP="00B77086">
      <w:pPr>
        <w:pStyle w:val="Titre2"/>
      </w:pPr>
      <w:bookmarkStart w:id="0" w:name="_Toc39151506"/>
      <w:proofErr w:type="spellStart"/>
      <w:r w:rsidRPr="00B77086">
        <w:t>Capacity</w:t>
      </w:r>
      <w:proofErr w:type="spellEnd"/>
      <w:r w:rsidRPr="00B77086">
        <w:t xml:space="preserve"> Expansion Mode</w:t>
      </w:r>
      <w:bookmarkEnd w:id="0"/>
      <w:r w:rsidR="005A7F0F">
        <w:t>l</w:t>
      </w:r>
    </w:p>
    <w:p w14:paraId="221487CB" w14:textId="77777777" w:rsidR="00C04FC2" w:rsidRDefault="00C04FC2" w:rsidP="00C04FC2">
      <w:pPr>
        <w:rPr>
          <w:lang w:val="en-US" w:eastAsia="en-GB"/>
        </w:rPr>
      </w:pPr>
      <w:r>
        <w:rPr>
          <w:lang w:val="en-US" w:eastAsia="en-GB"/>
        </w:rPr>
        <w:t xml:space="preserve">The capacity expansion model is concerned with finding a (better) or ideally optimal set of assets including generation plants, interconnection capacities between clusters and distribution grid capacities, for the considered time horizon. Here optimal means, providing the least-cost set of assets, while accounting at best for the modelled constraints. </w:t>
      </w:r>
      <w:r>
        <w:rPr>
          <w:lang w:eastAsia="en-GB"/>
        </w:rPr>
        <w:tab/>
      </w:r>
    </w:p>
    <w:p w14:paraId="08AA4041" w14:textId="77777777" w:rsidR="00C04FC2" w:rsidRDefault="00C04FC2" w:rsidP="00C04FC2">
      <w:r>
        <w:t xml:space="preserve">The objective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to design the optimal </w:t>
      </w:r>
      <w:proofErr w:type="spellStart"/>
      <w:r>
        <w:t>generation</w:t>
      </w:r>
      <w:proofErr w:type="spellEnd"/>
      <w:r>
        <w:t xml:space="preserve"> mix </w:t>
      </w:r>
      <w:proofErr w:type="spellStart"/>
      <w:r>
        <w:t>with</w:t>
      </w:r>
      <w:proofErr w:type="spellEnd"/>
      <w:r>
        <w:t xml:space="preserve"> the optimal transmission and distribution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horizon (e.g. 2050). 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minimizing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: </w:t>
      </w:r>
    </w:p>
    <w:p w14:paraId="066FB85C" w14:textId="77777777" w:rsidR="00C04FC2" w:rsidRDefault="00C04FC2" w:rsidP="00C04FC2">
      <w:pPr>
        <w:jc w:val="center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min</m:t>
            </m:r>
          </m:e>
          <m:lim>
            <m:r>
              <w:rPr>
                <w:rFonts w:ascii="Cambria Math" w:hAnsi="Cambria Math"/>
              </w:rPr>
              <m:t>κ</m:t>
            </m:r>
          </m:lim>
        </m:limLow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capex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κ</m:t>
                </m:r>
              </m:e>
            </m:d>
            <m:r>
              <w:rPr>
                <w:rFonts w:ascii="Cambria Math" w:hAnsi="Cambria Math"/>
              </w:rPr>
              <m:t>+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η∈U</m:t>
                </m:r>
              </m:lim>
            </m:limLow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opex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κ,η</m:t>
                </m:r>
              </m:e>
            </m:d>
          </m:e>
        </m:d>
      </m:oMath>
      <w:r>
        <w:tab/>
        <w:t>(5)</w:t>
      </w:r>
    </w:p>
    <w:p w14:paraId="0700647D" w14:textId="77777777" w:rsidR="00C04FC2" w:rsidRDefault="00C04FC2" w:rsidP="00C04FC2">
      <w:pPr>
        <w:spacing w:beforeAutospacing="1" w:afterAutospacing="1"/>
      </w:pPr>
      <w:proofErr w:type="spellStart"/>
      <w:r>
        <w:t>Where</w:t>
      </w:r>
      <w:proofErr w:type="spellEnd"/>
      <w:r>
        <w:t>:</w:t>
      </w:r>
    </w:p>
    <w:p w14:paraId="351BB254" w14:textId="77777777" w:rsidR="00C04FC2" w:rsidRDefault="00C04FC2" w:rsidP="00C04FC2">
      <w:r>
        <w:t xml:space="preserve">(a) κ </w:t>
      </w:r>
      <w:proofErr w:type="spellStart"/>
      <w:r>
        <w:t>denotes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on </w:t>
      </w:r>
      <w:proofErr w:type="spellStart"/>
      <w:r>
        <w:t>generation</w:t>
      </w:r>
      <w:proofErr w:type="spellEnd"/>
      <w:r>
        <w:t xml:space="preserve"> technologies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of the network or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of the transmission or distribution </w:t>
      </w:r>
      <w:proofErr w:type="spellStart"/>
      <w:r>
        <w:t>grid</w:t>
      </w:r>
      <w:proofErr w:type="spellEnd"/>
      <w:r>
        <w:t>;</w:t>
      </w:r>
    </w:p>
    <w:p w14:paraId="02950CB9" w14:textId="77777777" w:rsidR="00C04FC2" w:rsidRDefault="00C04FC2" w:rsidP="00C04FC2">
      <w:r>
        <w:t xml:space="preserve">(b) U </w:t>
      </w:r>
      <w:proofErr w:type="spellStart"/>
      <w:r>
        <w:t>is</w:t>
      </w:r>
      <w:proofErr w:type="spellEnd"/>
      <w:r>
        <w:t xml:space="preserve"> the distinct and </w:t>
      </w:r>
      <w:proofErr w:type="spellStart"/>
      <w:r>
        <w:t>ﬁnite</w:t>
      </w:r>
      <w:proofErr w:type="spellEnd"/>
      <w:r>
        <w:t xml:space="preserve"> set of “</w:t>
      </w:r>
      <w:proofErr w:type="spellStart"/>
      <w:r>
        <w:t>meta</w:t>
      </w:r>
      <w:proofErr w:type="spellEnd"/>
      <w:r>
        <w:t xml:space="preserve">-scenarios” (e.g.,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climate</w:t>
      </w:r>
      <w:proofErr w:type="spellEnd"/>
      <w:r>
        <w:t xml:space="preserve">-change </w:t>
      </w:r>
      <w:proofErr w:type="spellStart"/>
      <w:r>
        <w:t>trajectory</w:t>
      </w:r>
      <w:proofErr w:type="spellEnd"/>
      <w:r>
        <w:t>);</w:t>
      </w:r>
    </w:p>
    <w:p w14:paraId="2B15BE45" w14:textId="77777777" w:rsidR="00C04FC2" w:rsidRDefault="00C04FC2" w:rsidP="00C04FC2">
      <w:r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capex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κ</m:t>
            </m:r>
          </m:e>
        </m:d>
      </m:oMath>
      <w:r>
        <w:t>denotes the annualized investment cost induced by installing the ca-pacity κ in the electrical system;</w:t>
      </w:r>
    </w:p>
    <w:p w14:paraId="7C312539" w14:textId="77777777" w:rsidR="00C04FC2" w:rsidRDefault="00C04FC2" w:rsidP="00C04FC2">
      <w:r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opex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κ,η</m:t>
            </m:r>
          </m:e>
        </m:d>
      </m:oMath>
      <w:r>
        <w:t xml:space="preserve"> denotes the expected operation cost of the system with the given installed capacity κ on the </w:t>
      </w:r>
      <w:proofErr w:type="spellStart"/>
      <w:r>
        <w:t>typical</w:t>
      </w:r>
      <w:proofErr w:type="spellEnd"/>
      <w:r>
        <w:t xml:space="preserve"> time horizon (for instance the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2050),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assumption</w:t>
      </w:r>
      <w:proofErr w:type="spellEnd"/>
      <w:r>
        <w:t xml:space="preserve"> of the </w:t>
      </w:r>
      <w:proofErr w:type="spellStart"/>
      <w:r>
        <w:t>meta</w:t>
      </w:r>
      <w:proofErr w:type="spellEnd"/>
      <w:r>
        <w:t>-scenario η.</w:t>
      </w:r>
    </w:p>
    <w:p w14:paraId="046DE97B" w14:textId="77777777" w:rsidR="00C04FC2" w:rsidRDefault="00C04FC2" w:rsidP="00C04FC2">
      <w:proofErr w:type="spellStart"/>
      <w:r>
        <w:t>Additionnal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 :</w:t>
      </w:r>
    </w:p>
    <w:p w14:paraId="07A2CB36" w14:textId="77777777" w:rsidR="00C04FC2" w:rsidRDefault="00C04FC2" w:rsidP="00C04FC2">
      <w:pPr>
        <w:pStyle w:val="Paragraphedeliste"/>
        <w:numPr>
          <w:ilvl w:val="0"/>
          <w:numId w:val="5"/>
        </w:numPr>
      </w:pPr>
      <w:proofErr w:type="spellStart"/>
      <w:r>
        <w:t>Each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able to </w:t>
      </w:r>
      <w:proofErr w:type="spellStart"/>
      <w:r>
        <w:t>produce</w:t>
      </w:r>
      <w:proofErr w:type="spellEnd"/>
      <w:r>
        <w:t xml:space="preserve"> the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demand</w:t>
      </w:r>
      <w:proofErr w:type="spellEnd"/>
    </w:p>
    <w:p w14:paraId="0B5A7A96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C77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For each </w:t>
      </w:r>
      <w:r>
        <w:rPr>
          <w:rFonts w:ascii="Times New Roman" w:hAnsi="Times New Roman" w:cs="Times New Roman"/>
          <w:sz w:val="20"/>
          <w:szCs w:val="20"/>
          <w:lang w:val="en-US"/>
        </w:rPr>
        <w:t>Region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91D872A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</w:p>
    <w:bookmarkStart w:id="1" w:name="_Hlk118112796"/>
    <w:bookmarkStart w:id="2" w:name="_Hlk118114746"/>
    <w:p w14:paraId="6CD71259" w14:textId="77777777" w:rsidR="00C04FC2" w:rsidRPr="009C77B3" w:rsidRDefault="00C04FC2" w:rsidP="00C04FC2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bSup>
            </m:e>
          </m:nary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1≤j≤37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0"/>
              <w:szCs w:val="20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t,j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</m:e>
          </m:nary>
        </m:oMath>
      </m:oMathPara>
      <w:bookmarkEnd w:id="1"/>
    </w:p>
    <w:bookmarkEnd w:id="2"/>
    <w:p w14:paraId="11E7D419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t,i∈Z 1≤j≤37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i,t,j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t,j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</m:e>
          </m:nary>
        </m:oMath>
      </m:oMathPara>
    </w:p>
    <w:p w14:paraId="05C08EFD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3A3376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D50E82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</m:oMath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 :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emand of </w:t>
      </w:r>
      <w:r>
        <w:rPr>
          <w:rFonts w:ascii="Times New Roman" w:hAnsi="Times New Roman" w:cs="Times New Roman"/>
          <w:sz w:val="20"/>
          <w:szCs w:val="20"/>
          <w:lang w:val="en-US"/>
        </w:rPr>
        <w:t>region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 Z, at 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 t for scenario j</w:t>
      </w:r>
    </w:p>
    <w:p w14:paraId="6E9A667E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i,t,j</m:t>
            </m:r>
          </m:sub>
        </m:sSub>
      </m:oMath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RES 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load factor of technology </w:t>
      </w:r>
      <w:proofErr w:type="spellStart"/>
      <w:r w:rsidRPr="009C77B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 at time t  for scenario j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0≤α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i,t,j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≤1</m:t>
        </m:r>
      </m:oMath>
    </w:p>
    <w:p w14:paraId="345AE4BD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i,t,j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max</m:t>
            </m:r>
          </m:sup>
        </m:sSubSup>
      </m:oMath>
      <w:r w:rsidRPr="009C77B3">
        <w:rPr>
          <w:rFonts w:ascii="Times New Roman" w:hAnsi="Times New Roman" w:cs="Times New Roman"/>
          <w:sz w:val="20"/>
          <w:szCs w:val="20"/>
        </w:rPr>
        <w:t xml:space="preserve"> : </w:t>
      </w:r>
      <w:r>
        <w:rPr>
          <w:rFonts w:ascii="Times New Roman" w:hAnsi="Times New Roman" w:cs="Times New Roman"/>
          <w:sz w:val="20"/>
          <w:szCs w:val="20"/>
        </w:rPr>
        <w:t xml:space="preserve">maximum power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technology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 , at time t, scenario j</w:t>
      </w:r>
    </w:p>
    <w:p w14:paraId="1E05EEF8" w14:textId="77777777" w:rsidR="00C04FC2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κ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 : number of units of techno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>
        <w:rPr>
          <w:rFonts w:ascii="Times New Roman" w:hAnsi="Times New Roman" w:cs="Times New Roman"/>
          <w:sz w:val="20"/>
          <w:szCs w:val="20"/>
          <w:lang w:val="en-US"/>
        </w:rPr>
        <w:t>region</w:t>
      </w:r>
      <w:r w:rsidRPr="009C77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z</w:t>
      </w:r>
    </w:p>
    <w:p w14:paraId="64AD5E6F" w14:textId="77777777" w:rsidR="00C04FC2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0CA6F5" w14:textId="77777777" w:rsidR="00C04FC2" w:rsidRDefault="00C04FC2" w:rsidP="00C04FC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Each region has to reach a target in terms of RES share (including hydro)</w:t>
      </w:r>
    </w:p>
    <w:bookmarkStart w:id="3" w:name="_Hlk118112888"/>
    <w:bookmarkStart w:id="4" w:name="_Hlk118114906"/>
    <w:p w14:paraId="026DEEA8" w14:textId="77777777" w:rsidR="00C04FC2" w:rsidRPr="006C0961" w:rsidRDefault="00C04FC2" w:rsidP="00C04FC2">
      <w:pPr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t,i∈ENR∩Z, 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i,t,j</m:t>
                  </m:r>
                </m:sub>
              </m:sSub>
            </m:e>
          </m:nary>
          <w:bookmarkEnd w:id="3"/>
          <m:r>
            <w:rPr>
              <w:rFonts w:ascii="Cambria Math" w:hAnsi="Cambria Math" w:cs="Times New Roman"/>
              <w:sz w:val="20"/>
              <w:szCs w:val="20"/>
            </w:rPr>
            <m:t>≥ρ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t,i∈Z,j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i,t,j</m:t>
                  </m:r>
                </m:sub>
              </m:sSub>
            </m:e>
          </m:nary>
        </m:oMath>
      </m:oMathPara>
    </w:p>
    <w:bookmarkEnd w:id="4"/>
    <w:p w14:paraId="4E695ADA" w14:textId="77777777" w:rsidR="00C04FC2" w:rsidRPr="006C0961" w:rsidRDefault="00C04FC2" w:rsidP="00C04FC2">
      <w:pPr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t,i∈ENR∩Z, 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i,t,j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</m:sSup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t,i∈Z,j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i,t,j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max</m:t>
                  </m:r>
                </m:sup>
              </m:sSubSup>
            </m:e>
          </m:nary>
        </m:oMath>
      </m:oMathPara>
    </w:p>
    <w:p w14:paraId="3ACF4367" w14:textId="77777777" w:rsidR="00C04FC2" w:rsidRPr="009C77B3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p>
      </m:oMath>
      <w:r w:rsidRPr="006C0961"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6C0961">
        <w:rPr>
          <w:rFonts w:ascii="Times New Roman" w:hAnsi="Times New Roman" w:cs="Times New Roman"/>
          <w:sz w:val="20"/>
          <w:szCs w:val="20"/>
          <w:lang w:val="en-US"/>
        </w:rPr>
        <w:t xml:space="preserve">share of Renewable energy for zone Z </w:t>
      </w:r>
      <w:r>
        <w:rPr>
          <w:rFonts w:ascii="Times New Roman" w:hAnsi="Times New Roman" w:cs="Times New Roman"/>
          <w:sz w:val="20"/>
          <w:szCs w:val="20"/>
          <w:lang w:val="en-US"/>
        </w:rPr>
        <w:t>with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0≤ρ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≤1</m:t>
        </m:r>
      </m:oMath>
    </w:p>
    <w:p w14:paraId="3C59879B" w14:textId="77777777" w:rsidR="00C04FC2" w:rsidRDefault="00C04FC2" w:rsidP="00C04FC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B42032" w14:textId="77777777" w:rsidR="00C04FC2" w:rsidRPr="00C13064" w:rsidRDefault="00C04FC2" w:rsidP="00C04FC2">
      <w:pPr>
        <w:rPr>
          <w:lang w:val="en-US"/>
        </w:rPr>
      </w:pPr>
      <w:r>
        <w:rPr>
          <w:lang w:val="en-US"/>
        </w:rPr>
        <w:t>The 2 constraints are not to be used together.</w:t>
      </w:r>
    </w:p>
    <w:p w14:paraId="064404AB" w14:textId="77777777" w:rsidR="00C04FC2" w:rsidRDefault="00C04FC2" w:rsidP="00B77086">
      <w:pPr>
        <w:pStyle w:val="Titre2"/>
      </w:pPr>
      <w:bookmarkStart w:id="5" w:name="_Toc39151507"/>
      <w:proofErr w:type="spellStart"/>
      <w:r>
        <w:t>Seasonal</w:t>
      </w:r>
      <w:proofErr w:type="spellEnd"/>
      <w:r>
        <w:t xml:space="preserve"> Storage Model</w:t>
      </w:r>
      <w:bookmarkEnd w:id="5"/>
      <w:r>
        <w:t xml:space="preserve"> </w:t>
      </w:r>
    </w:p>
    <w:p w14:paraId="7A73DA2D" w14:textId="77777777" w:rsidR="00C04FC2" w:rsidRDefault="00C04FC2" w:rsidP="00C04FC2">
      <w:r>
        <w:t xml:space="preserve">The </w:t>
      </w:r>
      <w:proofErr w:type="spellStart"/>
      <w:r>
        <w:t>Seasonal</w:t>
      </w:r>
      <w:proofErr w:type="spellEnd"/>
      <w:r>
        <w:t xml:space="preserve"> Storage Model solves a </w:t>
      </w:r>
      <w:proofErr w:type="spellStart"/>
      <w:r>
        <w:t>mid-term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mid-terms</w:t>
      </w:r>
      <w:proofErr w:type="spellEnd"/>
      <w:r>
        <w:t xml:space="preserve"> stands </w:t>
      </w:r>
      <w:proofErr w:type="spellStart"/>
      <w:r>
        <w:t>usually</w:t>
      </w:r>
      <w:proofErr w:type="spellEnd"/>
      <w:r>
        <w:t xml:space="preserve"> for </w:t>
      </w:r>
      <w:proofErr w:type="spellStart"/>
      <w:r>
        <w:t>annual</w:t>
      </w:r>
      <w:proofErr w:type="spellEnd"/>
      <w:r>
        <w:t xml:space="preserve">.  This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</w:t>
      </w:r>
      <w:proofErr w:type="spellStart"/>
      <w:r>
        <w:t>evaluating</w:t>
      </w:r>
      <w:proofErr w:type="spellEnd"/>
      <w:r>
        <w:t xml:space="preserve"> an approximation of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opex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κ,η</m:t>
            </m:r>
          </m:e>
        </m:d>
      </m:oMath>
      <w:r>
        <w:t xml:space="preserve">, for a given vector of installed capacity, κ, </w:t>
      </w:r>
      <w:proofErr w:type="spellStart"/>
      <w:r>
        <w:t>under</w:t>
      </w:r>
      <w:proofErr w:type="spellEnd"/>
      <w:r>
        <w:t xml:space="preserve"> the </w:t>
      </w:r>
      <w:proofErr w:type="spellStart"/>
      <w:r>
        <w:t>assumption</w:t>
      </w:r>
      <w:proofErr w:type="spellEnd"/>
      <w:r>
        <w:t xml:space="preserve"> of the </w:t>
      </w:r>
      <w:proofErr w:type="spellStart"/>
      <w:r>
        <w:t>meta</w:t>
      </w:r>
      <w:proofErr w:type="spellEnd"/>
      <w:r>
        <w:t xml:space="preserve">-scenario η. </w:t>
      </w:r>
    </w:p>
    <w:p w14:paraId="4985EA2E" w14:textId="77777777" w:rsidR="00C04FC2" w:rsidRDefault="00C04FC2" w:rsidP="00C04FC2">
      <w:r>
        <w:t xml:space="preserve">The </w:t>
      </w:r>
      <w:proofErr w:type="spellStart"/>
      <w:r>
        <w:t>mid-term</w:t>
      </w:r>
      <w:proofErr w:type="spellEnd"/>
      <w:r>
        <w:t xml:space="preserve"> horizon </w:t>
      </w:r>
      <w:proofErr w:type="spellStart"/>
      <w:r>
        <w:t>is</w:t>
      </w:r>
      <w:proofErr w:type="spellEnd"/>
      <w:r>
        <w:t xml:space="preserve"> a set of stages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(eg. weeks), subdividing the typical period (eg 1 year) on which operation costs are evaluated. Each stage is divided in time steps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(eg. </w:t>
      </w:r>
      <w:proofErr w:type="spellStart"/>
      <w:r>
        <w:t>Hours</w:t>
      </w:r>
      <w:proofErr w:type="spellEnd"/>
      <w:r>
        <w:t xml:space="preserve">). </w:t>
      </w:r>
    </w:p>
    <w:p w14:paraId="3175CE0A" w14:textId="77777777" w:rsidR="00C04FC2" w:rsidRDefault="00C04FC2" w:rsidP="00C04FC2"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inflows</w:t>
      </w:r>
      <w:proofErr w:type="spellEnd"/>
      <w:r>
        <w:t xml:space="preserve">,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outages</w:t>
      </w:r>
      <w:proofErr w:type="spellEnd"/>
      <w:r>
        <w:t xml:space="preserve"> or intermittent </w:t>
      </w:r>
      <w:proofErr w:type="spellStart"/>
      <w:r>
        <w:t>generation</w:t>
      </w:r>
      <w:proofErr w:type="spellEnd"/>
      <w:r>
        <w:t xml:space="preserve">) are </w:t>
      </w:r>
      <w:proofErr w:type="spellStart"/>
      <w:r>
        <w:t>impacting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made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the </w:t>
      </w:r>
      <w:proofErr w:type="spellStart"/>
      <w:r>
        <w:t>mid-term</w:t>
      </w:r>
      <w:proofErr w:type="spellEnd"/>
      <w:r>
        <w:t xml:space="preserve"> horizon,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 are </w:t>
      </w:r>
      <w:proofErr w:type="spellStart"/>
      <w:r>
        <w:t>progressively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and the </w:t>
      </w:r>
      <w:proofErr w:type="spellStart"/>
      <w:r>
        <w:t>forecasts</w:t>
      </w:r>
      <w:proofErr w:type="spellEnd"/>
      <w:r>
        <w:t xml:space="preserve"> are </w:t>
      </w:r>
      <w:proofErr w:type="spellStart"/>
      <w:r>
        <w:t>accordingly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the SSV model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multi-stage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at </w:t>
      </w:r>
      <w:proofErr w:type="spellStart"/>
      <w:r>
        <w:t>minimizing</w:t>
      </w:r>
      <w:proofErr w:type="spellEnd"/>
      <w:r>
        <w:t xml:space="preserve"> the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stage s:</w:t>
      </w:r>
    </w:p>
    <w:p w14:paraId="0F6E1B9E" w14:textId="77777777" w:rsidR="00C04FC2" w:rsidRDefault="00C04FC2" w:rsidP="00C04FC2">
      <w:pPr>
        <w:spacing w:beforeAutospacing="1" w:afterAutospacing="1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opex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κ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x∈X</m:t>
              </m:r>
            </m:lim>
          </m:limLow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opex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0E2648E7" w14:textId="77777777" w:rsidR="00C04FC2" w:rsidRDefault="00C04FC2" w:rsidP="00C04FC2">
      <w:proofErr w:type="spellStart"/>
      <w:r>
        <w:lastRenderedPageBreak/>
        <w:t>Where</w:t>
      </w:r>
      <w:proofErr w:type="spellEnd"/>
      <w:r>
        <w:t>:</w:t>
      </w:r>
    </w:p>
    <w:p w14:paraId="6DC78AD9" w14:textId="77777777" w:rsidR="00C04FC2" w:rsidRDefault="00C04FC2" w:rsidP="00C04FC2">
      <w:r>
        <w:t xml:space="preserve">• x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s∈S</m:t>
            </m:r>
          </m:sub>
        </m:sSub>
      </m:oMath>
      <w:r>
        <w:t xml:space="preserve"> is the sequence of operation decisions taken at the beginning of each stage. These decisions are supposed to be non-anticipative, in the sense that decisions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made at stage s should only depend on the past realizations of uncertainties.</w:t>
      </w:r>
    </w:p>
    <w:p w14:paraId="1B26AB3C" w14:textId="77777777" w:rsidR="00C04FC2" w:rsidRDefault="00C04FC2" w:rsidP="00C04FC2">
      <w:r>
        <w:t xml:space="preserve">X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feasible</w:t>
      </w:r>
      <w:proofErr w:type="spellEnd"/>
      <w:r>
        <w:t xml:space="preserve"> set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non-</w:t>
      </w:r>
      <w:proofErr w:type="spellStart"/>
      <w:r>
        <w:t>anticipativity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relating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to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emphasize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dynamical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(</w:t>
      </w:r>
      <w:proofErr w:type="spellStart"/>
      <w:r>
        <w:t>relating</w:t>
      </w:r>
      <w:proofErr w:type="spellEnd"/>
      <w:r>
        <w:t xml:space="preserve"> </w:t>
      </w:r>
      <w:proofErr w:type="spellStart"/>
      <w:r>
        <w:t>reservoir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stages, </w:t>
      </w:r>
      <w:proofErr w:type="spellStart"/>
      <w:r>
        <w:t>ramping</w:t>
      </w:r>
      <w:proofErr w:type="spellEnd"/>
      <w:r>
        <w:t xml:space="preserve"> rates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conditions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linking</w:t>
      </w:r>
      <w:proofErr w:type="spellEnd"/>
      <w:r>
        <w:t xml:space="preserve"> adjacent time </w:t>
      </w:r>
      <w:proofErr w:type="spellStart"/>
      <w:r>
        <w:t>steps</w:t>
      </w:r>
      <w:proofErr w:type="spellEnd"/>
      <w:r>
        <w:t xml:space="preserve">). This </w:t>
      </w:r>
      <w:proofErr w:type="spellStart"/>
      <w:r>
        <w:t>prevents</w:t>
      </w:r>
      <w:proofErr w:type="spellEnd"/>
      <w:r>
        <w:t xml:space="preserve"> 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stages.</w:t>
      </w:r>
    </w:p>
    <w:p w14:paraId="3583CEC6" w14:textId="77777777" w:rsidR="00C04FC2" w:rsidRDefault="00C04FC2" w:rsidP="00C04FC2">
      <w:r>
        <w:t xml:space="preserve">•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opex</m:t>
            </m:r>
          </m:sup>
        </m:sSubSup>
      </m:oMath>
      <w:r>
        <w:t>represents the operational cost on the stage s as a function of dec</w:t>
      </w:r>
      <w:proofErr w:type="spellStart"/>
      <w:r>
        <w:t>isions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. Notice that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opex</m:t>
            </m:r>
          </m:sup>
        </m:sSubSup>
      </m:oMath>
      <w:r>
        <w:t xml:space="preserve">depends implicitly on the installed capacity κ and on uncertainties revealed at stage s (demand, inﬂows, intermittent generation) so that the expectation appearing in (6) is related to the probability distribution of those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uncertainties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the expectation </w:t>
      </w:r>
      <w:proofErr w:type="spellStart"/>
      <w:r>
        <w:t>is</w:t>
      </w:r>
      <w:proofErr w:type="spellEnd"/>
      <w:r>
        <w:t xml:space="preserve"> not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over the set of </w:t>
      </w:r>
      <w:proofErr w:type="spellStart"/>
      <w:r>
        <w:t>meta</w:t>
      </w:r>
      <w:proofErr w:type="spellEnd"/>
      <w:r>
        <w:t xml:space="preserve">-scenarios U,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assumed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(</w:t>
      </w:r>
      <w:proofErr w:type="spellStart"/>
      <w:r>
        <w:t>probability</w:t>
      </w:r>
      <w:proofErr w:type="spellEnd"/>
      <w:r>
        <w:t xml:space="preserve">) distribution: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plausible futures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hedge</w:t>
      </w:r>
      <w:proofErr w:type="spellEnd"/>
      <w:r>
        <w:t xml:space="preserve">, but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distribution.</w:t>
      </w:r>
    </w:p>
    <w:p w14:paraId="1CA061B1" w14:textId="77777777" w:rsidR="00C04FC2" w:rsidRDefault="00C04FC2" w:rsidP="00C04FC2">
      <w:r>
        <w:t xml:space="preserve">This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by time </w:t>
      </w:r>
      <w:proofErr w:type="spellStart"/>
      <w:r>
        <w:t>decomposition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At </w:t>
      </w:r>
      <w:proofErr w:type="spellStart"/>
      <w:r>
        <w:t>each</w:t>
      </w:r>
      <w:proofErr w:type="spellEnd"/>
      <w:r>
        <w:t xml:space="preserve"> stage s, a transition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,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stage 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opex</m:t>
            </m:r>
          </m:sup>
        </m:sSubSup>
      </m:oMath>
      <w:r>
        <w:t xml:space="preserve"> and the cost-to go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the minimum future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The transition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by the EUC Model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>).</w:t>
      </w:r>
    </w:p>
    <w:p w14:paraId="4FD07C05" w14:textId="2C31E7C6" w:rsidR="00C04FC2" w:rsidRDefault="00B77086" w:rsidP="00B77086">
      <w:pPr>
        <w:pStyle w:val="Titre2"/>
      </w:pPr>
      <w:r>
        <w:t>Simulation</w:t>
      </w:r>
    </w:p>
    <w:p w14:paraId="0C32B8EA" w14:textId="77777777" w:rsidR="00C04FC2" w:rsidRDefault="00C04FC2" w:rsidP="00C04FC2">
      <w:pPr>
        <w:spacing w:beforeAutospacing="1" w:afterAutospacing="1"/>
      </w:pPr>
      <w:r>
        <w:t xml:space="preserve">The </w:t>
      </w:r>
      <w:proofErr w:type="spellStart"/>
      <w:r>
        <w:t>European</w:t>
      </w:r>
      <w:proofErr w:type="spellEnd"/>
      <w:r>
        <w:t xml:space="preserve"> unit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(EUC) solves the short-</w:t>
      </w:r>
      <w:proofErr w:type="spellStart"/>
      <w:r>
        <w:t>term</w:t>
      </w:r>
      <w:proofErr w:type="spellEnd"/>
      <w:r>
        <w:t xml:space="preserve"> horizon </w:t>
      </w:r>
      <w:proofErr w:type="spellStart"/>
      <w:r>
        <w:t>problem</w:t>
      </w:r>
      <w:proofErr w:type="spellEnd"/>
      <w:r>
        <w:t xml:space="preserve"> (short-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or </w:t>
      </w:r>
      <w:proofErr w:type="spellStart"/>
      <w:r>
        <w:t>weekly</w:t>
      </w:r>
      <w:proofErr w:type="spellEnd"/>
      <w:r>
        <w:t xml:space="preserve">),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are </w:t>
      </w:r>
      <w:proofErr w:type="spellStart"/>
      <w:r>
        <w:t>provided</w:t>
      </w:r>
      <w:proofErr w:type="spellEnd"/>
      <w:r>
        <w:t xml:space="preserve"> at one stage s </w:t>
      </w:r>
      <w:r>
        <w:rPr>
          <w:rFonts w:ascii="Cambria Math" w:hAnsi="Cambria Math" w:cs="Cambria Math"/>
        </w:rPr>
        <w:t>∈</w:t>
      </w:r>
      <w:r>
        <w:t xml:space="preserve"> S, in a </w:t>
      </w:r>
      <w:proofErr w:type="spellStart"/>
      <w:r>
        <w:t>deterministic</w:t>
      </w:r>
      <w:proofErr w:type="spellEnd"/>
      <w:r>
        <w:t xml:space="preserve"> setting,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the “value”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can </w:t>
      </w:r>
      <w:proofErr w:type="spellStart"/>
      <w:r>
        <w:t>bring</w:t>
      </w:r>
      <w:proofErr w:type="spellEnd"/>
      <w:r>
        <w:t xml:space="preserve"> to the system via the </w:t>
      </w:r>
      <w:proofErr w:type="spellStart"/>
      <w:r>
        <w:t>cost</w:t>
      </w:r>
      <w:proofErr w:type="spellEnd"/>
      <w:r>
        <w:t xml:space="preserve">-to-go </w:t>
      </w:r>
      <w:proofErr w:type="spellStart"/>
      <w:r>
        <w:t>function</w:t>
      </w:r>
      <w:proofErr w:type="spellEnd"/>
      <w:r>
        <w:t xml:space="preserve">. The EUC </w:t>
      </w:r>
      <w:proofErr w:type="spellStart"/>
      <w:r>
        <w:t>occurs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10ECAE78" w14:textId="77777777" w:rsidR="00C04FC2" w:rsidRDefault="00C04FC2" w:rsidP="00C04FC2">
      <w:pPr>
        <w:spacing w:beforeAutospacing="1" w:afterAutospacing="1"/>
      </w:pPr>
      <w:r>
        <w:t xml:space="preserve">(a) The EUC </w:t>
      </w:r>
      <w:proofErr w:type="spellStart"/>
      <w:r>
        <w:t>optimization</w:t>
      </w:r>
      <w:proofErr w:type="spellEnd"/>
      <w:r>
        <w:t xml:space="preserve"> mode solves the transition </w:t>
      </w:r>
      <w:proofErr w:type="spellStart"/>
      <w:r>
        <w:t>problem</w:t>
      </w:r>
      <w:proofErr w:type="spellEnd"/>
      <w:r>
        <w:t xml:space="preserve"> of SSV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convexification</w:t>
      </w:r>
      <w:proofErr w:type="spellEnd"/>
      <w:r>
        <w:t xml:space="preserve"> of the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In </w:t>
      </w:r>
      <w:proofErr w:type="spellStart"/>
      <w:r>
        <w:t>fact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cutting</w:t>
      </w:r>
      <w:proofErr w:type="spellEnd"/>
      <w:r>
        <w:t xml:space="preserve"> plane approximations of cost-2-go </w:t>
      </w:r>
      <w:proofErr w:type="spellStart"/>
      <w:r>
        <w:t>functions</w:t>
      </w:r>
      <w:proofErr w:type="spellEnd"/>
      <w:r>
        <w:t xml:space="preserve">. Notice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infeasible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non-</w:t>
      </w:r>
      <w:proofErr w:type="spellStart"/>
      <w:r>
        <w:t>convex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have been </w:t>
      </w:r>
      <w:proofErr w:type="spellStart"/>
      <w:r>
        <w:t>convexiﬁed</w:t>
      </w:r>
      <w:proofErr w:type="spellEnd"/>
      <w:r>
        <w:t xml:space="preserve">. The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EUC </w:t>
      </w:r>
      <w:proofErr w:type="spellStart"/>
      <w:r>
        <w:t>optimization</w:t>
      </w:r>
      <w:proofErr w:type="spellEnd"/>
      <w:r>
        <w:t xml:space="preserve"> mode </w:t>
      </w:r>
      <w:proofErr w:type="spellStart"/>
      <w:r>
        <w:t>should</w:t>
      </w:r>
      <w:proofErr w:type="spellEnd"/>
      <w:r>
        <w:t xml:space="preserve"> run </w:t>
      </w:r>
      <w:proofErr w:type="spellStart"/>
      <w:r>
        <w:t>reasonably</w:t>
      </w:r>
      <w:proofErr w:type="spellEnd"/>
      <w:r>
        <w:t xml:space="preserve"> fast.</w:t>
      </w:r>
    </w:p>
    <w:p w14:paraId="62EDF3AE" w14:textId="77777777" w:rsidR="00C04FC2" w:rsidRDefault="00C04FC2" w:rsidP="00C04FC2">
      <w:pPr>
        <w:spacing w:beforeAutospacing="1" w:afterAutospacing="1"/>
      </w:pPr>
      <w:r>
        <w:t xml:space="preserve">(b) The EUC simulation mode solves the transition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convexiﬁcation</w:t>
      </w:r>
      <w:proofErr w:type="spellEnd"/>
      <w:r>
        <w:t xml:space="preserve"> of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. This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dispatch, on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sub-period</w:t>
      </w:r>
      <w:proofErr w:type="spellEnd"/>
      <w:r>
        <w:t xml:space="preserve">. It uses the </w:t>
      </w:r>
      <w:proofErr w:type="spellStart"/>
      <w:r>
        <w:t>cutting</w:t>
      </w:r>
      <w:proofErr w:type="spellEnd"/>
      <w:r>
        <w:t xml:space="preserve"> plane approximations of the cost-2-go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SSV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the </w:t>
      </w:r>
      <w:proofErr w:type="spellStart"/>
      <w:r>
        <w:t>feasibility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. The </w:t>
      </w:r>
      <w:proofErr w:type="spellStart"/>
      <w:r>
        <w:t>computing</w:t>
      </w:r>
      <w:proofErr w:type="spellEnd"/>
      <w:r>
        <w:t xml:space="preserve"> time </w:t>
      </w:r>
      <w:proofErr w:type="spellStart"/>
      <w:r>
        <w:t>required</w:t>
      </w:r>
      <w:proofErr w:type="spellEnd"/>
      <w:r>
        <w:t xml:space="preserve"> to run the EUC simulation mode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signiﬁcantly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run the EUC </w:t>
      </w:r>
      <w:proofErr w:type="spellStart"/>
      <w:r>
        <w:t>optimization</w:t>
      </w:r>
      <w:proofErr w:type="spellEnd"/>
      <w:r>
        <w:t xml:space="preserve"> mode.</w:t>
      </w:r>
    </w:p>
    <w:p w14:paraId="5DAA3BFE" w14:textId="77777777" w:rsidR="00C04FC2" w:rsidRDefault="00C04FC2" w:rsidP="00C04FC2">
      <w:pPr>
        <w:spacing w:beforeAutospacing="1" w:afterAutospacing="1"/>
      </w:pPr>
      <w:proofErr w:type="spellStart"/>
      <w:r>
        <w:t>However</w:t>
      </w:r>
      <w:proofErr w:type="spellEnd"/>
      <w:r>
        <w:t xml:space="preserve">, in simulation mode,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κ and approximations of the </w:t>
      </w:r>
      <w:proofErr w:type="spellStart"/>
      <w:r>
        <w:t>cost</w:t>
      </w:r>
      <w:proofErr w:type="spellEnd"/>
      <w:r>
        <w:t xml:space="preserve">-to-go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ﬁxed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in total, </w:t>
      </w:r>
      <w:proofErr w:type="spellStart"/>
      <w:r>
        <w:t>likely</w:t>
      </w:r>
      <w:proofErr w:type="spellEnd"/>
      <w:r>
        <w:t xml:space="preserve">, the simulation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optimization</w:t>
      </w:r>
      <w:proofErr w:type="spellEnd"/>
      <w:r>
        <w:t xml:space="preserve"> mode.</w:t>
      </w:r>
    </w:p>
    <w:p w14:paraId="66CC5AAF" w14:textId="77777777" w:rsidR="00C04FC2" w:rsidRDefault="00C04FC2" w:rsidP="00C04FC2">
      <w:pPr>
        <w:spacing w:beforeAutospacing="1" w:afterAutospacing="1"/>
      </w:pPr>
      <w:r>
        <w:lastRenderedPageBreak/>
        <w:t xml:space="preserve">To </w:t>
      </w:r>
      <w:proofErr w:type="spellStart"/>
      <w:r>
        <w:t>compute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opex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κ</m:t>
            </m:r>
          </m:e>
        </m:d>
      </m:oMath>
      <w:r>
        <w:t xml:space="preserve"> post-optimization, it is more relevant to rely on feasible decisions and consequently to use the EUC simula</w:t>
      </w:r>
      <w:proofErr w:type="spellStart"/>
      <w:r>
        <w:t>tion</w:t>
      </w:r>
      <w:proofErr w:type="spellEnd"/>
      <w:r>
        <w:t xml:space="preserve"> mode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stage s </w:t>
      </w:r>
      <w:r>
        <w:rPr>
          <w:rFonts w:ascii="Cambria Math" w:hAnsi="Cambria Math" w:cs="Cambria Math"/>
        </w:rPr>
        <w:t>∈</w:t>
      </w:r>
      <w:r>
        <w:t xml:space="preserve"> S and </w:t>
      </w:r>
      <w:proofErr w:type="spellStart"/>
      <w:r>
        <w:t>averaged</w:t>
      </w:r>
      <w:proofErr w:type="spellEnd"/>
      <w:r>
        <w:t xml:space="preserve"> over Monte Carlo simulations of the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ξ. In </w:t>
      </w:r>
      <w:proofErr w:type="spellStart"/>
      <w:r>
        <w:t>this</w:t>
      </w:r>
      <w:proofErr w:type="spellEnd"/>
      <w:r>
        <w:t xml:space="preserve"> fashion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compute</w:t>
      </w:r>
      <w:proofErr w:type="spellEnd"/>
      <w:r>
        <w:t xml:space="preserve"> a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the </w:t>
      </w:r>
      <w:proofErr w:type="spellStart"/>
      <w:r>
        <w:t>actual</w:t>
      </w:r>
      <w:proofErr w:type="spellEnd"/>
      <w:r>
        <w:t xml:space="preserve"> optimal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for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κ.</w:t>
      </w:r>
    </w:p>
    <w:p w14:paraId="48BFDC7E" w14:textId="77777777" w:rsidR="00C04FC2" w:rsidRDefault="00C04FC2" w:rsidP="00C04FC2">
      <w:pPr>
        <w:rPr>
          <w:color w:val="000000" w:themeColor="text1"/>
          <w:spacing w:val="-1"/>
        </w:rPr>
      </w:pPr>
      <w:proofErr w:type="spellStart"/>
      <w:r>
        <w:rPr>
          <w:color w:val="000000" w:themeColor="text1"/>
          <w:spacing w:val="-1"/>
        </w:rPr>
        <w:t>Various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kinds</w:t>
      </w:r>
      <w:proofErr w:type="spellEnd"/>
      <w:r>
        <w:rPr>
          <w:color w:val="000000" w:themeColor="text1"/>
          <w:spacing w:val="-1"/>
        </w:rPr>
        <w:t xml:space="preserve"> of </w:t>
      </w:r>
      <w:proofErr w:type="spellStart"/>
      <w:r>
        <w:rPr>
          <w:color w:val="000000" w:themeColor="text1"/>
          <w:spacing w:val="-1"/>
        </w:rPr>
        <w:t>flexibilities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involving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both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generation</w:t>
      </w:r>
      <w:proofErr w:type="spellEnd"/>
      <w:r>
        <w:rPr>
          <w:color w:val="000000" w:themeColor="text1"/>
          <w:spacing w:val="-1"/>
        </w:rPr>
        <w:t xml:space="preserve">, </w:t>
      </w:r>
      <w:proofErr w:type="spellStart"/>
      <w:r>
        <w:rPr>
          <w:color w:val="000000" w:themeColor="text1"/>
          <w:spacing w:val="-1"/>
        </w:rPr>
        <w:t>storage</w:t>
      </w:r>
      <w:proofErr w:type="spellEnd"/>
      <w:r>
        <w:rPr>
          <w:color w:val="000000" w:themeColor="text1"/>
          <w:spacing w:val="-1"/>
        </w:rPr>
        <w:t xml:space="preserve"> and </w:t>
      </w:r>
      <w:proofErr w:type="spellStart"/>
      <w:r>
        <w:rPr>
          <w:color w:val="000000" w:themeColor="text1"/>
          <w:spacing w:val="-1"/>
        </w:rPr>
        <w:t>consumption</w:t>
      </w:r>
      <w:proofErr w:type="spellEnd"/>
      <w:r>
        <w:rPr>
          <w:color w:val="000000" w:themeColor="text1"/>
          <w:spacing w:val="-1"/>
        </w:rPr>
        <w:t xml:space="preserve"> are </w:t>
      </w:r>
      <w:proofErr w:type="spellStart"/>
      <w:r>
        <w:rPr>
          <w:color w:val="000000" w:themeColor="text1"/>
          <w:spacing w:val="-1"/>
        </w:rPr>
        <w:t>dealt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with</w:t>
      </w:r>
      <w:proofErr w:type="spellEnd"/>
      <w:r>
        <w:rPr>
          <w:color w:val="000000" w:themeColor="text1"/>
          <w:spacing w:val="-1"/>
        </w:rPr>
        <w:t>:</w:t>
      </w:r>
    </w:p>
    <w:p w14:paraId="037A9D5A" w14:textId="77777777" w:rsidR="00C04FC2" w:rsidRDefault="00C04FC2" w:rsidP="00C04FC2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Dynamic </w:t>
      </w:r>
      <w:proofErr w:type="spellStart"/>
      <w:r>
        <w:rPr>
          <w:color w:val="000000" w:themeColor="text1"/>
          <w:spacing w:val="-1"/>
        </w:rPr>
        <w:t>operation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constraints</w:t>
      </w:r>
      <w:proofErr w:type="spellEnd"/>
      <w:r>
        <w:rPr>
          <w:color w:val="000000" w:themeColor="text1"/>
          <w:spacing w:val="-1"/>
        </w:rPr>
        <w:t xml:space="preserve"> of power plants (</w:t>
      </w:r>
      <w:proofErr w:type="spellStart"/>
      <w:r>
        <w:rPr>
          <w:color w:val="000000" w:themeColor="text1"/>
          <w:spacing w:val="-1"/>
        </w:rPr>
        <w:t>ramping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constraints</w:t>
      </w:r>
      <w:proofErr w:type="spellEnd"/>
      <w:r>
        <w:rPr>
          <w:color w:val="000000" w:themeColor="text1"/>
          <w:spacing w:val="-1"/>
        </w:rPr>
        <w:t xml:space="preserve">, minimum </w:t>
      </w:r>
      <w:proofErr w:type="spellStart"/>
      <w:r>
        <w:rPr>
          <w:color w:val="000000" w:themeColor="text1"/>
          <w:spacing w:val="-1"/>
        </w:rPr>
        <w:t>shut</w:t>
      </w:r>
      <w:proofErr w:type="spellEnd"/>
      <w:r>
        <w:rPr>
          <w:color w:val="000000" w:themeColor="text1"/>
          <w:spacing w:val="-1"/>
        </w:rPr>
        <w:t>-down duration, …)</w:t>
      </w:r>
    </w:p>
    <w:p w14:paraId="11F3356E" w14:textId="77777777" w:rsidR="00C04FC2" w:rsidRDefault="00C04FC2" w:rsidP="00C04FC2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Dynamic </w:t>
      </w:r>
      <w:proofErr w:type="spellStart"/>
      <w:r>
        <w:rPr>
          <w:color w:val="000000" w:themeColor="text1"/>
          <w:spacing w:val="-1"/>
        </w:rPr>
        <w:t>operation</w:t>
      </w:r>
      <w:proofErr w:type="spellEnd"/>
      <w:r>
        <w:rPr>
          <w:color w:val="000000" w:themeColor="text1"/>
          <w:spacing w:val="-1"/>
        </w:rPr>
        <w:t xml:space="preserve"> of </w:t>
      </w:r>
      <w:proofErr w:type="spellStart"/>
      <w:r>
        <w:rPr>
          <w:color w:val="000000" w:themeColor="text1"/>
          <w:spacing w:val="-1"/>
        </w:rPr>
        <w:t>storage</w:t>
      </w:r>
      <w:proofErr w:type="spellEnd"/>
      <w:r>
        <w:rPr>
          <w:color w:val="000000" w:themeColor="text1"/>
          <w:spacing w:val="-1"/>
        </w:rPr>
        <w:t xml:space="preserve"> (</w:t>
      </w:r>
      <w:proofErr w:type="spellStart"/>
      <w:r>
        <w:rPr>
          <w:color w:val="000000" w:themeColor="text1"/>
          <w:spacing w:val="-1"/>
        </w:rPr>
        <w:t>including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battery</w:t>
      </w:r>
      <w:proofErr w:type="spellEnd"/>
      <w:r>
        <w:rPr>
          <w:color w:val="000000" w:themeColor="text1"/>
          <w:spacing w:val="-1"/>
        </w:rPr>
        <w:t xml:space="preserve">-like </w:t>
      </w:r>
      <w:proofErr w:type="spellStart"/>
      <w:r>
        <w:rPr>
          <w:color w:val="000000" w:themeColor="text1"/>
          <w:spacing w:val="-1"/>
        </w:rPr>
        <w:t>storages</w:t>
      </w:r>
      <w:proofErr w:type="spellEnd"/>
      <w:r>
        <w:rPr>
          <w:color w:val="000000" w:themeColor="text1"/>
          <w:spacing w:val="-1"/>
        </w:rPr>
        <w:t xml:space="preserve"> and </w:t>
      </w:r>
      <w:proofErr w:type="spellStart"/>
      <w:r>
        <w:rPr>
          <w:color w:val="000000" w:themeColor="text1"/>
          <w:spacing w:val="-1"/>
        </w:rPr>
        <w:t>complex</w:t>
      </w:r>
      <w:proofErr w:type="spellEnd"/>
      <w:r>
        <w:rPr>
          <w:color w:val="000000" w:themeColor="text1"/>
          <w:spacing w:val="-1"/>
        </w:rPr>
        <w:t xml:space="preserve"> hydro-</w:t>
      </w:r>
      <w:proofErr w:type="spellStart"/>
      <w:r>
        <w:rPr>
          <w:color w:val="000000" w:themeColor="text1"/>
          <w:spacing w:val="-1"/>
        </w:rPr>
        <w:t>valleys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modelling</w:t>
      </w:r>
      <w:proofErr w:type="spellEnd"/>
      <w:r>
        <w:rPr>
          <w:color w:val="000000" w:themeColor="text1"/>
          <w:spacing w:val="-1"/>
        </w:rPr>
        <w:t>)</w:t>
      </w:r>
    </w:p>
    <w:p w14:paraId="3A556520" w14:textId="77777777" w:rsidR="00C04FC2" w:rsidRDefault="00C04FC2" w:rsidP="00C04FC2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pacing w:val="-1"/>
        </w:rPr>
      </w:pPr>
      <w:proofErr w:type="spellStart"/>
      <w:r>
        <w:rPr>
          <w:color w:val="000000" w:themeColor="text1"/>
          <w:spacing w:val="-1"/>
        </w:rPr>
        <w:t>Demand-Response</w:t>
      </w:r>
      <w:proofErr w:type="spellEnd"/>
      <w:r>
        <w:rPr>
          <w:color w:val="000000" w:themeColor="text1"/>
          <w:spacing w:val="-1"/>
        </w:rPr>
        <w:t xml:space="preserve"> (</w:t>
      </w:r>
      <w:proofErr w:type="spellStart"/>
      <w:r>
        <w:rPr>
          <w:color w:val="000000" w:themeColor="text1"/>
          <w:spacing w:val="-1"/>
        </w:rPr>
        <w:t>including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eg</w:t>
      </w:r>
      <w:proofErr w:type="spellEnd"/>
      <w:r>
        <w:rPr>
          <w:color w:val="000000" w:themeColor="text1"/>
          <w:spacing w:val="-1"/>
        </w:rPr>
        <w:t xml:space="preserve">. </w:t>
      </w:r>
      <w:proofErr w:type="spellStart"/>
      <w:r>
        <w:rPr>
          <w:color w:val="000000" w:themeColor="text1"/>
          <w:spacing w:val="-1"/>
        </w:rPr>
        <w:t>household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dynamic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consumption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load-shifting</w:t>
      </w:r>
      <w:proofErr w:type="spellEnd"/>
      <w:r>
        <w:rPr>
          <w:color w:val="000000" w:themeColor="text1"/>
          <w:spacing w:val="-1"/>
        </w:rPr>
        <w:t xml:space="preserve"> or </w:t>
      </w:r>
      <w:proofErr w:type="spellStart"/>
      <w:r>
        <w:rPr>
          <w:color w:val="000000" w:themeColor="text1"/>
          <w:spacing w:val="-1"/>
        </w:rPr>
        <w:t>load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curtailment</w:t>
      </w:r>
      <w:proofErr w:type="spellEnd"/>
      <w:r>
        <w:rPr>
          <w:color w:val="000000" w:themeColor="text1"/>
          <w:spacing w:val="-1"/>
        </w:rPr>
        <w:t>)</w:t>
      </w:r>
    </w:p>
    <w:p w14:paraId="79153DE2" w14:textId="77777777" w:rsidR="00C04FC2" w:rsidRDefault="00C04FC2" w:rsidP="00C04FC2">
      <w:pPr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The EUC can </w:t>
      </w:r>
      <w:proofErr w:type="spellStart"/>
      <w:r>
        <w:rPr>
          <w:color w:val="000000" w:themeColor="text1"/>
          <w:spacing w:val="-1"/>
        </w:rPr>
        <w:t>also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account</w:t>
      </w:r>
      <w:proofErr w:type="spellEnd"/>
      <w:r>
        <w:rPr>
          <w:color w:val="000000" w:themeColor="text1"/>
          <w:spacing w:val="-1"/>
        </w:rPr>
        <w:t xml:space="preserve"> for </w:t>
      </w:r>
      <w:proofErr w:type="spellStart"/>
      <w:r>
        <w:rPr>
          <w:color w:val="000000" w:themeColor="text1"/>
          <w:spacing w:val="-1"/>
        </w:rPr>
        <w:t>both</w:t>
      </w:r>
      <w:proofErr w:type="spellEnd"/>
      <w:r>
        <w:rPr>
          <w:color w:val="000000" w:themeColor="text1"/>
          <w:spacing w:val="-1"/>
        </w:rPr>
        <w:t xml:space="preserve"> transmission and distribution networks:</w:t>
      </w:r>
    </w:p>
    <w:p w14:paraId="3EF40F52" w14:textId="77777777" w:rsidR="00C04FC2" w:rsidRDefault="00C04FC2" w:rsidP="00C04FC2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 xml:space="preserve">Transmission Network </w:t>
      </w:r>
      <w:proofErr w:type="spellStart"/>
      <w:r>
        <w:rPr>
          <w:color w:val="000000" w:themeColor="text1"/>
          <w:spacing w:val="-1"/>
        </w:rPr>
        <w:t>representation</w:t>
      </w:r>
      <w:proofErr w:type="spellEnd"/>
      <w:r>
        <w:rPr>
          <w:color w:val="000000" w:themeColor="text1"/>
          <w:spacing w:val="-1"/>
        </w:rPr>
        <w:t xml:space="preserve">: </w:t>
      </w:r>
      <w:proofErr w:type="spellStart"/>
      <w:r>
        <w:rPr>
          <w:color w:val="000000" w:themeColor="text1"/>
          <w:spacing w:val="-1"/>
        </w:rPr>
        <w:t>from</w:t>
      </w:r>
      <w:proofErr w:type="spellEnd"/>
      <w:r>
        <w:rPr>
          <w:color w:val="000000" w:themeColor="text1"/>
          <w:spacing w:val="-1"/>
        </w:rPr>
        <w:t xml:space="preserve"> a </w:t>
      </w:r>
      <w:proofErr w:type="spellStart"/>
      <w:r>
        <w:rPr>
          <w:color w:val="000000" w:themeColor="text1"/>
          <w:spacing w:val="-1"/>
        </w:rPr>
        <w:t>copper</w:t>
      </w:r>
      <w:proofErr w:type="spellEnd"/>
      <w:r>
        <w:rPr>
          <w:color w:val="000000" w:themeColor="text1"/>
          <w:spacing w:val="-1"/>
        </w:rPr>
        <w:t xml:space="preserve"> plate </w:t>
      </w:r>
      <w:proofErr w:type="spellStart"/>
      <w:r>
        <w:rPr>
          <w:color w:val="000000" w:themeColor="text1"/>
          <w:spacing w:val="-1"/>
        </w:rPr>
        <w:t>approach</w:t>
      </w:r>
      <w:proofErr w:type="spellEnd"/>
      <w:r>
        <w:rPr>
          <w:color w:val="000000" w:themeColor="text1"/>
          <w:spacing w:val="-1"/>
        </w:rPr>
        <w:t xml:space="preserve"> to a ‘</w:t>
      </w:r>
      <w:proofErr w:type="spellStart"/>
      <w:r>
        <w:rPr>
          <w:color w:val="000000" w:themeColor="text1"/>
          <w:spacing w:val="-1"/>
        </w:rPr>
        <w:t>clustered</w:t>
      </w:r>
      <w:proofErr w:type="spellEnd"/>
      <w:r>
        <w:rPr>
          <w:color w:val="000000" w:themeColor="text1"/>
          <w:spacing w:val="-1"/>
        </w:rPr>
        <w:t xml:space="preserve">’ </w:t>
      </w:r>
      <w:proofErr w:type="spellStart"/>
      <w:r>
        <w:rPr>
          <w:color w:val="000000" w:themeColor="text1"/>
          <w:spacing w:val="-1"/>
        </w:rPr>
        <w:t>approach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with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limited</w:t>
      </w:r>
      <w:proofErr w:type="spellEnd"/>
      <w:r>
        <w:rPr>
          <w:color w:val="000000" w:themeColor="text1"/>
          <w:spacing w:val="-1"/>
        </w:rPr>
        <w:t xml:space="preserve"> transport </w:t>
      </w:r>
      <w:proofErr w:type="spellStart"/>
      <w:r>
        <w:rPr>
          <w:color w:val="000000" w:themeColor="text1"/>
          <w:spacing w:val="-1"/>
        </w:rPr>
        <w:t>capacities</w:t>
      </w:r>
      <w:proofErr w:type="spellEnd"/>
      <w:r>
        <w:rPr>
          <w:color w:val="000000" w:themeColor="text1"/>
          <w:spacing w:val="-1"/>
        </w:rPr>
        <w:t>.</w:t>
      </w:r>
    </w:p>
    <w:p w14:paraId="33FC9F52" w14:textId="77777777" w:rsidR="00C04FC2" w:rsidRPr="00DB3887" w:rsidRDefault="00C04FC2" w:rsidP="00C04FC2">
      <w:pPr>
        <w:numPr>
          <w:ilvl w:val="0"/>
          <w:numId w:val="4"/>
        </w:numPr>
        <w:spacing w:after="0" w:line="240" w:lineRule="auto"/>
        <w:jc w:val="both"/>
        <w:rPr>
          <w:color w:val="000000" w:themeColor="text1"/>
          <w:spacing w:val="-1"/>
        </w:rPr>
      </w:pPr>
      <w:proofErr w:type="spellStart"/>
      <w:r>
        <w:rPr>
          <w:color w:val="000000" w:themeColor="text1"/>
          <w:spacing w:val="-1"/>
        </w:rPr>
        <w:t>Electricity</w:t>
      </w:r>
      <w:proofErr w:type="spellEnd"/>
      <w:r>
        <w:rPr>
          <w:color w:val="000000" w:themeColor="text1"/>
          <w:spacing w:val="-1"/>
        </w:rPr>
        <w:t xml:space="preserve"> distribution </w:t>
      </w:r>
      <w:proofErr w:type="spellStart"/>
      <w:r>
        <w:rPr>
          <w:color w:val="000000" w:themeColor="text1"/>
          <w:spacing w:val="-1"/>
        </w:rPr>
        <w:t>limited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capacities</w:t>
      </w:r>
      <w:proofErr w:type="spellEnd"/>
      <w:r>
        <w:rPr>
          <w:color w:val="000000" w:themeColor="text1"/>
          <w:spacing w:val="-1"/>
        </w:rPr>
        <w:t xml:space="preserve"> and </w:t>
      </w:r>
      <w:proofErr w:type="spellStart"/>
      <w:r>
        <w:rPr>
          <w:color w:val="000000" w:themeColor="text1"/>
          <w:spacing w:val="-1"/>
        </w:rPr>
        <w:t>reinforcement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>
        <w:rPr>
          <w:color w:val="000000" w:themeColor="text1"/>
          <w:spacing w:val="-1"/>
        </w:rPr>
        <w:t>costs</w:t>
      </w:r>
      <w:proofErr w:type="spellEnd"/>
    </w:p>
    <w:p w14:paraId="1CDFD9BC" w14:textId="11955AE5" w:rsidR="00AD22E5" w:rsidRDefault="00AD22E5"/>
    <w:p w14:paraId="29CCAD01" w14:textId="32F50BE9" w:rsidR="00B77086" w:rsidRDefault="00B77086">
      <w:r>
        <w:t xml:space="preserve">The simulation runs in </w:t>
      </w:r>
      <w:proofErr w:type="spellStart"/>
      <w:r>
        <w:t>sequence</w:t>
      </w:r>
      <w:proofErr w:type="spellEnd"/>
      <w:r>
        <w:t xml:space="preserve"> the EUC at all stages of the </w:t>
      </w:r>
      <w:proofErr w:type="spellStart"/>
      <w:r>
        <w:t>period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weeks</w:t>
      </w:r>
      <w:proofErr w:type="spellEnd"/>
      <w:r>
        <w:t>).</w:t>
      </w:r>
    </w:p>
    <w:sectPr w:rsidR="00B77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C1FB" w14:textId="77777777" w:rsidR="00EA66E2" w:rsidRDefault="00EA66E2" w:rsidP="00EA66E2">
      <w:pPr>
        <w:spacing w:after="0" w:line="240" w:lineRule="auto"/>
      </w:pPr>
      <w:r>
        <w:separator/>
      </w:r>
    </w:p>
  </w:endnote>
  <w:endnote w:type="continuationSeparator" w:id="0">
    <w:p w14:paraId="6E37203B" w14:textId="77777777" w:rsidR="00EA66E2" w:rsidRDefault="00EA66E2" w:rsidP="00EA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E5E0" w14:textId="77777777" w:rsidR="00EA66E2" w:rsidRDefault="00EA66E2" w:rsidP="00EA66E2">
      <w:pPr>
        <w:spacing w:after="0" w:line="240" w:lineRule="auto"/>
      </w:pPr>
      <w:r>
        <w:separator/>
      </w:r>
    </w:p>
  </w:footnote>
  <w:footnote w:type="continuationSeparator" w:id="0">
    <w:p w14:paraId="2C3C16A6" w14:textId="77777777" w:rsidR="00EA66E2" w:rsidRDefault="00EA66E2" w:rsidP="00EA6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14A6"/>
    <w:multiLevelType w:val="multilevel"/>
    <w:tmpl w:val="AF18A9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B06EA4"/>
    <w:multiLevelType w:val="hybridMultilevel"/>
    <w:tmpl w:val="42004556"/>
    <w:lvl w:ilvl="0" w:tplc="040C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33E7F"/>
    <w:multiLevelType w:val="hybridMultilevel"/>
    <w:tmpl w:val="CCE2A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245BA"/>
    <w:multiLevelType w:val="multilevel"/>
    <w:tmpl w:val="4176C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7E277A6"/>
    <w:multiLevelType w:val="multilevel"/>
    <w:tmpl w:val="D8748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04959330">
    <w:abstractNumId w:val="0"/>
  </w:num>
  <w:num w:numId="2" w16cid:durableId="1628467113">
    <w:abstractNumId w:val="3"/>
  </w:num>
  <w:num w:numId="3" w16cid:durableId="2077970488">
    <w:abstractNumId w:val="1"/>
  </w:num>
  <w:num w:numId="4" w16cid:durableId="862018749">
    <w:abstractNumId w:val="4"/>
  </w:num>
  <w:num w:numId="5" w16cid:durableId="1350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2"/>
    <w:rsid w:val="000D002C"/>
    <w:rsid w:val="002D3DBF"/>
    <w:rsid w:val="003C378D"/>
    <w:rsid w:val="00527EBB"/>
    <w:rsid w:val="005A7F0F"/>
    <w:rsid w:val="0080153E"/>
    <w:rsid w:val="00A4528F"/>
    <w:rsid w:val="00AD22E5"/>
    <w:rsid w:val="00B77086"/>
    <w:rsid w:val="00C04FC2"/>
    <w:rsid w:val="00EA66E2"/>
    <w:rsid w:val="00FD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A99E"/>
  <w15:chartTrackingRefBased/>
  <w15:docId w15:val="{F014071B-81C0-4309-92CD-B0251A54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FC2"/>
  </w:style>
  <w:style w:type="paragraph" w:styleId="Titre1">
    <w:name w:val="heading 1"/>
    <w:basedOn w:val="Normal"/>
    <w:next w:val="Normal"/>
    <w:link w:val="Titre1Car"/>
    <w:uiPriority w:val="9"/>
    <w:qFormat/>
    <w:rsid w:val="00C04F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086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4FC2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4FC2"/>
    <w:pPr>
      <w:keepNext/>
      <w:keepLines/>
      <w:numPr>
        <w:ilvl w:val="3"/>
        <w:numId w:val="1"/>
      </w:numPr>
      <w:spacing w:before="240" w:after="12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04F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4F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F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F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F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4FC2"/>
    <w:rPr>
      <w:rFonts w:asciiTheme="majorHAnsi" w:eastAsiaTheme="majorEastAsia" w:hAnsiTheme="majorHAnsi" w:cstheme="majorBidi"/>
      <w:b/>
      <w:bCs/>
      <w:color w:val="2F5496" w:themeColor="accent1" w:themeShade="BF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77086"/>
    <w:rPr>
      <w:rFonts w:asciiTheme="majorHAnsi" w:eastAsiaTheme="majorEastAsia" w:hAnsiTheme="majorHAnsi" w:cstheme="majorBidi"/>
      <w:b/>
      <w:bCs/>
      <w:color w:val="92D05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04FC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4FC2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04F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4F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04F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04F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04F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1338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CHAROUSSET Sandrine</dc:creator>
  <cp:keywords/>
  <dc:description/>
  <cp:lastModifiedBy>CHAROUSSET Sandrine</cp:lastModifiedBy>
  <cp:revision>5</cp:revision>
  <dcterms:created xsi:type="dcterms:W3CDTF">2023-06-13T16:21:00Z</dcterms:created>
  <dcterms:modified xsi:type="dcterms:W3CDTF">2023-06-14T16:42:00Z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2023-06-13T16:21:23Z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17c50799-0241-4137-9e6f-ef571b26e40c</vt:lpwstr>
  </property>
  <property fmtid="{D5CDD505-2E9C-101B-9397-08002B2CF9AE}" pid="8" name="MSIP_Label_2d26f538-337a-4593-a7e6-123667b1a538_ContentBits">
    <vt:lpwstr>0</vt:lpwstr>
  </property>
</Properties>
</file>