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color w:val="102C57"/>
          <w:sz w:val="32"/>
        </w:rPr>
        <w:t>PAKKUMUSE TEHNILINE KIRJELDUS JA KONTSEPTSIOON</w:t>
      </w:r>
    </w:p>
    <w:p>
      <w:pPr>
        <w:spacing w:after="280"/>
        <w:jc w:val="center"/>
      </w:pPr>
      <w:r>
        <w:rPr>
          <w:rFonts w:ascii="Arial" w:hAnsi="Arial"/>
          <w:i/>
          <w:color w:val="35598E"/>
          <w:sz w:val="20"/>
        </w:rPr>
        <w:t>Hange nr 313538: «Elektrienergia salvestusseadme ja päiksepargi laienduse terviklahenduse rajamine»</w:t>
        <w:br/>
        <w:t>Hankija: OÜ RÕNGU PAGAR | Teostus: «Võtmed kätte» ehitustöövõtt</w:t>
      </w:r>
    </w:p>
    <w:p>
      <w:pPr>
        <w:keepNext/>
        <w:spacing w:before="280" w:after="120"/>
      </w:pPr>
      <w:r>
        <w:rPr>
          <w:rFonts w:ascii="Arial" w:hAnsi="Arial"/>
          <w:b/>
          <w:color w:val="102C57"/>
          <w:sz w:val="28"/>
        </w:rPr>
        <w:t>1. HANKETINGIMUSTELE VASTAVUSE KINNITUSED (LISA 9 ALUSEL)</w:t>
      </w:r>
    </w:p>
    <w:p>
      <w:pPr>
        <w:spacing w:before="0" w:after="80" w:line="276" w:lineRule="auto"/>
      </w:pPr>
      <w:r>
        <w:rPr>
          <w:rFonts w:ascii="Arial" w:hAnsi="Arial"/>
          <w:color w:val="222222"/>
          <w:sz w:val="20"/>
        </w:rPr>
        <w:t>Pakkuja kinnitab täielikku ja tingimusteta vastavust kõigile riigihanke nr 313538 alusdokumentides ning «Lisa 9. Vastavustingimuste koondtabel» sätestatud nõuetele:</w:t>
      </w:r>
    </w:p>
    <w:p>
      <w:pPr>
        <w:pStyle w:val="ListBullet"/>
        <w:spacing w:before="0" w:after="60" w:line="276" w:lineRule="auto"/>
      </w:pPr>
      <w:r>
        <w:rPr>
          <w:rFonts w:ascii="Arial" w:hAnsi="Arial"/>
          <w:b/>
          <w:color w:val="222222"/>
          <w:sz w:val="20"/>
        </w:rPr>
        <w:t xml:space="preserve">1.1. Võtmed kätte terviklahendus: </w:t>
      </w:r>
      <w:r>
        <w:rPr>
          <w:rFonts w:ascii="Arial" w:hAnsi="Arial"/>
          <w:color w:val="222222"/>
          <w:sz w:val="20"/>
        </w:rPr>
        <w:t>Pakkuja teostab kõik projekteerimis-, tarne-, ehitus-, kaabli- ja liidestustööd «võtmed kätte» põhimõttel koos vajalike kooskõlastuste, katsetuste, ehitusteatise ja Kasutusteatise hankimisega.</w:t>
      </w:r>
    </w:p>
    <w:p>
      <w:pPr>
        <w:pStyle w:val="ListBullet"/>
        <w:spacing w:before="0" w:after="60" w:line="276" w:lineRule="auto"/>
      </w:pPr>
      <w:r>
        <w:rPr>
          <w:rFonts w:ascii="Arial" w:hAnsi="Arial"/>
          <w:b/>
          <w:color w:val="222222"/>
          <w:sz w:val="20"/>
        </w:rPr>
        <w:t xml:space="preserve">1.2. Hinnapakkumuse vormid: </w:t>
      </w:r>
      <w:r>
        <w:rPr>
          <w:rFonts w:ascii="Arial" w:hAnsi="Arial"/>
          <w:color w:val="222222"/>
          <w:sz w:val="20"/>
        </w:rPr>
        <w:t>Pakkumus sisaldab nõuetekohast tehnilist kirjeldust ning kohustuslikku PRIA hinnapakkumuse vormi (Lisa 7), mille struktuur on täielikult säilitatud.</w:t>
      </w:r>
    </w:p>
    <w:p>
      <w:pPr>
        <w:pStyle w:val="ListBullet"/>
        <w:spacing w:before="0" w:after="60" w:line="276" w:lineRule="auto"/>
      </w:pPr>
      <w:r>
        <w:rPr>
          <w:rFonts w:ascii="Arial" w:hAnsi="Arial"/>
          <w:b/>
          <w:color w:val="222222"/>
          <w:sz w:val="20"/>
        </w:rPr>
        <w:t xml:space="preserve">1.3. Fikseeritud koguhind: </w:t>
      </w:r>
      <w:r>
        <w:rPr>
          <w:rFonts w:ascii="Arial" w:hAnsi="Arial"/>
          <w:color w:val="222222"/>
          <w:sz w:val="20"/>
        </w:rPr>
        <w:t>Pakkuja esitab fikseeritud koguhinna eurodes ilma käibemaksuta. Koguhind hõlmab kõiki seadmeid, komponente, materjale, kaeved, kaableid, lubasid, seadistusi, mõõtmisi, koolitust, teostusjooniseid, 10-aastast BESS täisgarantiid ning nimetamata abimaterjale, mis on vajalikud süsteemi tõrgeteta toimimiseks.</w:t>
      </w:r>
    </w:p>
    <w:p>
      <w:pPr>
        <w:pStyle w:val="ListBullet"/>
        <w:spacing w:before="0" w:after="60" w:line="276" w:lineRule="auto"/>
      </w:pPr>
      <w:r>
        <w:rPr>
          <w:rFonts w:ascii="Arial" w:hAnsi="Arial"/>
          <w:b/>
          <w:color w:val="222222"/>
          <w:sz w:val="20"/>
        </w:rPr>
        <w:t xml:space="preserve">1.4. Kohustuslik objektiga tutvumine: </w:t>
      </w:r>
      <w:r>
        <w:rPr>
          <w:rFonts w:ascii="Arial" w:hAnsi="Arial"/>
          <w:color w:val="222222"/>
          <w:sz w:val="20"/>
        </w:rPr>
        <w:t>Pakkuja volitatud tehniline spetsialist on enne pakkumuse esitamist tutvunud hankelepingu täitmise asukohaga kohapeal vastavalt hankedokumendile «Lisa 11. Objektiga kohapealse tutvumise kord».</w:t>
      </w:r>
    </w:p>
    <w:p>
      <w:pPr>
        <w:pStyle w:val="ListBullet"/>
        <w:spacing w:before="0" w:after="60" w:line="276" w:lineRule="auto"/>
      </w:pPr>
      <w:r>
        <w:rPr>
          <w:rFonts w:ascii="Arial" w:hAnsi="Arial"/>
          <w:b/>
          <w:color w:val="222222"/>
          <w:sz w:val="20"/>
        </w:rPr>
        <w:t xml:space="preserve">1.5. Samalaadsed referentsid: </w:t>
      </w:r>
      <w:r>
        <w:rPr>
          <w:rFonts w:ascii="Arial" w:hAnsi="Arial"/>
          <w:color w:val="222222"/>
          <w:sz w:val="20"/>
        </w:rPr>
        <w:t>Pakkuja esitab pakkumuse koosseisus nõutud samalaadse kogemusega kvalifitseerimistingimusi täitvad referentsobjektid (Muraka OÜ / Estover: 4 x 233 kWh BESS + 4 x 80 kW inverterid; ESMAC Capital OÜ / Tervise Maailm: 300 kW PCS + 600 kWh BESS).</w:t>
      </w:r>
    </w:p>
    <w:p>
      <w:pPr>
        <w:pStyle w:val="ListBullet"/>
        <w:spacing w:before="0" w:after="60" w:line="276" w:lineRule="auto"/>
      </w:pPr>
      <w:r>
        <w:rPr>
          <w:rFonts w:ascii="Arial" w:hAnsi="Arial"/>
          <w:b/>
          <w:color w:val="222222"/>
          <w:sz w:val="20"/>
        </w:rPr>
        <w:t xml:space="preserve">1.6. Garantii ja varuosad (10 a BESS garantii hinnas): </w:t>
      </w:r>
      <w:r>
        <w:rPr>
          <w:rFonts w:ascii="Arial" w:hAnsi="Arial"/>
          <w:color w:val="222222"/>
          <w:sz w:val="20"/>
        </w:rPr>
        <w:t>Pakkuja tagab BESS akusalvestussüsteemile täieliku 10-aastase (120 kuud) garantii, mis SISALDUB PAKKUMUSE FIXEERITUD HINNAS (0 EUR lisatasu). Garantii hõlmab kõiki funktsionaalseid komponente: akumoodulid (LFP 314Ah), BMS, PCS inverterid, EMS juhtimistarkvara, vedelikjahutussüsteem, kahetasandiline tuleohutussüsteem ja STS kiirümberlüliti. Garantii jooksul on tagatud akude mahtuvuse säilivus ≥ 90% (2. aasta lõpus), ≥ 80% (5. aasta lõpus) ja ≥ 75% (10. aasta lõpus). Kogu ehitus- ja paigaldustöödele ning muudele seadmetele (PV paneelid, maaraamid, inverterid, kaablid) kehtib vähemalt 24-kuuline täielik garantii alates üleandmisest. PV paneelide tootegarantii on 12 aastat ja toodangugarantii 30 aastat. Orima maaraamide garantii on 20 aastat.</w:t>
      </w:r>
    </w:p>
    <w:p>
      <w:pPr>
        <w:pStyle w:val="ListBullet"/>
        <w:spacing w:before="0" w:after="60" w:line="276" w:lineRule="auto"/>
      </w:pPr>
      <w:r>
        <w:rPr>
          <w:rFonts w:ascii="Arial" w:hAnsi="Arial"/>
          <w:b/>
          <w:color w:val="222222"/>
          <w:sz w:val="20"/>
        </w:rPr>
        <w:t xml:space="preserve">1.7. Hooldus, tehniline- ja kaugtugi: </w:t>
      </w:r>
      <w:r>
        <w:rPr>
          <w:rFonts w:ascii="Arial" w:hAnsi="Arial"/>
          <w:color w:val="222222"/>
          <w:sz w:val="20"/>
        </w:rPr>
        <w:t>Pakkuja tagab garantiiperioodil süsteemi füüsilise ja digitaalse järelevalve, ennetava hoolduse ning tarkvara/firmware kaugdiagnostika ja uuendamise võimekuse. Tehnilise toe ja kaugdiagnostika alustamine kriitilise rikke korral toimub hiljemalt 24 tunni jooksul (tehnilise toe alustamine ≤ 4 tundi) ning mitte-kriitilise rikke korral hiljemalt 72 tunni jooksul vastavalt esitatud vormile Lisa 10. Hooldust teostavad ainult sertifitseeritud pädevusega spetsialistid.</w:t>
      </w:r>
    </w:p>
    <w:p>
      <w:pPr>
        <w:pStyle w:val="ListBullet"/>
        <w:spacing w:before="0" w:after="60" w:line="276" w:lineRule="auto"/>
      </w:pPr>
      <w:r>
        <w:rPr>
          <w:rFonts w:ascii="Arial" w:hAnsi="Arial"/>
          <w:b/>
          <w:color w:val="222222"/>
          <w:sz w:val="20"/>
        </w:rPr>
        <w:t xml:space="preserve">1.8. Varuosade tarneaeg: </w:t>
      </w:r>
      <w:r>
        <w:rPr>
          <w:rFonts w:ascii="Arial" w:hAnsi="Arial"/>
          <w:color w:val="222222"/>
          <w:sz w:val="20"/>
        </w:rPr>
        <w:t>Kriitilise rikke kõrvaldamiseks vajalike varuosade või komponentide tarneaeg Rõngu Pagari objektile on maksimaalselt 14 tööpäeva (kriitiliste kuluosade puhul kuni 3 tööpäeva) alates rikketeate saamisest.</w:t>
      </w:r>
    </w:p>
    <w:p>
      <w:pPr>
        <w:pStyle w:val="ListBullet"/>
        <w:spacing w:before="0" w:after="60" w:line="276" w:lineRule="auto"/>
      </w:pPr>
      <w:r>
        <w:rPr>
          <w:rFonts w:ascii="Arial" w:hAnsi="Arial"/>
          <w:b/>
          <w:color w:val="222222"/>
          <w:sz w:val="20"/>
        </w:rPr>
        <w:t xml:space="preserve">1.9. Maksegraafik ja vastuvõtmine: </w:t>
      </w:r>
      <w:r>
        <w:rPr>
          <w:rFonts w:ascii="Arial" w:hAnsi="Arial"/>
          <w:color w:val="222222"/>
          <w:sz w:val="20"/>
        </w:rPr>
        <w:t>Pakkuja aktsepteerib täielikult hankedokumentides sätestatud maksegraafikut (15% lepingu sõlmimisel, 35% seadmete tarnel objektile, 50% pärast paigaldust, seadistust, katsetusi, koolitust ja vastuvõtuakti) ning üleandmise tingimusi.</w:t>
      </w:r>
    </w:p>
    <w:p>
      <w:pPr>
        <w:pStyle w:val="ListBullet"/>
        <w:spacing w:before="0" w:after="60" w:line="276" w:lineRule="auto"/>
      </w:pPr>
      <w:r>
        <w:rPr>
          <w:rFonts w:ascii="Arial" w:hAnsi="Arial"/>
          <w:b/>
          <w:color w:val="222222"/>
          <w:sz w:val="20"/>
        </w:rPr>
        <w:t xml:space="preserve">1.10. Hankedokumentide siduvus: </w:t>
      </w:r>
      <w:r>
        <w:rPr>
          <w:rFonts w:ascii="Arial" w:hAnsi="Arial"/>
          <w:color w:val="222222"/>
          <w:sz w:val="20"/>
        </w:rPr>
        <w:t>Pakkuja kinnitab, et on tutvunud kõigi hankedokumentidega ning aktsepteerib neid tervikuna ilma reservatsioonideta.</w:t>
      </w:r>
    </w:p>
    <w:p>
      <w:pPr>
        <w:pStyle w:val="ListBullet"/>
        <w:spacing w:before="0" w:after="60" w:line="276" w:lineRule="auto"/>
      </w:pPr>
      <w:r>
        <w:rPr>
          <w:rFonts w:ascii="Arial" w:hAnsi="Arial"/>
          <w:b/>
          <w:color w:val="222222"/>
          <w:sz w:val="20"/>
        </w:rPr>
        <w:t xml:space="preserve">1.11. Pakkumuse kehtivusaeg: </w:t>
      </w:r>
      <w:r>
        <w:rPr>
          <w:rFonts w:ascii="Arial" w:hAnsi="Arial"/>
          <w:color w:val="222222"/>
          <w:sz w:val="20"/>
        </w:rPr>
        <w:t>Esitatud pakkumus on juriidiliselt siduv ja kehtiv vähemalt kuni 30.11.2026.</w:t>
      </w:r>
    </w:p>
    <w:p>
      <w:pPr>
        <w:keepNext/>
        <w:spacing w:before="280" w:after="120"/>
      </w:pPr>
      <w:r>
        <w:rPr>
          <w:rFonts w:ascii="Arial" w:hAnsi="Arial"/>
          <w:b/>
          <w:color w:val="102C57"/>
          <w:sz w:val="28"/>
        </w:rPr>
        <w:t>2. SAMALAADSED REFERENTSOBJEKTID (PV + BESS)</w:t>
      </w:r>
    </w:p>
    <w:p>
      <w:pPr>
        <w:pStyle w:val="ListBullet"/>
        <w:spacing w:before="0" w:after="60" w:line="276" w:lineRule="auto"/>
      </w:pPr>
      <w:r>
        <w:t>2.1. Referents 1 (Muraka OÜ / Estover): Tellija: Muraka OÜ (Estover kontsern, reg 10086889, info@estover.ee). Objekti asukoht: Järva vald. Teostusaeg: 2025. Parameetrid: PV 1 000 kWp, BESS 4x233=932 kWh (LiFePO4), PCS 4x80=320 kW, EMS peak shaving/saartalitlus. Roll: Peatöövõtja võtmed-kätte tööd. Leping täidetud nõuetekohaselt.</w:t>
      </w:r>
    </w:p>
    <w:p>
      <w:pPr>
        <w:pStyle w:val="ListBullet"/>
        <w:spacing w:before="0" w:after="60" w:line="276" w:lineRule="auto"/>
      </w:pPr>
      <w:r>
        <w:t>2.2. Referents 2 (ESMAC Capital OÜ / Tervise Maailm): Tellija: ESMAC Capital OÜ (Tervise Maailm, reg 10925232, info@esmac.ee). Objekti asukoht: Eesti. Teostusaeg: 2025. Parameetrid: PV 600 kWp, BESS 600 kWh (LiFePO4), PCS 300 kW, EMS peak shaving/saartalitlus. Roll: Peatöövõtja võtmed-kätte tööd. Leping täidetud nõuetekohaselt.</w:t>
      </w:r>
    </w:p>
    <w:p>
      <w:pPr>
        <w:keepNext/>
        <w:spacing w:before="280" w:after="120"/>
      </w:pPr>
      <w:r>
        <w:rPr>
          <w:rFonts w:ascii="Arial" w:hAnsi="Arial"/>
          <w:b/>
          <w:color w:val="102C57"/>
          <w:sz w:val="28"/>
        </w:rPr>
        <w:t>3. ÜLDOSA JA SÜSTEEMI TÖÖPÕHIMÕTTED</w:t>
      </w:r>
    </w:p>
    <w:p>
      <w:pPr>
        <w:spacing w:before="0" w:after="80" w:line="276" w:lineRule="auto"/>
      </w:pPr>
      <w:r>
        <w:rPr>
          <w:rFonts w:ascii="Arial" w:hAnsi="Arial"/>
          <w:color w:val="222222"/>
          <w:sz w:val="20"/>
        </w:rPr>
        <w:t>Käesolev pakkumus on koostatud vastavalt riigihanke nr 313538 alusdokumentidele ja Tehnilisele kirjeldusele (Lisa 6). Pakkuja tagab OÜ Rõngu Pagar tootmisterritooriumil (Pagari põik 12, Rõngu alevik) päikesepargi laienduse ja akusalvestussüsteemi projekteerimis- ja ehitustööd «võtmed kätte» põhimõttel.</w:t>
      </w:r>
    </w:p>
    <w:p>
      <w:pPr>
        <w:spacing w:before="0" w:after="80" w:line="276" w:lineRule="auto"/>
      </w:pPr>
      <w:r>
        <w:rPr>
          <w:rFonts w:ascii="Arial" w:hAnsi="Arial"/>
          <w:color w:val="222222"/>
          <w:sz w:val="20"/>
        </w:rPr>
        <w:t>Tarnitav lahendus integreeritakse täielikult olemasoleva elektripaigaldisega (liitumispunkt 800A, lubatud võrku andmine max 50 kW, olemasolev PEJ 510 kWp ning avariigeneraator CAT 550 kVA) ning see tagab süsteemi automaatse toimimise järgmistel režiimidel:</w:t>
      </w:r>
    </w:p>
    <w:p>
      <w:pPr>
        <w:keepNext/>
        <w:spacing w:before="200" w:after="80"/>
      </w:pPr>
      <w:r>
        <w:rPr>
          <w:rFonts w:ascii="Arial" w:hAnsi="Arial"/>
          <w:b/>
          <w:color w:val="35598E"/>
          <w:sz w:val="22"/>
        </w:rPr>
        <w:t>3.1. Võrgurežiim (On-Grid režiim):</w:t>
      </w:r>
    </w:p>
    <w:p>
      <w:pPr>
        <w:pStyle w:val="ListBullet"/>
        <w:spacing w:before="0" w:after="60" w:line="276" w:lineRule="auto"/>
      </w:pPr>
      <w:r>
        <w:rPr>
          <w:rFonts w:ascii="Arial" w:hAnsi="Arial"/>
          <w:b/>
          <w:color w:val="222222"/>
          <w:sz w:val="20"/>
        </w:rPr>
        <w:t xml:space="preserve">Energia optimeerimine ja Zero-Export: </w:t>
      </w:r>
      <w:r>
        <w:rPr>
          <w:rFonts w:ascii="Arial" w:hAnsi="Arial"/>
          <w:color w:val="222222"/>
          <w:sz w:val="20"/>
        </w:rPr>
        <w:t>Päikesepargi (PEJ) toodangu ülejäägi automaatne salvestamine akudesse, vältides tasuta võrku andmist ja hoides eksporti lubatud 50 kW piirides.</w:t>
      </w:r>
    </w:p>
    <w:p>
      <w:pPr>
        <w:pStyle w:val="ListBullet"/>
        <w:spacing w:before="0" w:after="60" w:line="276" w:lineRule="auto"/>
      </w:pPr>
      <w:r>
        <w:rPr>
          <w:rFonts w:ascii="Arial" w:hAnsi="Arial"/>
          <w:b/>
          <w:color w:val="222222"/>
          <w:sz w:val="20"/>
        </w:rPr>
        <w:t xml:space="preserve">Võrgust laadimine (Smart Charging): </w:t>
      </w:r>
      <w:r>
        <w:rPr>
          <w:rFonts w:ascii="Arial" w:hAnsi="Arial"/>
          <w:color w:val="222222"/>
          <w:sz w:val="20"/>
        </w:rPr>
        <w:t>Elektrienergia salvestamine akudesse võrgust madala või negatiivse börsihinna tundidel (Nord Pool spot hinnakõvera alusel).</w:t>
      </w:r>
    </w:p>
    <w:p>
      <w:pPr>
        <w:pStyle w:val="ListBullet"/>
        <w:spacing w:before="0" w:after="60" w:line="276" w:lineRule="auto"/>
      </w:pPr>
      <w:r>
        <w:rPr>
          <w:rFonts w:ascii="Arial" w:hAnsi="Arial"/>
          <w:b/>
          <w:color w:val="222222"/>
          <w:sz w:val="20"/>
        </w:rPr>
        <w:t xml:space="preserve">Tarbimise katmine (Peak Shaving): </w:t>
      </w:r>
      <w:r>
        <w:rPr>
          <w:rFonts w:ascii="Arial" w:hAnsi="Arial"/>
          <w:color w:val="222222"/>
          <w:sz w:val="20"/>
        </w:rPr>
        <w:t>Salvestatud energia kasutamine tootmise tarbimise katteks tipptundidel (Peak Shaving) või müügiks võrku kõrge börsihinna korral.</w:t>
      </w:r>
    </w:p>
    <w:p>
      <w:pPr>
        <w:pStyle w:val="ListBullet"/>
        <w:spacing w:before="0" w:after="60" w:line="276" w:lineRule="auto"/>
      </w:pPr>
      <w:r>
        <w:rPr>
          <w:rFonts w:ascii="Arial" w:hAnsi="Arial"/>
          <w:b/>
          <w:color w:val="222222"/>
          <w:sz w:val="20"/>
        </w:rPr>
        <w:t xml:space="preserve">Võimsuspiirangu juhtimine: </w:t>
      </w:r>
      <w:r>
        <w:rPr>
          <w:rFonts w:ascii="Arial" w:hAnsi="Arial"/>
          <w:color w:val="222222"/>
          <w:sz w:val="20"/>
        </w:rPr>
        <w:t>Akude kasutus tootmise võimsustippude tasandamiseks, kui tarbimine ületab võrgu läbilaskevõimet (800A).</w:t>
      </w:r>
    </w:p>
    <w:p>
      <w:pPr>
        <w:pStyle w:val="ListBullet"/>
        <w:spacing w:before="0" w:after="60" w:line="276" w:lineRule="auto"/>
      </w:pPr>
      <w:r>
        <w:rPr>
          <w:rFonts w:ascii="Arial" w:hAnsi="Arial"/>
          <w:b/>
          <w:color w:val="222222"/>
          <w:sz w:val="20"/>
        </w:rPr>
        <w:t xml:space="preserve">Sagedusturgudel osalemine: </w:t>
      </w:r>
      <w:r>
        <w:rPr>
          <w:rFonts w:ascii="Arial" w:hAnsi="Arial"/>
          <w:color w:val="222222"/>
          <w:sz w:val="20"/>
        </w:rPr>
        <w:t>Päikese- ja akupargi kasutus Eleringi sagedus- ja paindlikkusturgudel osalemiseks (FCR, aFRR, mFRR).</w:t>
      </w:r>
    </w:p>
    <w:p>
      <w:pPr>
        <w:keepNext/>
        <w:spacing w:before="200" w:after="80"/>
      </w:pPr>
      <w:r>
        <w:rPr>
          <w:rFonts w:ascii="Arial" w:hAnsi="Arial"/>
          <w:b/>
          <w:color w:val="35598E"/>
          <w:sz w:val="22"/>
        </w:rPr>
        <w:t>3.2. Saartalitlus ja avariitoide (Off-Grid / UPS režiim):</w:t>
      </w:r>
    </w:p>
    <w:p>
      <w:pPr>
        <w:pStyle w:val="ListBullet"/>
        <w:spacing w:before="0" w:after="60" w:line="276" w:lineRule="auto"/>
      </w:pPr>
      <w:r>
        <w:rPr>
          <w:rFonts w:ascii="Arial" w:hAnsi="Arial"/>
          <w:b/>
          <w:color w:val="222222"/>
          <w:sz w:val="20"/>
        </w:rPr>
        <w:t xml:space="preserve">Automaatne UPS-ümberlülitus (&lt; 20 ms): </w:t>
      </w:r>
      <w:r>
        <w:rPr>
          <w:rFonts w:ascii="Arial" w:hAnsi="Arial"/>
          <w:color w:val="222222"/>
          <w:sz w:val="20"/>
        </w:rPr>
        <w:t>Võrgutoite katkemisel teostab Hoymiles 8-in-1 STS ümberlüliti automaatse ja katkestuseta ümberlülituse akutoitele vähemalt 20 ms jooksul, tagades pagariäri küpsetusahjude ja tootmisliinide katkematu töö.</w:t>
      </w:r>
    </w:p>
    <w:p>
      <w:pPr>
        <w:pStyle w:val="ListBullet"/>
        <w:spacing w:before="0" w:after="60" w:line="276" w:lineRule="auto"/>
      </w:pPr>
      <w:r>
        <w:rPr>
          <w:rFonts w:ascii="Arial" w:hAnsi="Arial"/>
          <w:b/>
          <w:color w:val="222222"/>
          <w:sz w:val="20"/>
        </w:rPr>
        <w:t xml:space="preserve">Koormuse katmine kuni 1 MW: </w:t>
      </w:r>
      <w:r>
        <w:rPr>
          <w:rFonts w:ascii="Arial" w:hAnsi="Arial"/>
          <w:color w:val="222222"/>
          <w:sz w:val="20"/>
        </w:rPr>
        <w:t>BESS akupark ja PCS inverterid katavad vajadusel kogu tootmishoone tarbimskoormuse kuni 1 MW ulatuses.</w:t>
      </w:r>
    </w:p>
    <w:p>
      <w:pPr>
        <w:pStyle w:val="ListBullet"/>
        <w:spacing w:before="0" w:after="60" w:line="276" w:lineRule="auto"/>
      </w:pPr>
      <w:r>
        <w:rPr>
          <w:rFonts w:ascii="Arial" w:hAnsi="Arial"/>
          <w:b/>
          <w:color w:val="222222"/>
          <w:sz w:val="20"/>
        </w:rPr>
        <w:t xml:space="preserve">PEJ toodangu kasutus saartalitluses: </w:t>
      </w:r>
      <w:r>
        <w:rPr>
          <w:rFonts w:ascii="Arial" w:hAnsi="Arial"/>
          <w:color w:val="222222"/>
          <w:sz w:val="20"/>
        </w:rPr>
        <w:t>Saartalitluse ajal suunatakse päikesepargi toodang otse tootmise tarbimisse ja ülejääk salvestatakse akudesse.</w:t>
      </w:r>
    </w:p>
    <w:p>
      <w:pPr>
        <w:pStyle w:val="ListBullet"/>
        <w:spacing w:before="0" w:after="60" w:line="276" w:lineRule="auto"/>
      </w:pPr>
      <w:r>
        <w:rPr>
          <w:rFonts w:ascii="Arial" w:hAnsi="Arial"/>
          <w:b/>
          <w:color w:val="222222"/>
          <w:sz w:val="20"/>
        </w:rPr>
        <w:t xml:space="preserve">Generaatori CAT 550 kVA liidestus: </w:t>
      </w:r>
      <w:r>
        <w:rPr>
          <w:rFonts w:ascii="Arial" w:hAnsi="Arial"/>
          <w:color w:val="222222"/>
          <w:sz w:val="20"/>
        </w:rPr>
        <w:t>Pikaajalise katkestuse korral käivitatakse ja sünkroniseeritakse automaatselt olemasolev CAT 550 kVA avariigeneraator, moodustades hübriidse mikrovõrgu.</w:t>
      </w:r>
    </w:p>
    <w:p>
      <w:pPr>
        <w:pStyle w:val="ListBullet"/>
        <w:spacing w:before="0" w:after="60" w:line="276" w:lineRule="auto"/>
      </w:pPr>
      <w:r>
        <w:rPr>
          <w:rFonts w:ascii="Arial" w:hAnsi="Arial"/>
          <w:b/>
          <w:color w:val="222222"/>
          <w:sz w:val="20"/>
        </w:rPr>
        <w:t xml:space="preserve">Autonoomne lokaalne juhtimine: </w:t>
      </w:r>
      <w:r>
        <w:rPr>
          <w:rFonts w:ascii="Arial" w:hAnsi="Arial"/>
          <w:color w:val="222222"/>
          <w:sz w:val="20"/>
        </w:rPr>
        <w:t>Välise sideühenduse katkemisel toimib süsteem ette salvestatud lokaalse tarkvara põhimõtete kohaselt.</w:t>
      </w:r>
    </w:p>
    <w:p>
      <w:pPr>
        <w:keepNext/>
        <w:spacing w:before="280" w:after="120"/>
      </w:pPr>
      <w:r>
        <w:rPr>
          <w:rFonts w:ascii="Arial" w:hAnsi="Arial"/>
          <w:b/>
          <w:color w:val="102C57"/>
          <w:sz w:val="28"/>
        </w:rPr>
        <w:t>4. PAKUTAVA SEADMESTIKU TEHNILINE SPETSIFIKATSIOON</w:t>
      </w:r>
    </w:p>
    <w:p>
      <w:pPr>
        <w:keepNext/>
        <w:spacing w:before="200" w:after="80"/>
      </w:pPr>
      <w:r>
        <w:rPr>
          <w:rFonts w:ascii="Arial" w:hAnsi="Arial"/>
          <w:b/>
          <w:color w:val="35598E"/>
          <w:sz w:val="22"/>
        </w:rPr>
        <w:t>4.1. Akusalvestussüsteem (BESS) — Hoymiles HoyUltra 2000M</w:t>
      </w:r>
    </w:p>
    <w:p>
      <w:pPr>
        <w:pStyle w:val="ListBullet"/>
        <w:spacing w:before="0" w:after="60" w:line="276" w:lineRule="auto"/>
      </w:pPr>
      <w:r>
        <w:rPr>
          <w:rFonts w:ascii="Arial" w:hAnsi="Arial"/>
          <w:b/>
          <w:color w:val="222222"/>
          <w:sz w:val="20"/>
        </w:rPr>
        <w:t xml:space="preserve">Konteinerlahendus: </w:t>
      </w:r>
      <w:r>
        <w:rPr>
          <w:rFonts w:ascii="Arial" w:hAnsi="Arial"/>
          <w:color w:val="222222"/>
          <w:sz w:val="20"/>
        </w:rPr>
        <w:t>2 x Hoymiles HoyUltra 2000M Series (HESS-2610-2h) 20-jalast soojustatud C5-M IP55 ISO-konteinerit.</w:t>
      </w:r>
    </w:p>
    <w:p>
      <w:pPr>
        <w:pStyle w:val="ListBullet"/>
        <w:spacing w:before="0" w:after="60" w:line="276" w:lineRule="auto"/>
      </w:pPr>
      <w:r>
        <w:rPr>
          <w:rFonts w:ascii="Arial" w:hAnsi="Arial"/>
          <w:b/>
          <w:color w:val="222222"/>
          <w:sz w:val="20"/>
        </w:rPr>
        <w:t xml:space="preserve">Salvestusmaht: </w:t>
      </w:r>
      <w:r>
        <w:rPr>
          <w:rFonts w:ascii="Arial" w:hAnsi="Arial"/>
          <w:color w:val="222222"/>
          <w:sz w:val="20"/>
        </w:rPr>
        <w:t>Kasulik salvestusmaht 5 220 kWh DC (konfigureeritud liitumispunktis tagama vähemalt 5 000 kWh AC valmisolekut).</w:t>
      </w:r>
    </w:p>
    <w:p>
      <w:pPr>
        <w:pStyle w:val="ListBullet"/>
        <w:spacing w:before="0" w:after="60" w:line="276" w:lineRule="auto"/>
      </w:pPr>
      <w:r>
        <w:rPr>
          <w:rFonts w:ascii="Arial" w:hAnsi="Arial"/>
          <w:b/>
          <w:color w:val="222222"/>
          <w:sz w:val="20"/>
        </w:rPr>
        <w:t xml:space="preserve">Akutehnoloogia: </w:t>
      </w:r>
      <w:r>
        <w:rPr>
          <w:rFonts w:ascii="Arial" w:hAnsi="Arial"/>
          <w:color w:val="222222"/>
          <w:sz w:val="20"/>
        </w:rPr>
        <w:t>Vastupidavad LFP (LiFePO4) 314 Ah (3.2V) elemendid, mille tehaseressurss on vähemalt 8 000 täistsüklit.</w:t>
      </w:r>
    </w:p>
    <w:p>
      <w:pPr>
        <w:pStyle w:val="ListBullet"/>
        <w:spacing w:before="0" w:after="60" w:line="276" w:lineRule="auto"/>
      </w:pPr>
      <w:r>
        <w:rPr>
          <w:rFonts w:ascii="Arial" w:hAnsi="Arial"/>
          <w:b/>
          <w:color w:val="222222"/>
          <w:sz w:val="20"/>
        </w:rPr>
        <w:t xml:space="preserve">Akuinverterid (PCS): </w:t>
      </w:r>
      <w:r>
        <w:rPr>
          <w:rFonts w:ascii="Arial" w:hAnsi="Arial"/>
          <w:color w:val="222222"/>
          <w:sz w:val="20"/>
        </w:rPr>
        <w:t>Koguvõimsus 1 250 kW PCS (piiratud lokaalse juhtimisega võimsusele 1 000 kW AC vastavalt liitumistingimustele).</w:t>
      </w:r>
    </w:p>
    <w:p>
      <w:pPr>
        <w:pStyle w:val="ListBullet"/>
        <w:spacing w:before="0" w:after="60" w:line="276" w:lineRule="auto"/>
      </w:pPr>
      <w:r>
        <w:rPr>
          <w:rFonts w:ascii="Arial" w:hAnsi="Arial"/>
          <w:b/>
          <w:color w:val="222222"/>
          <w:sz w:val="20"/>
        </w:rPr>
        <w:t xml:space="preserve">Jahutussüsteem: </w:t>
      </w:r>
      <w:r>
        <w:rPr>
          <w:rFonts w:ascii="Arial" w:hAnsi="Arial"/>
          <w:color w:val="222222"/>
          <w:sz w:val="20"/>
        </w:rPr>
        <w:t>Aktiivne vedelikjahutus (Liquid Cooling) akumoodulitele ja PCS-ile, mis tagab optimaalse töötemperatuuri vahemikus -30°C kuni +55°C.</w:t>
      </w:r>
    </w:p>
    <w:p>
      <w:pPr>
        <w:pStyle w:val="ListBullet"/>
        <w:spacing w:before="0" w:after="60" w:line="276" w:lineRule="auto"/>
      </w:pPr>
      <w:r>
        <w:rPr>
          <w:rFonts w:ascii="Arial" w:hAnsi="Arial"/>
          <w:b/>
          <w:color w:val="222222"/>
          <w:sz w:val="20"/>
        </w:rPr>
        <w:t xml:space="preserve">Tuleohutus: </w:t>
      </w:r>
      <w:r>
        <w:rPr>
          <w:rFonts w:ascii="Arial" w:hAnsi="Arial"/>
          <w:color w:val="222222"/>
          <w:sz w:val="20"/>
        </w:rPr>
        <w:t>Integreeritud kahetasandiline automaatne tulekustutussüsteem (aerosool/gaas moodulitasemel + veepõhine tuletõrjeühendus).</w:t>
      </w:r>
    </w:p>
    <w:p>
      <w:pPr>
        <w:pStyle w:val="ListBullet"/>
        <w:spacing w:before="0" w:after="60" w:line="276" w:lineRule="auto"/>
      </w:pPr>
      <w:r>
        <w:rPr>
          <w:rFonts w:ascii="Arial" w:hAnsi="Arial"/>
          <w:b/>
          <w:color w:val="222222"/>
          <w:sz w:val="20"/>
        </w:rPr>
        <w:t xml:space="preserve">STS moodul: </w:t>
      </w:r>
      <w:r>
        <w:rPr>
          <w:rFonts w:ascii="Arial" w:hAnsi="Arial"/>
          <w:color w:val="222222"/>
          <w:sz w:val="20"/>
        </w:rPr>
        <w:t>Hoymiles 8-in-1 STS integreeritud kiirümberlülituskilp (&lt; 20 ms ümberlülitusaeg saartalitlusse).</w:t>
      </w:r>
    </w:p>
    <w:p>
      <w:pPr>
        <w:keepNext/>
        <w:spacing w:before="200" w:after="80"/>
      </w:pPr>
      <w:r>
        <w:rPr>
          <w:rFonts w:ascii="Arial" w:hAnsi="Arial"/>
          <w:b/>
          <w:color w:val="35598E"/>
          <w:sz w:val="22"/>
        </w:rPr>
        <w:t>4.2. Päikesepargi laiendus (PV) — 330 kW AC / 338 kWp DC</w:t>
      </w:r>
    </w:p>
    <w:p>
      <w:pPr>
        <w:pStyle w:val="ListBullet"/>
        <w:spacing w:before="0" w:after="60" w:line="276" w:lineRule="auto"/>
      </w:pPr>
      <w:r>
        <w:rPr>
          <w:rFonts w:ascii="Arial" w:hAnsi="Arial"/>
          <w:b/>
          <w:color w:val="222222"/>
          <w:sz w:val="20"/>
        </w:rPr>
        <w:t xml:space="preserve">Päikesepaneelid (JA Solar): </w:t>
      </w:r>
      <w:r>
        <w:rPr>
          <w:rFonts w:ascii="Arial" w:hAnsi="Arial"/>
          <w:color w:val="222222"/>
          <w:sz w:val="20"/>
        </w:rPr>
        <w:t>520 paneeli, mudel JA Solar JAM66D45 630-655 LB (650W N-type kahepoolsed Bifacial klaas-klaas paneelid). Koguvõimsus 338.0 kWp DC, efektiivsus 23.1%, Tier 1 tootja, garantii 12 a toode / 30 a toodang (säilivus ≥ 87.4%).</w:t>
      </w:r>
    </w:p>
    <w:p>
      <w:pPr>
        <w:pStyle w:val="ListBullet"/>
        <w:spacing w:before="0" w:after="60" w:line="276" w:lineRule="auto"/>
      </w:pPr>
      <w:r>
        <w:rPr>
          <w:rFonts w:ascii="Arial" w:hAnsi="Arial"/>
          <w:b/>
          <w:color w:val="222222"/>
          <w:sz w:val="20"/>
        </w:rPr>
        <w:t xml:space="preserve">Võrguinverterid (SolaX Power): </w:t>
      </w:r>
      <w:r>
        <w:rPr>
          <w:rFonts w:ascii="Arial" w:hAnsi="Arial"/>
          <w:color w:val="222222"/>
          <w:sz w:val="20"/>
        </w:rPr>
        <w:t>3 inverterit, mudel SolaX S6-GC110K (110 kW). Koguvõimsus 330.0 kW AC, Euro efektiivsus 98.3%, kaitseklass IP66, 10 MPPT-d, tüüp 2 liigpingepiirikud (DC/AC), kaarlahenduse kaitse (AFCI). Serverid Euroopas.</w:t>
      </w:r>
    </w:p>
    <w:p>
      <w:pPr>
        <w:pStyle w:val="ListBullet"/>
        <w:spacing w:before="0" w:after="60" w:line="276" w:lineRule="auto"/>
      </w:pPr>
      <w:r>
        <w:rPr>
          <w:rFonts w:ascii="Arial" w:hAnsi="Arial"/>
          <w:b/>
          <w:color w:val="222222"/>
          <w:sz w:val="20"/>
        </w:rPr>
        <w:t xml:space="preserve">Maaraamid (Orima Solar): </w:t>
      </w:r>
      <w:r>
        <w:rPr>
          <w:rFonts w:ascii="Arial" w:hAnsi="Arial"/>
          <w:color w:val="222222"/>
          <w:sz w:val="20"/>
        </w:rPr>
        <w:t>1 komplekt Orima Solar Beeta 340 kWp maapinda rammitavaid kuumtsingitud teraskonstruktsioone. Magnelis tsinkkate (korrosiooniklass C3+), vaade kagusse, kaldenurk 35°, kliirens 700 mm, tootjagarantii 20 aastat.</w:t>
      </w:r>
    </w:p>
    <w:p>
      <w:pPr>
        <w:keepNext/>
        <w:spacing w:before="280" w:after="120"/>
      </w:pPr>
      <w:r>
        <w:rPr>
          <w:rFonts w:ascii="Arial" w:hAnsi="Arial"/>
          <w:b/>
          <w:color w:val="102C57"/>
          <w:sz w:val="28"/>
        </w:rPr>
        <w:t>5. ELEKTRIÜHENDUSED, TRASSID JA JAOTUSKESKUSED</w:t>
      </w:r>
    </w:p>
    <w:p>
      <w:pPr>
        <w:pStyle w:val="ListBullet"/>
        <w:spacing w:before="0" w:after="60" w:line="276" w:lineRule="auto"/>
      </w:pPr>
      <w:r>
        <w:rPr>
          <w:rFonts w:ascii="Arial" w:hAnsi="Arial"/>
          <w:b/>
          <w:color w:val="222222"/>
          <w:sz w:val="20"/>
        </w:rPr>
        <w:t xml:space="preserve">5.1. Kaevetööd ja trassid: </w:t>
      </w:r>
      <w:r>
        <w:rPr>
          <w:rFonts w:ascii="Arial" w:hAnsi="Arial"/>
          <w:color w:val="222222"/>
          <w:sz w:val="20"/>
        </w:rPr>
        <w:t>Kaablikraavide kaevamine, liivaaluse rajamine, kaitsed ja pinnase taastamine: BESS trass ~20 m (alajaama kõrval), PV trass ~120 m.</w:t>
      </w:r>
    </w:p>
    <w:p>
      <w:pPr>
        <w:pStyle w:val="ListBullet"/>
        <w:spacing w:before="0" w:after="60" w:line="276" w:lineRule="auto"/>
      </w:pPr>
      <w:r>
        <w:rPr>
          <w:rFonts w:ascii="Arial" w:hAnsi="Arial"/>
          <w:b/>
          <w:color w:val="222222"/>
          <w:sz w:val="20"/>
        </w:rPr>
        <w:t xml:space="preserve">5.2. Kaablid ja liinid: </w:t>
      </w:r>
      <w:r>
        <w:rPr>
          <w:rFonts w:ascii="Arial" w:hAnsi="Arial"/>
          <w:color w:val="222222"/>
          <w:sz w:val="20"/>
        </w:rPr>
        <w:t>Jõukaablid AXMK 4G240 mm² kokku 340 m (BESS 4x20m=80m, PV 2x120m=240m, pingelang &lt;5%), DC kaablid SC 6 mm² (~900m) ja CAT6 sidekaablid.</w:t>
      </w:r>
    </w:p>
    <w:p>
      <w:pPr>
        <w:pStyle w:val="ListBullet"/>
        <w:spacing w:before="0" w:after="60" w:line="276" w:lineRule="auto"/>
      </w:pPr>
      <w:r>
        <w:rPr>
          <w:rFonts w:ascii="Arial" w:hAnsi="Arial"/>
          <w:b/>
          <w:color w:val="222222"/>
          <w:sz w:val="20"/>
        </w:rPr>
        <w:t xml:space="preserve">5.3. Kilbid ja maandus: </w:t>
      </w:r>
      <w:r>
        <w:rPr>
          <w:rFonts w:ascii="Arial" w:hAnsi="Arial"/>
          <w:color w:val="222222"/>
          <w:sz w:val="20"/>
        </w:rPr>
        <w:t>Päikesepargi väliskilp PJK-PV 630A, peajaotla ATS 1600A mootorümberlülitiga (Võrk/BESS/CAT 550 kVA generaator) ja vaskjuhtmega maanduspaigaldis (EVS-IEC 60364).</w:t>
      </w:r>
    </w:p>
    <w:p>
      <w:pPr>
        <w:keepNext/>
        <w:spacing w:before="280" w:after="120"/>
      </w:pPr>
      <w:r>
        <w:rPr>
          <w:rFonts w:ascii="Arial" w:hAnsi="Arial"/>
          <w:b/>
          <w:color w:val="102C57"/>
          <w:sz w:val="28"/>
        </w:rPr>
        <w:t>6. GARANTIITINGIMUSTE JA TEHNILISE TOE KOKKUVÕTE</w:t>
      </w:r>
    </w:p>
    <w:p>
      <w:pPr>
        <w:pStyle w:val="ListBullet"/>
        <w:spacing w:before="0" w:after="60" w:line="276" w:lineRule="auto"/>
      </w:pPr>
      <w:r>
        <w:rPr>
          <w:rFonts w:ascii="Arial" w:hAnsi="Arial"/>
          <w:b/>
          <w:color w:val="222222"/>
          <w:sz w:val="20"/>
        </w:rPr>
        <w:t xml:space="preserve">Põhigarantii (2 aastat): </w:t>
      </w:r>
      <w:r>
        <w:rPr>
          <w:rFonts w:ascii="Arial" w:hAnsi="Arial"/>
          <w:color w:val="222222"/>
          <w:sz w:val="20"/>
        </w:rPr>
        <w:t>24 kuud kogu ehitus- ja paigaldustöödele, süsteemi efektiivsusele ning tarnitud seadmetele alates üleandmise-vastuvõtmise akti allkirjastamisest. Garantiitööd, transport, ekspertiisid ja väljasõidud on Tellijale tasuta.</w:t>
      </w:r>
    </w:p>
    <w:p>
      <w:pPr>
        <w:pStyle w:val="ListBullet"/>
        <w:spacing w:before="0" w:after="60" w:line="276" w:lineRule="auto"/>
      </w:pPr>
      <w:r>
        <w:rPr>
          <w:rFonts w:ascii="Arial" w:hAnsi="Arial"/>
          <w:b/>
          <w:color w:val="222222"/>
          <w:sz w:val="20"/>
        </w:rPr>
        <w:t xml:space="preserve">Täielik BESS 10-aastane garantii (HINNAS): </w:t>
      </w:r>
      <w:r>
        <w:rPr>
          <w:rFonts w:ascii="Arial" w:hAnsi="Arial"/>
          <w:color w:val="222222"/>
          <w:sz w:val="20"/>
        </w:rPr>
        <w:t>Täielik BESS akusalvestussüsteemi 10-aastane (120 kuud) garantii SISALDUB PAKKUMUSE FIXEERITUD HINNAS (0 EUR lisatasu). Garantii hõlmab akumooduleid (LFP 314Ah), BMS-i, PCS-i, EMS-i, jahutust, tuleohutust ja STS-i.</w:t>
      </w:r>
    </w:p>
    <w:p>
      <w:pPr>
        <w:pStyle w:val="ListBullet"/>
        <w:spacing w:before="0" w:after="60" w:line="276" w:lineRule="auto"/>
      </w:pPr>
      <w:r>
        <w:rPr>
          <w:rFonts w:ascii="Arial" w:hAnsi="Arial"/>
          <w:b/>
          <w:color w:val="222222"/>
          <w:sz w:val="20"/>
        </w:rPr>
        <w:t xml:space="preserve">Akude mahtuvuse garantii (SoH): </w:t>
      </w:r>
      <w:r>
        <w:rPr>
          <w:rFonts w:ascii="Arial" w:hAnsi="Arial"/>
          <w:color w:val="222222"/>
          <w:sz w:val="20"/>
        </w:rPr>
        <w:t>Garantiiperioodil tagatud akude mahtuvuse säilivus ≥ 90% 24 kuu lõpus (mõõdetuna 0,25C tühjendusel 25 °C juures); ≥ 80% 5. aasta lõpus ning ≥ 75% 10. aasta lõpus (tehase ressurss 8 000 tsüklit).</w:t>
      </w:r>
    </w:p>
    <w:p>
      <w:pPr>
        <w:pStyle w:val="ListBullet"/>
        <w:spacing w:before="0" w:after="60" w:line="276" w:lineRule="auto"/>
      </w:pPr>
      <w:r>
        <w:rPr>
          <w:rFonts w:ascii="Arial" w:hAnsi="Arial"/>
          <w:b/>
          <w:color w:val="222222"/>
          <w:sz w:val="20"/>
        </w:rPr>
        <w:t xml:space="preserve">Reageerimisaeg ja varuosad: </w:t>
      </w:r>
      <w:r>
        <w:rPr>
          <w:rFonts w:ascii="Arial" w:hAnsi="Arial"/>
          <w:color w:val="222222"/>
          <w:sz w:val="20"/>
        </w:rPr>
        <w:t>Kriitilise rikke korral alustatakse kaugdiagnostikat ja tehnilist tuge hiljemalt 4 tunni jooksul ning kohapealset reageerimist hiljemalt 24 tunni jooksul. Mitte-kriitilise rikke korral reageerimine ≤ 72 tundi. Kriitiliste varuosade tarneaeg objektile on kuni 14 tööpäeva (kuluosad kuni 3 tööpäeva).</w:t>
      </w:r>
    </w:p>
    <w:p>
      <w:pPr>
        <w:keepNext/>
        <w:spacing w:before="280" w:after="120"/>
      </w:pPr>
      <w:r>
        <w:rPr>
          <w:rFonts w:ascii="Arial" w:hAnsi="Arial"/>
          <w:b/>
          <w:color w:val="102C57"/>
          <w:sz w:val="28"/>
        </w:rPr>
        <w:t>7. TÖÖDE MAHT JA TEOSTAMISE ETAPID «VÕTMED KÄTTE»</w:t>
      </w:r>
    </w:p>
    <w:p>
      <w:pPr>
        <w:pStyle w:val="ListBullet"/>
        <w:spacing w:before="0" w:after="60" w:line="276" w:lineRule="auto"/>
      </w:pPr>
      <w:r>
        <w:rPr>
          <w:rFonts w:ascii="Arial" w:hAnsi="Arial"/>
          <w:b/>
          <w:color w:val="222222"/>
          <w:sz w:val="20"/>
        </w:rPr>
        <w:t xml:space="preserve">1. etapp — Projekteerimine ja kooskõlastused: </w:t>
      </w:r>
      <w:r>
        <w:rPr>
          <w:rFonts w:ascii="Arial" w:hAnsi="Arial"/>
          <w:color w:val="222222"/>
          <w:sz w:val="20"/>
        </w:rPr>
        <w:t>Tööprojekti koostamine, kooskõlastamine Elektrileviga ja Ehitusteatise esitamine Ehitisregistrisse.</w:t>
      </w:r>
    </w:p>
    <w:p>
      <w:pPr>
        <w:pStyle w:val="ListBullet"/>
        <w:spacing w:before="0" w:after="60" w:line="276" w:lineRule="auto"/>
      </w:pPr>
      <w:r>
        <w:rPr>
          <w:rFonts w:ascii="Arial" w:hAnsi="Arial"/>
          <w:b/>
          <w:color w:val="222222"/>
          <w:sz w:val="20"/>
        </w:rPr>
        <w:t xml:space="preserve">2. etapp — Ehitus- ja paigaldustööd: </w:t>
      </w:r>
      <w:r>
        <w:rPr>
          <w:rFonts w:ascii="Arial" w:hAnsi="Arial"/>
          <w:color w:val="222222"/>
          <w:sz w:val="20"/>
        </w:rPr>
        <w:t>Kaevetööd (BESS trass 20 m, PEJ trass 120 m), Orima raamide rammimine, 520 paneeli paigaldus, 2x BESS konteineri ankurdamine vundamendile alajaama juures, kaablite vedamine ja kilpide paigaldus.</w:t>
      </w:r>
    </w:p>
    <w:p>
      <w:pPr>
        <w:pStyle w:val="ListBullet"/>
        <w:spacing w:before="0" w:after="60" w:line="276" w:lineRule="auto"/>
      </w:pPr>
      <w:r>
        <w:rPr>
          <w:rFonts w:ascii="Arial" w:hAnsi="Arial"/>
          <w:b/>
          <w:color w:val="222222"/>
          <w:sz w:val="20"/>
        </w:rPr>
        <w:t xml:space="preserve">3. etapp — Seadistamine ja EMS integratsioon: </w:t>
      </w:r>
      <w:r>
        <w:rPr>
          <w:rFonts w:ascii="Arial" w:hAnsi="Arial"/>
          <w:color w:val="222222"/>
          <w:sz w:val="20"/>
        </w:rPr>
        <w:t>Hoymiles EMS tarkvara seadistamine (Nord Pool spot hinnajälgimine, Peak Shaving, Zero-Export 50 kW piirang, FCR/aFRR liidestus).</w:t>
      </w:r>
    </w:p>
    <w:p>
      <w:pPr>
        <w:pStyle w:val="ListBullet"/>
        <w:spacing w:before="0" w:after="60" w:line="276" w:lineRule="auto"/>
      </w:pPr>
      <w:r>
        <w:rPr>
          <w:rFonts w:ascii="Arial" w:hAnsi="Arial"/>
          <w:b/>
          <w:color w:val="222222"/>
          <w:sz w:val="20"/>
        </w:rPr>
        <w:t xml:space="preserve">4. etapp — Testimine, audit ja kasutuselevõtt: </w:t>
      </w:r>
      <w:r>
        <w:rPr>
          <w:rFonts w:ascii="Arial" w:hAnsi="Arial"/>
          <w:color w:val="222222"/>
          <w:sz w:val="20"/>
        </w:rPr>
        <w:t>Kontrollmõõtmised (isolatsioon, maandus), saartalitluse ümberlülituse (&lt; 20 ms) ja CAT 550 kVA generaatori katsetamine, elektripaigaldise auditi läbiviimine, teostusjooniste üleandmine ja Kasutusteatise saamine Ehitisregistrist.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