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SUPPLYCORE – RISK REGISTER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Sổ đăng ký &amp; Kế hoạch xử lý Rủi ro Dự án</w:t>
      </w:r>
    </w:p>
    <w:p>
      <w:pPr>
        <w:pBdr>
          <w:bottom w:val="single" w:color="2E75B6" w:sz="8" w:space="6"/>
        </w:pBdr>
        <w:spacing w:after="3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Phiên bản 1.0  |  Ngày: 05/2026  |  Trạng thái: Đang cập nhật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Bảng chú thích Mức độ Rủi ro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285"/>
        <w:gridCol w:w="5285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Xác suất (P)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– Hiếm khi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– Có thể xảy 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– Thỉnh thoảng</w:t>
            </w:r>
          </w:p>
        </w:tc>
        <w:tc>
          <w:tcPr>
            <w:tcW w:type="dxa" w:w="12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– Thường xuyên</w:t>
            </w:r>
          </w:p>
        </w:tc>
        <w:tc>
          <w:tcPr>
            <w:tcW w:type="dxa" w:w="52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– Gần như chắc chắn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Tác động (I)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Thấp (1–4)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 (5–9)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 (10–16)</w:t>
            </w:r>
          </w:p>
        </w:tc>
        <w:tc>
          <w:tcPr>
            <w:tcW w:type="dxa" w:w="12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Rất cao (17–25)</w:t>
            </w:r>
          </w:p>
        </w:tc>
        <w:tc>
          <w:tcPr>
            <w:tcW w:type="dxa" w:w="52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Mức rủi ro = P × I  |  P: 1–5  |  I: 1–5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Rủi ro Kỹ thuật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500"/>
        <w:gridCol w:w="500"/>
        <w:gridCol w:w="700"/>
        <w:gridCol w:w="2238"/>
        <w:gridCol w:w="900"/>
        <w:gridCol w:w="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Rủi ro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 hoạch Xử lý (Mitigation)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chịu TN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R-T01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Frappe/ERPNext v15 có breaking changes làm ảnh hưởng custom app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 dõi changelog Frappe mỗi sprint; pin phiên bản cụ thể trong requirements.txt; có môi trường test riêng để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theo dõi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R-T02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Hiệu năng hệ thống kém khi số lượng giao dịch lớn (&gt;1000 GDịch/ngày)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 sớm từ sprint 3; tối ưu database index; caching Redis; load test trước Go-Live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R-T03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Tích hợp PDA/barcode scanner gặp lỗi tương thích phần cứng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Xác định danh sách thiết bị được hỗ trợ từ đầu; test thực tế với hardware bệnh viện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Lead M4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R-T04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Mất dữ liệu do lỗi migration từ hệ thống cũ sang SupplyCore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Backup đầy đủ trước migration; dry-run migration 3 lần; rollback plan rõ ràng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DBA/Tech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R-T05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Lỗ hổng bảo mật trong custom code Frappe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review bắt buộc; OWASP checklist; penetration test trước Go-Live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R-T06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tích hợp HIS bị thay đổi phiên bản mà không thông báo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Ký SLA kỹ thuật với nhà cung cấp HIS; versioning API; mock server cho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Rủi ro Nghiệp vụ &amp; Quy trình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500"/>
        <w:gridCol w:w="500"/>
        <w:gridCol w:w="700"/>
        <w:gridCol w:w="2238"/>
        <w:gridCol w:w="900"/>
        <w:gridCol w:w="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Rủi ro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 hoạch Xử lý (Mitigation)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chịu TN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R-B01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Yêu cầu thay đổi liên tục (Scope Creep) làm trễ timeline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Áp dụng Change Control Process nghiêm ngặt; baseline được ký duyệt; Change Board họp 2 tuần/lần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kiểm soát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R-B02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Stakeholder không đồng thuận về quy trình nghiệp vụ chuẩn hóa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Workshop alignment với tất cả stakeholder trước khi design; RACI rõ ràng; escalation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 + 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thực hiện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R-B03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Dữ liệu danh mục vật tư hiện tại không chuẩn, thiếu sót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audit sớm (T1/2026); data cleansing plan; chỉ định data owner phía bệnh viện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 + Hospital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thực hiện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R-B04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Quy trình FEFO phức tạp hơn dự kiến do nhiều loại hạn dùng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Khảo sát kỹ quy trình FEFO hiện tại; prototype sớm; UAT riêng cho module 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Lead M5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R-B05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Tích hợp kế toán với ERPNext không phù hợp quy định BHYT VN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Rất 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Tham vấn chuyên gia kế toán bệnh viện; review Thông tư 46; test case đặc thù BHYT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 + Kế toán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Ưu tiên cao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R-B06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Nghiệp vụ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Nhân viên kho từ chối chuyển đổi hệ thống mới (Change Resistance)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management plan; đào tạo sớm; super-user program; lãnh đạo bệnh viện cam kết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+ HR BV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lên kế hoạch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Rủi ro Nguồn lực &amp; Tổ chức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500"/>
        <w:gridCol w:w="500"/>
        <w:gridCol w:w="700"/>
        <w:gridCol w:w="2238"/>
        <w:gridCol w:w="900"/>
        <w:gridCol w:w="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Rủi ro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 hoạch Xử lý (Mitigation)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chịu TN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R-O01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Tổ chức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team thiếu kinh nghiệm Frappe Framework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Đào tạo Frappe nội bộ 2 tuần trước sprint 1; mentor từ Frappe community; pair programming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thực hiện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R-O02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Tổ chức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developer nghỉ việc giữa chừng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Knowledge sharing bắt buộc; tài liệu kỹ thuật đầy đủ; cross-training; điều khoản hợp đồng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kiểm soát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R-O03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Tổ chức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Stakeholder phía bệnh viện không có thời gian tham gia UAT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 kết resource UAT ngay từ Project Charter; kế hoạch UAT chia nhỏ; user proxy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+ Hospital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giải quyết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R-O04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Tổ chức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Ngân sách dự án bị cắt giảm giữa chừng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Phân chia deliverable theo ưu tiên (MoSCoW); milestone payment; contingency 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+ Sponsor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kiểm soát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R-O05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Tổ chức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Thay đổi nhân sự lãnh đạo bệnh viện ảnh hưởng cam kết dự án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Tài liệu hóa đầy đủ các cam kết; escalation to Board; Project Charter ký bởi nhiều cấp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 dõi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Rủi ro Hạ tầng &amp; Bảo mật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500"/>
        <w:gridCol w:w="500"/>
        <w:gridCol w:w="700"/>
        <w:gridCol w:w="2238"/>
        <w:gridCol w:w="900"/>
        <w:gridCol w:w="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Rủi ro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 hoạch Xử lý (Mitigation)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chịu TN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R-I01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bệnh viện không đáp ứng yêu cầu kỹ thuật tối thiểu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audit T1/2026; spec requirements document ký duyệt; phương án cloud backup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Hospital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Đang kiểm tra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R-I02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Mất điện/mạng ảnh hưởng hoạt động kho trong giờ cao điểm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 cho server; offline mode PDA; backup connectivity (4G failover)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Hospital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R-I03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Rò rỉ dữ liệu bệnh nhân/tài chính do cấu hình sai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Cao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checklist deployment; role-based access control; audit log; penetration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R-I04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Tấn công ransomware vào hệ thống bệnh viện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Backup daily offsite; network segmentation; antivirus; incident response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Hospital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Theo dõi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R-I05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Không gian lưu trữ không đủ cho dữ liệu attachments và logs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estimation sớm; auto-archiving policy; monitoring disk usage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Hospital IT + 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Chưa bắt đầu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Tóm tắt Dashboard Rủi ro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7"/>
        <w:gridCol w:w="2857"/>
        <w:gridCol w:w="2856"/>
        <w:gridCol w:w="2857"/>
        <w:gridCol w:w="3143"/>
      </w:tblGrid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RẤT CAO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 rủi 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R-B05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9 rủi 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R-T01,T02,T04,T05,R-B01,B02,B03,R-O01,O2,O3,O4,R-I01,I02,I03</w:t>
            </w:r>
          </w:p>
        </w:tc>
        <w:tc>
          <w:tcPr>
            <w:tcW w:type="dxa" w:w="28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000"/>
                <w:sz w:val="24"/>
                <w:szCs w:val="24"/>
              </w:rPr>
              <w:t xml:space="preserve">TRUNG BÌNH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5000"/>
                <w:sz w:val="22"/>
                <w:szCs w:val="22"/>
              </w:rPr>
              <w:t xml:space="preserve">7 rủi 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5000"/>
                <w:sz w:val="18"/>
                <w:szCs w:val="18"/>
              </w:rPr>
              <w:t xml:space="preserve">R-T03,T06,R-B04,B06,R-O05,R-I04,I05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THẤP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0 rủi ro</w:t>
            </w:r>
          </w:p>
        </w:tc>
        <w:tc>
          <w:tcPr>
            <w:tcW w:type="dxa" w:w="3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TỔNG CỘNG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17 rủi ro</w:t>
            </w:r>
          </w:p>
        </w:tc>
      </w:tr>
    </w:tbl>
    <w:p>
      <w:pPr>
        <w:spacing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Tần suất Review &amp; Cập nhật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 Review (2 tuần/lần): PM cập nhật trạng thái tất cả rủi ro đang mở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Risk Report: Gửi Sponsor báo cáo rủi ro hàng tháng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Rủi ro mới: Bất kỳ thành viên nào có thể đề xuất rủi ro mới qua Risk Log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Escalation: Rủi ro mức Rất cao → PM phải báo cáo Sponsor trong vòng 24 giờ</w:t>
      </w:r>
    </w:p>
    <w:sectPr>
      <w:headerReference w:type="default" r:id="rId7"/>
      <w:footerReference w:type="default" r:id="rId8"/>
      <w:pgSz w:w="16838" w:h="11906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|   Risk Register – Phase 5   |   Phiên bản 1.0   |   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1368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SupplyCore – Hệ thống Quản lý Chuỗi Cung ứng Vật tư Y tế</w:t>
    </w:r>
    <w:r>
      <w:rPr>
        <w:rFonts w:ascii="Arial" w:cs="Arial" w:eastAsia="Arial" w:hAnsi="Arial"/>
        <w:color w:val="666666"/>
        <w:sz w:val="18"/>
        <w:szCs w:val="18"/>
      </w:rPr>
      <w:t xml:space="preserve">	Risk Register – Sổ đăng ký Rủi 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2026-05-05T03:30:15.790Z</dcterms:created>
  <dcterms:modified xsi:type="dcterms:W3CDTF">2026-05-05T03:30:15.791Z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