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11FE" w14:textId="77777777" w:rsidR="00F46500" w:rsidRDefault="00F46500" w:rsidP="00F46500">
      <w:pPr>
        <w:pStyle w:val="NormalWeb"/>
        <w:spacing w:before="0" w:beforeAutospacing="0" w:after="0" w:afterAutospacing="0"/>
        <w:jc w:val="center"/>
      </w:pPr>
      <w:r>
        <w:rPr>
          <w:rFonts w:ascii="Avenir" w:hAnsi="Avenir"/>
          <w:b/>
          <w:bCs/>
          <w:color w:val="674EA7"/>
        </w:rPr>
        <w:t>Psychological Science and Society</w:t>
      </w:r>
    </w:p>
    <w:p w14:paraId="53C92067" w14:textId="77777777" w:rsidR="00F46500" w:rsidRDefault="00F46500" w:rsidP="00F46500">
      <w:pPr>
        <w:pStyle w:val="NormalWeb"/>
        <w:spacing w:before="0" w:beforeAutospacing="0" w:after="0" w:afterAutospacing="0"/>
        <w:jc w:val="center"/>
      </w:pPr>
      <w:r>
        <w:rPr>
          <w:rFonts w:ascii="Avenir" w:hAnsi="Avenir"/>
          <w:b/>
          <w:bCs/>
          <w:color w:val="674EA7"/>
        </w:rPr>
        <w:t>PSYCH–UA.53</w:t>
      </w:r>
    </w:p>
    <w:p w14:paraId="65ECF52B" w14:textId="522852B7" w:rsidR="00F46500" w:rsidRDefault="00F46500" w:rsidP="00F46500">
      <w:pPr>
        <w:pStyle w:val="NormalWeb"/>
        <w:spacing w:before="0" w:beforeAutospacing="0" w:after="0" w:afterAutospacing="0"/>
        <w:jc w:val="center"/>
      </w:pPr>
      <w:r>
        <w:rPr>
          <w:rFonts w:ascii="Avenir" w:hAnsi="Avenir"/>
          <w:b/>
          <w:bCs/>
          <w:color w:val="674EA7"/>
          <w:sz w:val="20"/>
          <w:szCs w:val="20"/>
        </w:rPr>
        <w:t>New York University, Fall 2023</w:t>
      </w:r>
    </w:p>
    <w:p w14:paraId="4E866616" w14:textId="77777777" w:rsidR="00F46500" w:rsidRDefault="00F46500" w:rsidP="00F46500"/>
    <w:p w14:paraId="0903C5E8" w14:textId="77777777" w:rsidR="00F46500" w:rsidRPr="00353EAD" w:rsidRDefault="00F46500" w:rsidP="00F46500">
      <w:pPr>
        <w:tabs>
          <w:tab w:val="left" w:pos="6480"/>
        </w:tabs>
        <w:rPr>
          <w:rFonts w:ascii="Times" w:hAnsi="Times"/>
        </w:rPr>
      </w:pPr>
    </w:p>
    <w:p w14:paraId="70CC1125" w14:textId="685A58D9" w:rsidR="00F46500" w:rsidRPr="00353EAD" w:rsidRDefault="00F46500" w:rsidP="00F46500">
      <w:pPr>
        <w:tabs>
          <w:tab w:val="right" w:pos="9360"/>
        </w:tabs>
        <w:rPr>
          <w:rFonts w:ascii="Times" w:hAnsi="Times"/>
          <w:color w:val="4472C4" w:themeColor="accent1"/>
          <w:u w:val="single"/>
        </w:rPr>
      </w:pPr>
      <w:r w:rsidRPr="00F46500">
        <w:rPr>
          <w:rFonts w:ascii="Avenir" w:hAnsi="Avenir"/>
          <w:b/>
          <w:bCs/>
          <w:color w:val="674EA7"/>
          <w:sz w:val="20"/>
          <w:szCs w:val="20"/>
        </w:rPr>
        <w:t>Assignment 1</w:t>
      </w:r>
      <w:r w:rsidRPr="00353EAD">
        <w:rPr>
          <w:rFonts w:ascii="Times" w:hAnsi="Times"/>
          <w:color w:val="4472C4" w:themeColor="accent1"/>
        </w:rPr>
        <w:tab/>
      </w:r>
      <w:r w:rsidRPr="00F46500">
        <w:rPr>
          <w:rFonts w:ascii="Avenir" w:hAnsi="Avenir"/>
          <w:b/>
          <w:bCs/>
          <w:color w:val="674EA7"/>
          <w:sz w:val="20"/>
          <w:szCs w:val="20"/>
        </w:rPr>
        <w:t xml:space="preserve">Due </w:t>
      </w:r>
      <w:r>
        <w:rPr>
          <w:rFonts w:ascii="Avenir" w:hAnsi="Avenir"/>
          <w:b/>
          <w:bCs/>
          <w:color w:val="674EA7"/>
          <w:sz w:val="20"/>
          <w:szCs w:val="20"/>
        </w:rPr>
        <w:t>September</w:t>
      </w:r>
      <w:r w:rsidRPr="00F46500">
        <w:rPr>
          <w:rFonts w:ascii="Avenir" w:hAnsi="Avenir"/>
          <w:b/>
          <w:bCs/>
          <w:color w:val="674EA7"/>
          <w:sz w:val="20"/>
          <w:szCs w:val="20"/>
        </w:rPr>
        <w:t xml:space="preserve"> </w:t>
      </w:r>
      <w:r>
        <w:rPr>
          <w:rFonts w:ascii="Avenir" w:hAnsi="Avenir"/>
          <w:b/>
          <w:bCs/>
          <w:color w:val="674EA7"/>
          <w:sz w:val="20"/>
          <w:szCs w:val="20"/>
        </w:rPr>
        <w:t>18</w:t>
      </w:r>
      <w:r w:rsidRPr="00F46500">
        <w:rPr>
          <w:rFonts w:ascii="Avenir" w:hAnsi="Avenir"/>
          <w:b/>
          <w:bCs/>
          <w:color w:val="674EA7"/>
          <w:sz w:val="20"/>
          <w:szCs w:val="20"/>
        </w:rPr>
        <w:t>, 2023</w:t>
      </w:r>
    </w:p>
    <w:p w14:paraId="5E82D441" w14:textId="77777777" w:rsidR="00532777" w:rsidRPr="006E04AF" w:rsidRDefault="00532777" w:rsidP="00532777">
      <w:pPr>
        <w:keepNext/>
        <w:shd w:val="clear" w:color="auto" w:fill="FFFFFF"/>
        <w:jc w:val="both"/>
        <w:rPr>
          <w:b/>
          <w:color w:val="212121"/>
          <w:highlight w:val="white"/>
        </w:rPr>
      </w:pPr>
    </w:p>
    <w:p w14:paraId="747B5A43" w14:textId="77777777" w:rsidR="00532777" w:rsidRDefault="00532777" w:rsidP="00532777">
      <w:pPr>
        <w:keepNext/>
        <w:shd w:val="clear" w:color="auto" w:fill="FFFFFF"/>
        <w:jc w:val="both"/>
        <w:rPr>
          <w:b/>
          <w:color w:val="212121"/>
          <w:highlight w:val="white"/>
        </w:rPr>
      </w:pPr>
    </w:p>
    <w:p w14:paraId="2A6B97DE" w14:textId="77777777" w:rsidR="00A10660" w:rsidRPr="006E04AF" w:rsidRDefault="00A10660" w:rsidP="00532777">
      <w:pPr>
        <w:keepNext/>
        <w:shd w:val="clear" w:color="auto" w:fill="FFFFFF"/>
        <w:jc w:val="both"/>
        <w:rPr>
          <w:b/>
          <w:color w:val="212121"/>
          <w:highlight w:val="white"/>
        </w:rPr>
      </w:pPr>
    </w:p>
    <w:p w14:paraId="649C1D2B" w14:textId="5703E52A" w:rsidR="00532777" w:rsidRPr="006E04AF" w:rsidRDefault="00532777" w:rsidP="00532777">
      <w:pPr>
        <w:shd w:val="clear" w:color="auto" w:fill="FFFFFF"/>
        <w:jc w:val="both"/>
        <w:rPr>
          <w:color w:val="212121"/>
          <w:highlight w:val="white"/>
        </w:rPr>
      </w:pPr>
      <w:r w:rsidRPr="006E04AF">
        <w:rPr>
          <w:color w:val="212121"/>
          <w:highlight w:val="white"/>
        </w:rPr>
        <w:t xml:space="preserve">1. For each of the following general-audience pieces, find the free full text of the original research article in PDF format and read the abstract. In your submission (do not submit the PDF), </w:t>
      </w:r>
    </w:p>
    <w:p w14:paraId="6C498365" w14:textId="77777777" w:rsidR="007362B2" w:rsidRPr="006E04AF" w:rsidRDefault="00532777" w:rsidP="00532777">
      <w:pPr>
        <w:shd w:val="clear" w:color="auto" w:fill="FFFFFF"/>
        <w:ind w:firstLine="360"/>
        <w:jc w:val="both"/>
        <w:rPr>
          <w:color w:val="212121"/>
          <w:highlight w:val="white"/>
        </w:rPr>
      </w:pPr>
      <w:r w:rsidRPr="006E04AF">
        <w:rPr>
          <w:color w:val="212121"/>
          <w:highlight w:val="white"/>
        </w:rPr>
        <w:t xml:space="preserve">a) describe how you found the </w:t>
      </w:r>
      <w:proofErr w:type="gramStart"/>
      <w:r w:rsidRPr="006E04AF">
        <w:rPr>
          <w:color w:val="212121"/>
          <w:highlight w:val="white"/>
        </w:rPr>
        <w:t>article;</w:t>
      </w:r>
      <w:proofErr w:type="gramEnd"/>
    </w:p>
    <w:p w14:paraId="6DF0D670" w14:textId="25EC9963" w:rsidR="00532777" w:rsidRPr="006E04AF" w:rsidRDefault="007362B2" w:rsidP="00532777">
      <w:pPr>
        <w:shd w:val="clear" w:color="auto" w:fill="FFFFFF"/>
        <w:ind w:firstLine="360"/>
        <w:jc w:val="both"/>
        <w:rPr>
          <w:color w:val="212121"/>
          <w:highlight w:val="white"/>
        </w:rPr>
      </w:pPr>
      <w:r w:rsidRPr="006E04AF">
        <w:rPr>
          <w:color w:val="212121"/>
          <w:highlight w:val="white"/>
        </w:rPr>
        <w:t>b) answer each question about each article</w:t>
      </w:r>
      <w:r w:rsidR="00532777" w:rsidRPr="006E04AF">
        <w:rPr>
          <w:color w:val="212121"/>
          <w:highlight w:val="white"/>
        </w:rPr>
        <w:t xml:space="preserve"> </w:t>
      </w:r>
    </w:p>
    <w:p w14:paraId="4BC660F2" w14:textId="4B5F86E4" w:rsidR="00532777" w:rsidRPr="006E04AF" w:rsidRDefault="00532777" w:rsidP="00532777">
      <w:pPr>
        <w:shd w:val="clear" w:color="auto" w:fill="FFFFFF"/>
        <w:ind w:firstLine="360"/>
        <w:jc w:val="both"/>
        <w:rPr>
          <w:color w:val="212121"/>
          <w:highlight w:val="white"/>
        </w:rPr>
      </w:pPr>
      <w:r w:rsidRPr="006E04AF">
        <w:rPr>
          <w:color w:val="212121"/>
          <w:highlight w:val="white"/>
        </w:rPr>
        <w:t>c) cite the article in APA style.</w:t>
      </w:r>
    </w:p>
    <w:p w14:paraId="3C9F67F2" w14:textId="77777777" w:rsidR="00532777" w:rsidRPr="006E04AF" w:rsidRDefault="00532777" w:rsidP="00532777">
      <w:pPr>
        <w:shd w:val="clear" w:color="auto" w:fill="FFFFFF"/>
        <w:ind w:firstLine="360"/>
        <w:jc w:val="both"/>
        <w:rPr>
          <w:color w:val="212121"/>
          <w:highlight w:val="white"/>
        </w:rPr>
      </w:pPr>
    </w:p>
    <w:p w14:paraId="65741D73" w14:textId="77777777" w:rsidR="00532777" w:rsidRPr="006E04AF" w:rsidRDefault="00532777" w:rsidP="00532777">
      <w:pPr>
        <w:shd w:val="clear" w:color="auto" w:fill="FFFFFF"/>
        <w:ind w:firstLine="360"/>
        <w:jc w:val="both"/>
        <w:rPr>
          <w:color w:val="212121"/>
          <w:highlight w:val="white"/>
        </w:rPr>
      </w:pPr>
    </w:p>
    <w:p w14:paraId="2E07841B" w14:textId="0404B79C" w:rsidR="007362B2" w:rsidRPr="006E04AF" w:rsidRDefault="007362B2" w:rsidP="007362B2">
      <w:pPr>
        <w:numPr>
          <w:ilvl w:val="0"/>
          <w:numId w:val="1"/>
        </w:numPr>
        <w:shd w:val="clear" w:color="auto" w:fill="FFFFFF"/>
        <w:rPr>
          <w:color w:val="212121"/>
        </w:rPr>
      </w:pPr>
      <w:r w:rsidRPr="006E04AF">
        <w:rPr>
          <w:color w:val="212121"/>
        </w:rPr>
        <w:t xml:space="preserve">Triggering large prediction errors helps to change false beliefs: </w:t>
      </w:r>
      <w:hyperlink r:id="rId5" w:history="1">
        <w:r w:rsidRPr="006E04AF">
          <w:rPr>
            <w:rStyle w:val="Hyperlink"/>
          </w:rPr>
          <w:t>https://www.psypost.org/2021/11/psychologists-have-found-that-triggering-large-prediction-errors-helps-to-change-false-beliefs-62110</w:t>
        </w:r>
      </w:hyperlink>
    </w:p>
    <w:p w14:paraId="300727C1" w14:textId="03176A04" w:rsidR="007362B2" w:rsidRPr="006E04AF" w:rsidRDefault="007362B2" w:rsidP="007362B2">
      <w:pPr>
        <w:shd w:val="clear" w:color="auto" w:fill="FFFFFF"/>
        <w:ind w:left="720"/>
        <w:rPr>
          <w:color w:val="212121"/>
        </w:rPr>
      </w:pPr>
      <w:r w:rsidRPr="006E04AF">
        <w:rPr>
          <w:color w:val="212121"/>
        </w:rPr>
        <w:t>In this article, how many participants were included in Study 2?</w:t>
      </w:r>
    </w:p>
    <w:p w14:paraId="7D36ACBE" w14:textId="77777777" w:rsidR="007362B2" w:rsidRPr="006E04AF" w:rsidRDefault="007362B2" w:rsidP="007362B2">
      <w:pPr>
        <w:shd w:val="clear" w:color="auto" w:fill="FFFFFF"/>
        <w:ind w:left="720"/>
        <w:rPr>
          <w:highlight w:val="white"/>
        </w:rPr>
      </w:pPr>
    </w:p>
    <w:p w14:paraId="02030D5F" w14:textId="77777777" w:rsidR="00532777" w:rsidRPr="006E04AF" w:rsidRDefault="00532777" w:rsidP="00532777">
      <w:pPr>
        <w:numPr>
          <w:ilvl w:val="0"/>
          <w:numId w:val="1"/>
        </w:numPr>
        <w:shd w:val="clear" w:color="auto" w:fill="FFFFFF"/>
        <w:rPr>
          <w:highlight w:val="white"/>
        </w:rPr>
      </w:pPr>
      <w:r w:rsidRPr="006E04AF">
        <w:rPr>
          <w:color w:val="212121"/>
          <w:highlight w:val="white"/>
        </w:rPr>
        <w:t>Why we post workout pictures on social media</w:t>
      </w:r>
      <w:r w:rsidRPr="006E04AF">
        <w:rPr>
          <w:color w:val="212121"/>
          <w:highlight w:val="white"/>
        </w:rPr>
        <w:br/>
      </w:r>
      <w:hyperlink r:id="rId6">
        <w:r w:rsidRPr="006E04AF">
          <w:rPr>
            <w:color w:val="347EB2"/>
            <w:highlight w:val="white"/>
            <w:u w:val="single"/>
          </w:rPr>
          <w:t>https://www.psychologytoday.com/us/blog/brain-trust/201901/why-we-post-workout-pictures-social-media</w:t>
        </w:r>
        <w:r w:rsidRPr="006E04AF">
          <w:rPr>
            <w:color w:val="347EB2"/>
            <w:highlight w:val="white"/>
            <w:u w:val="single"/>
          </w:rPr>
          <w:br/>
        </w:r>
      </w:hyperlink>
      <w:r w:rsidRPr="006E04AF">
        <w:rPr>
          <w:color w:val="212121"/>
          <w:highlight w:val="white"/>
        </w:rPr>
        <w:t xml:space="preserve">What is the authors’ hypothesis H1 in this study? </w:t>
      </w:r>
    </w:p>
    <w:p w14:paraId="18077778" w14:textId="77777777" w:rsidR="007362B2" w:rsidRPr="006E04AF" w:rsidRDefault="007362B2" w:rsidP="007362B2">
      <w:pPr>
        <w:shd w:val="clear" w:color="auto" w:fill="FFFFFF"/>
        <w:rPr>
          <w:highlight w:val="white"/>
        </w:rPr>
      </w:pPr>
    </w:p>
    <w:p w14:paraId="070377CE" w14:textId="77777777" w:rsidR="00532777" w:rsidRPr="006E04AF" w:rsidRDefault="00532777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7E0F9EBE" w14:textId="77777777" w:rsidR="00532777" w:rsidRPr="006E04AF" w:rsidRDefault="00532777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1C4736EB" w14:textId="3902BA4A" w:rsidR="007362B2" w:rsidRPr="006E04AF" w:rsidRDefault="00532777" w:rsidP="007362B2">
      <w:pPr>
        <w:pStyle w:val="NormalWeb"/>
        <w:spacing w:before="0" w:beforeAutospacing="0" w:after="0" w:afterAutospacing="0"/>
        <w:rPr>
          <w:color w:val="212121"/>
        </w:rPr>
      </w:pPr>
      <w:r w:rsidRPr="006E04AF">
        <w:rPr>
          <w:color w:val="212121"/>
          <w:highlight w:val="white"/>
        </w:rPr>
        <w:t xml:space="preserve">2. Do a QDAFI of </w:t>
      </w:r>
      <w:r w:rsidR="007362B2" w:rsidRPr="006E04AF">
        <w:rPr>
          <w:color w:val="212121"/>
          <w:highlight w:val="white"/>
        </w:rPr>
        <w:t>the</w:t>
      </w:r>
      <w:r w:rsidRPr="006E04AF">
        <w:rPr>
          <w:color w:val="212121"/>
          <w:highlight w:val="white"/>
        </w:rPr>
        <w:t xml:space="preserve"> paper:</w:t>
      </w:r>
      <w:r w:rsidR="007362B2" w:rsidRPr="006E04AF">
        <w:rPr>
          <w:color w:val="212121"/>
          <w:highlight w:val="white"/>
        </w:rPr>
        <w:t xml:space="preserve"> </w:t>
      </w:r>
    </w:p>
    <w:p w14:paraId="2DECC6E5" w14:textId="77777777" w:rsidR="007362B2" w:rsidRPr="006E04AF" w:rsidRDefault="007362B2" w:rsidP="007362B2">
      <w:pPr>
        <w:pStyle w:val="NormalWeb"/>
        <w:spacing w:before="0" w:beforeAutospacing="0" w:after="0" w:afterAutospacing="0"/>
        <w:rPr>
          <w:color w:val="212121"/>
        </w:rPr>
      </w:pPr>
    </w:p>
    <w:p w14:paraId="579D33E9" w14:textId="7312A910" w:rsidR="007362B2" w:rsidRPr="006E04AF" w:rsidRDefault="007362B2" w:rsidP="007362B2">
      <w:pPr>
        <w:pStyle w:val="NormalWeb"/>
        <w:spacing w:before="0" w:beforeAutospacing="0" w:after="0" w:afterAutospacing="0"/>
        <w:rPr>
          <w:color w:val="222222"/>
          <w:shd w:val="clear" w:color="auto" w:fill="FFFFFF"/>
        </w:rPr>
      </w:pPr>
      <w:proofErr w:type="spellStart"/>
      <w:r w:rsidRPr="006E04AF">
        <w:rPr>
          <w:color w:val="222222"/>
          <w:shd w:val="clear" w:color="auto" w:fill="FFFFFF"/>
        </w:rPr>
        <w:t>Guilbeault</w:t>
      </w:r>
      <w:proofErr w:type="spellEnd"/>
      <w:r w:rsidRPr="006E04AF">
        <w:rPr>
          <w:color w:val="222222"/>
          <w:shd w:val="clear" w:color="auto" w:fill="FFFFFF"/>
        </w:rPr>
        <w:t xml:space="preserve">, D., Becker, J., &amp; </w:t>
      </w:r>
      <w:proofErr w:type="spellStart"/>
      <w:r w:rsidRPr="006E04AF">
        <w:rPr>
          <w:color w:val="222222"/>
          <w:shd w:val="clear" w:color="auto" w:fill="FFFFFF"/>
        </w:rPr>
        <w:t>Centola</w:t>
      </w:r>
      <w:proofErr w:type="spellEnd"/>
      <w:r w:rsidRPr="006E04AF">
        <w:rPr>
          <w:color w:val="222222"/>
          <w:shd w:val="clear" w:color="auto" w:fill="FFFFFF"/>
        </w:rPr>
        <w:t>, D. (</w:t>
      </w:r>
      <w:hyperlink r:id="rId7" w:history="1">
        <w:r w:rsidRPr="006E04AF">
          <w:rPr>
            <w:rStyle w:val="Hyperlink"/>
            <w:color w:val="1155CC"/>
            <w:shd w:val="clear" w:color="auto" w:fill="FFFFFF"/>
          </w:rPr>
          <w:t>2018</w:t>
        </w:r>
      </w:hyperlink>
      <w:r w:rsidRPr="006E04AF">
        <w:rPr>
          <w:color w:val="222222"/>
          <w:shd w:val="clear" w:color="auto" w:fill="FFFFFF"/>
        </w:rPr>
        <w:t xml:space="preserve">). Social learning and partisan bias in the interpretation of climate trends. </w:t>
      </w:r>
      <w:r w:rsidRPr="006E04AF">
        <w:rPr>
          <w:i/>
          <w:iCs/>
          <w:color w:val="222222"/>
          <w:shd w:val="clear" w:color="auto" w:fill="FFFFFF"/>
        </w:rPr>
        <w:t>Proceedings of the National Academy of Sciences</w:t>
      </w:r>
      <w:r w:rsidRPr="006E04AF">
        <w:rPr>
          <w:color w:val="222222"/>
          <w:shd w:val="clear" w:color="auto" w:fill="FFFFFF"/>
        </w:rPr>
        <w:t xml:space="preserve">, </w:t>
      </w:r>
      <w:r w:rsidRPr="006E04AF">
        <w:rPr>
          <w:i/>
          <w:iCs/>
          <w:color w:val="222222"/>
          <w:shd w:val="clear" w:color="auto" w:fill="FFFFFF"/>
        </w:rPr>
        <w:t>115</w:t>
      </w:r>
      <w:r w:rsidRPr="006E04AF">
        <w:rPr>
          <w:color w:val="222222"/>
          <w:shd w:val="clear" w:color="auto" w:fill="FFFFFF"/>
        </w:rPr>
        <w:t>(39), 9714-9719.</w:t>
      </w:r>
    </w:p>
    <w:p w14:paraId="0E190552" w14:textId="77777777" w:rsidR="007362B2" w:rsidRPr="006E04AF" w:rsidRDefault="007362B2" w:rsidP="007362B2">
      <w:pPr>
        <w:pStyle w:val="NormalWeb"/>
        <w:spacing w:before="0" w:beforeAutospacing="0" w:after="0" w:afterAutospacing="0"/>
        <w:rPr>
          <w:color w:val="222222"/>
          <w:shd w:val="clear" w:color="auto" w:fill="FFFFFF"/>
        </w:rPr>
      </w:pPr>
    </w:p>
    <w:p w14:paraId="5D306E6A" w14:textId="77777777" w:rsidR="007362B2" w:rsidRPr="006E04AF" w:rsidRDefault="007362B2" w:rsidP="007362B2"/>
    <w:p w14:paraId="6EA73185" w14:textId="2608C920" w:rsidR="007362B2" w:rsidRPr="006E04AF" w:rsidRDefault="007362B2" w:rsidP="007362B2">
      <w:pPr>
        <w:pStyle w:val="NormalWeb"/>
        <w:spacing w:before="0" w:beforeAutospacing="0" w:after="0" w:afterAutospacing="0"/>
      </w:pPr>
    </w:p>
    <w:p w14:paraId="44DD4F28" w14:textId="77777777" w:rsidR="007362B2" w:rsidRPr="006E04AF" w:rsidRDefault="007362B2" w:rsidP="007362B2"/>
    <w:p w14:paraId="4DB72F38" w14:textId="79327F61" w:rsidR="00532777" w:rsidRDefault="00532777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4751056C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75195006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4DBADC1D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1D95BE4D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166ABD99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2CEFFF98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7842B482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3E1EFFC4" w14:textId="77777777" w:rsidR="00055771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tbl>
      <w:tblPr>
        <w:tblStyle w:val="TableGrid"/>
        <w:tblpPr w:leftFromText="180" w:rightFromText="180" w:vertAnchor="text" w:horzAnchor="margin" w:tblpY="-33"/>
        <w:tblW w:w="0" w:type="auto"/>
        <w:tblLook w:val="04A0" w:firstRow="1" w:lastRow="0" w:firstColumn="1" w:lastColumn="0" w:noHBand="0" w:noVBand="1"/>
      </w:tblPr>
      <w:tblGrid>
        <w:gridCol w:w="1429"/>
        <w:gridCol w:w="2706"/>
        <w:gridCol w:w="2610"/>
        <w:gridCol w:w="2430"/>
      </w:tblGrid>
      <w:tr w:rsidR="00055771" w14:paraId="30F767FE" w14:textId="77777777" w:rsidTr="00657110">
        <w:trPr>
          <w:trHeight w:val="432"/>
        </w:trPr>
        <w:tc>
          <w:tcPr>
            <w:tcW w:w="1429" w:type="dxa"/>
            <w:vMerge w:val="restart"/>
            <w:shd w:val="clear" w:color="auto" w:fill="DEEAF6" w:themeFill="accent5" w:themeFillTint="33"/>
            <w:vAlign w:val="center"/>
          </w:tcPr>
          <w:p w14:paraId="6EB08B54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  <w:r w:rsidRPr="00E47C6E">
              <w:rPr>
                <w:b/>
              </w:rPr>
              <w:lastRenderedPageBreak/>
              <w:t>QDAFI Component</w:t>
            </w:r>
          </w:p>
        </w:tc>
        <w:tc>
          <w:tcPr>
            <w:tcW w:w="7746" w:type="dxa"/>
            <w:gridSpan w:val="3"/>
            <w:shd w:val="clear" w:color="auto" w:fill="DEEAF6" w:themeFill="accent5" w:themeFillTint="33"/>
            <w:vAlign w:val="center"/>
          </w:tcPr>
          <w:p w14:paraId="05DE01CA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  <w:r w:rsidRPr="00E47C6E">
              <w:rPr>
                <w:b/>
              </w:rPr>
              <w:t xml:space="preserve">Grade </w:t>
            </w:r>
            <w:r>
              <w:rPr>
                <w:b/>
              </w:rPr>
              <w:t>O</w:t>
            </w:r>
            <w:r w:rsidRPr="00E47C6E">
              <w:rPr>
                <w:b/>
              </w:rPr>
              <w:t>ptions</w:t>
            </w:r>
            <w:r>
              <w:rPr>
                <w:b/>
              </w:rPr>
              <w:t xml:space="preserve"> (10 points for completion)</w:t>
            </w:r>
          </w:p>
        </w:tc>
      </w:tr>
      <w:tr w:rsidR="00055771" w14:paraId="7D974108" w14:textId="77777777" w:rsidTr="00657110">
        <w:trPr>
          <w:trHeight w:val="432"/>
        </w:trPr>
        <w:tc>
          <w:tcPr>
            <w:tcW w:w="1429" w:type="dxa"/>
            <w:vMerge/>
            <w:shd w:val="clear" w:color="auto" w:fill="DEEAF6" w:themeFill="accent5" w:themeFillTint="33"/>
            <w:vAlign w:val="center"/>
          </w:tcPr>
          <w:p w14:paraId="1E5D4B4D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2706" w:type="dxa"/>
            <w:shd w:val="clear" w:color="auto" w:fill="DEEAF6" w:themeFill="accent5" w:themeFillTint="33"/>
            <w:vAlign w:val="center"/>
          </w:tcPr>
          <w:p w14:paraId="7C1E7C25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15 points</w:t>
            </w:r>
          </w:p>
        </w:tc>
        <w:tc>
          <w:tcPr>
            <w:tcW w:w="2610" w:type="dxa"/>
            <w:shd w:val="clear" w:color="auto" w:fill="DEEAF6" w:themeFill="accent5" w:themeFillTint="33"/>
            <w:vAlign w:val="center"/>
          </w:tcPr>
          <w:p w14:paraId="388D99F8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10 points</w:t>
            </w:r>
          </w:p>
        </w:tc>
        <w:tc>
          <w:tcPr>
            <w:tcW w:w="2430" w:type="dxa"/>
            <w:shd w:val="clear" w:color="auto" w:fill="DEEAF6" w:themeFill="accent5" w:themeFillTint="33"/>
            <w:vAlign w:val="center"/>
          </w:tcPr>
          <w:p w14:paraId="2B58829B" w14:textId="77777777" w:rsidR="00055771" w:rsidRPr="00E47C6E" w:rsidRDefault="00055771" w:rsidP="0065711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5 points</w:t>
            </w:r>
          </w:p>
        </w:tc>
      </w:tr>
      <w:tr w:rsidR="00055771" w14:paraId="090BC9D7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2EA6D01C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Q</w:t>
            </w:r>
          </w:p>
        </w:tc>
        <w:tc>
          <w:tcPr>
            <w:tcW w:w="2706" w:type="dxa"/>
          </w:tcPr>
          <w:p w14:paraId="508A93EB" w14:textId="77777777" w:rsidR="00055771" w:rsidRDefault="00055771" w:rsidP="00657110">
            <w:pPr>
              <w:spacing w:line="276" w:lineRule="auto"/>
            </w:pPr>
            <w:r>
              <w:t>States the central question(s) in own words</w:t>
            </w:r>
          </w:p>
        </w:tc>
        <w:tc>
          <w:tcPr>
            <w:tcW w:w="2610" w:type="dxa"/>
          </w:tcPr>
          <w:p w14:paraId="6F597EBA" w14:textId="77777777" w:rsidR="00055771" w:rsidRDefault="00055771" w:rsidP="00657110">
            <w:pPr>
              <w:spacing w:line="276" w:lineRule="auto"/>
            </w:pPr>
            <w:r>
              <w:t>States the central question(s) verbatim</w:t>
            </w:r>
          </w:p>
        </w:tc>
        <w:tc>
          <w:tcPr>
            <w:tcW w:w="2430" w:type="dxa"/>
          </w:tcPr>
          <w:p w14:paraId="575F9609" w14:textId="77777777" w:rsidR="00055771" w:rsidRDefault="00055771" w:rsidP="00657110">
            <w:pPr>
              <w:spacing w:line="276" w:lineRule="auto"/>
            </w:pPr>
            <w:r>
              <w:t>States question(s) not central to the study</w:t>
            </w:r>
          </w:p>
        </w:tc>
      </w:tr>
      <w:tr w:rsidR="00055771" w14:paraId="2419BB0E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244AE62B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D</w:t>
            </w:r>
          </w:p>
        </w:tc>
        <w:tc>
          <w:tcPr>
            <w:tcW w:w="2706" w:type="dxa"/>
          </w:tcPr>
          <w:p w14:paraId="686CC7C6" w14:textId="77777777" w:rsidR="00055771" w:rsidRDefault="00055771" w:rsidP="00657110">
            <w:pPr>
              <w:spacing w:line="276" w:lineRule="auto"/>
            </w:pPr>
            <w:r>
              <w:t>Concisely explains the central IV and DV</w:t>
            </w:r>
          </w:p>
        </w:tc>
        <w:tc>
          <w:tcPr>
            <w:tcW w:w="2610" w:type="dxa"/>
          </w:tcPr>
          <w:p w14:paraId="3038F410" w14:textId="77777777" w:rsidR="00055771" w:rsidRDefault="00055771" w:rsidP="00657110">
            <w:pPr>
              <w:spacing w:line="276" w:lineRule="auto"/>
            </w:pPr>
            <w:r>
              <w:t>Explains the central IV and DV but in too much detail (3 sentences or 4 lines)</w:t>
            </w:r>
          </w:p>
        </w:tc>
        <w:tc>
          <w:tcPr>
            <w:tcW w:w="2430" w:type="dxa"/>
          </w:tcPr>
          <w:p w14:paraId="13F7CA54" w14:textId="77777777" w:rsidR="00055771" w:rsidRDefault="00055771" w:rsidP="00657110">
            <w:pPr>
              <w:spacing w:line="276" w:lineRule="auto"/>
            </w:pPr>
            <w:r>
              <w:t>Either explains the IV and DV not central to the study or exceeds 4 sentences (5 lines)</w:t>
            </w:r>
          </w:p>
        </w:tc>
      </w:tr>
      <w:tr w:rsidR="00055771" w14:paraId="60601F37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0A29C6F4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A</w:t>
            </w:r>
          </w:p>
        </w:tc>
        <w:tc>
          <w:tcPr>
            <w:tcW w:w="2706" w:type="dxa"/>
          </w:tcPr>
          <w:p w14:paraId="7FC24153" w14:textId="77777777" w:rsidR="00055771" w:rsidRDefault="00055771" w:rsidP="00657110">
            <w:pPr>
              <w:spacing w:line="276" w:lineRule="auto"/>
            </w:pPr>
            <w:r>
              <w:t>Clearly and concisely explains the correct rationale (assumptions and predictions)</w:t>
            </w:r>
          </w:p>
        </w:tc>
        <w:tc>
          <w:tcPr>
            <w:tcW w:w="2610" w:type="dxa"/>
          </w:tcPr>
          <w:p w14:paraId="5A510051" w14:textId="77777777" w:rsidR="00055771" w:rsidRDefault="00055771" w:rsidP="00657110">
            <w:pPr>
              <w:spacing w:line="276" w:lineRule="auto"/>
            </w:pPr>
            <w:r>
              <w:t>Explains the correct rationale but in too much detail (3 sentences or 4 lines), or else only partially explains the rationale</w:t>
            </w:r>
          </w:p>
        </w:tc>
        <w:tc>
          <w:tcPr>
            <w:tcW w:w="2430" w:type="dxa"/>
          </w:tcPr>
          <w:p w14:paraId="7086044E" w14:textId="77777777" w:rsidR="00055771" w:rsidRDefault="00055771" w:rsidP="00657110">
            <w:pPr>
              <w:spacing w:line="276" w:lineRule="auto"/>
            </w:pPr>
            <w:r>
              <w:t>Explains the incorrect rationale or exceeds 4 sentences (5 lines)</w:t>
            </w:r>
          </w:p>
        </w:tc>
      </w:tr>
      <w:tr w:rsidR="00055771" w14:paraId="7CA29267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629A7CFC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F</w:t>
            </w:r>
          </w:p>
        </w:tc>
        <w:tc>
          <w:tcPr>
            <w:tcW w:w="2706" w:type="dxa"/>
          </w:tcPr>
          <w:p w14:paraId="5BB9C0FD" w14:textId="77777777" w:rsidR="00055771" w:rsidRDefault="00055771" w:rsidP="00657110">
            <w:pPr>
              <w:spacing w:line="276" w:lineRule="auto"/>
            </w:pPr>
            <w:r>
              <w:t>Concisely explains the central findings</w:t>
            </w:r>
          </w:p>
        </w:tc>
        <w:tc>
          <w:tcPr>
            <w:tcW w:w="2610" w:type="dxa"/>
          </w:tcPr>
          <w:p w14:paraId="002D83E7" w14:textId="77777777" w:rsidR="00055771" w:rsidRDefault="00055771" w:rsidP="00657110">
            <w:pPr>
              <w:spacing w:line="276" w:lineRule="auto"/>
            </w:pPr>
            <w:r>
              <w:t>Explains the central findings but in too much detail (3 sentences or 4 lines)</w:t>
            </w:r>
          </w:p>
        </w:tc>
        <w:tc>
          <w:tcPr>
            <w:tcW w:w="2430" w:type="dxa"/>
          </w:tcPr>
          <w:p w14:paraId="6D29EE29" w14:textId="77777777" w:rsidR="00055771" w:rsidRDefault="00055771" w:rsidP="00657110">
            <w:pPr>
              <w:spacing w:line="276" w:lineRule="auto"/>
            </w:pPr>
            <w:r>
              <w:t>Explains the findings not central to the study or exceeds 4 sentences (5 lines)</w:t>
            </w:r>
          </w:p>
        </w:tc>
      </w:tr>
      <w:tr w:rsidR="00055771" w14:paraId="14C095B0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03D77D12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I</w:t>
            </w:r>
          </w:p>
        </w:tc>
        <w:tc>
          <w:tcPr>
            <w:tcW w:w="2706" w:type="dxa"/>
          </w:tcPr>
          <w:p w14:paraId="7CE5D48E" w14:textId="77777777" w:rsidR="00055771" w:rsidRDefault="00055771" w:rsidP="00657110">
            <w:pPr>
              <w:spacing w:line="276" w:lineRule="auto"/>
            </w:pPr>
            <w:r>
              <w:t>Concisely explains the correct interpretation and possible issues, if added</w:t>
            </w:r>
          </w:p>
        </w:tc>
        <w:tc>
          <w:tcPr>
            <w:tcW w:w="2610" w:type="dxa"/>
          </w:tcPr>
          <w:p w14:paraId="1818548F" w14:textId="77777777" w:rsidR="00055771" w:rsidRDefault="00055771" w:rsidP="00657110">
            <w:pPr>
              <w:spacing w:line="276" w:lineRule="auto"/>
            </w:pPr>
            <w:r>
              <w:t>Explains the correct interpretation and possible issues, if added, but in too much detail (3 sentences or 4 lines)</w:t>
            </w:r>
          </w:p>
        </w:tc>
        <w:tc>
          <w:tcPr>
            <w:tcW w:w="2430" w:type="dxa"/>
          </w:tcPr>
          <w:p w14:paraId="7870A6EC" w14:textId="77777777" w:rsidR="00055771" w:rsidRDefault="00055771" w:rsidP="00657110">
            <w:pPr>
              <w:spacing w:line="276" w:lineRule="auto"/>
            </w:pPr>
            <w:r>
              <w:t>Explains the incorrect interpretation or exceeds 4 sentences (5 lines)</w:t>
            </w:r>
          </w:p>
        </w:tc>
      </w:tr>
      <w:tr w:rsidR="00055771" w14:paraId="607BC2FA" w14:textId="77777777" w:rsidTr="00657110">
        <w:tc>
          <w:tcPr>
            <w:tcW w:w="1429" w:type="dxa"/>
            <w:shd w:val="clear" w:color="auto" w:fill="DEEAF6" w:themeFill="accent5" w:themeFillTint="33"/>
            <w:vAlign w:val="center"/>
          </w:tcPr>
          <w:p w14:paraId="3B3B2E45" w14:textId="77777777" w:rsidR="00055771" w:rsidRPr="00E47C6E" w:rsidRDefault="00055771" w:rsidP="00657110">
            <w:pPr>
              <w:spacing w:line="276" w:lineRule="auto"/>
              <w:rPr>
                <w:b/>
              </w:rPr>
            </w:pPr>
            <w:r w:rsidRPr="00E47C6E">
              <w:rPr>
                <w:b/>
              </w:rPr>
              <w:t>Reflection</w:t>
            </w:r>
          </w:p>
        </w:tc>
        <w:tc>
          <w:tcPr>
            <w:tcW w:w="2706" w:type="dxa"/>
          </w:tcPr>
          <w:p w14:paraId="686AE2C8" w14:textId="77777777" w:rsidR="00055771" w:rsidRDefault="00055771" w:rsidP="00657110">
            <w:pPr>
              <w:spacing w:line="276" w:lineRule="auto"/>
            </w:pPr>
            <w:r>
              <w:t>Clearly relates findings to society or personal experience, or else discusses potential follow-up research or issues of the study</w:t>
            </w:r>
          </w:p>
        </w:tc>
        <w:tc>
          <w:tcPr>
            <w:tcW w:w="2610" w:type="dxa"/>
          </w:tcPr>
          <w:p w14:paraId="678B0B10" w14:textId="77777777" w:rsidR="00055771" w:rsidRDefault="00055771" w:rsidP="00657110">
            <w:pPr>
              <w:spacing w:line="276" w:lineRule="auto"/>
            </w:pPr>
            <w:r>
              <w:t>Relates findings to society or personal experience, or else discusses potential follow-up research or issues of the study, but it is not clear</w:t>
            </w:r>
          </w:p>
        </w:tc>
        <w:tc>
          <w:tcPr>
            <w:tcW w:w="2430" w:type="dxa"/>
          </w:tcPr>
          <w:p w14:paraId="5C34610B" w14:textId="77777777" w:rsidR="00055771" w:rsidRDefault="00055771" w:rsidP="00657110">
            <w:pPr>
              <w:spacing w:line="276" w:lineRule="auto"/>
            </w:pPr>
            <w:r>
              <w:t>Does not attempt to relate findings to society or personal experience, or else discuss potential follow-up research or issues of the study</w:t>
            </w:r>
          </w:p>
        </w:tc>
      </w:tr>
    </w:tbl>
    <w:p w14:paraId="06F3E4D0" w14:textId="77777777" w:rsidR="00055771" w:rsidRDefault="00055771" w:rsidP="00055771">
      <w:pPr>
        <w:spacing w:line="276" w:lineRule="auto"/>
      </w:pPr>
    </w:p>
    <w:p w14:paraId="559DB9EE" w14:textId="77777777" w:rsidR="00055771" w:rsidRPr="008319F9" w:rsidRDefault="00055771" w:rsidP="00055771">
      <w:pPr>
        <w:spacing w:line="276" w:lineRule="auto"/>
      </w:pPr>
      <w:r>
        <w:t>When the assignment does not ask for a Reflection, all points will be scaled proportionally (keeping 10 points for completion).</w:t>
      </w:r>
    </w:p>
    <w:p w14:paraId="1EF2CC69" w14:textId="77777777" w:rsidR="00055771" w:rsidRPr="008319F9" w:rsidRDefault="00055771" w:rsidP="00055771">
      <w:pPr>
        <w:spacing w:line="276" w:lineRule="auto"/>
      </w:pPr>
    </w:p>
    <w:p w14:paraId="24E7E107" w14:textId="77777777" w:rsidR="00055771" w:rsidRPr="006E04AF" w:rsidRDefault="00055771" w:rsidP="00532777">
      <w:pPr>
        <w:shd w:val="clear" w:color="auto" w:fill="FFFFFF"/>
        <w:jc w:val="both"/>
        <w:rPr>
          <w:color w:val="212121"/>
          <w:highlight w:val="white"/>
        </w:rPr>
      </w:pPr>
    </w:p>
    <w:p w14:paraId="39E8B540" w14:textId="079B50E3" w:rsidR="00EB61A5" w:rsidRPr="006E04AF" w:rsidRDefault="00EB61A5"/>
    <w:sectPr w:rsidR="00EB61A5" w:rsidRPr="006E0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39E"/>
    <w:multiLevelType w:val="multilevel"/>
    <w:tmpl w:val="5EE616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1212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02944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77"/>
    <w:rsid w:val="00055771"/>
    <w:rsid w:val="002C4F23"/>
    <w:rsid w:val="00532777"/>
    <w:rsid w:val="006E04AF"/>
    <w:rsid w:val="007362B2"/>
    <w:rsid w:val="00852D85"/>
    <w:rsid w:val="00A10660"/>
    <w:rsid w:val="00D44810"/>
    <w:rsid w:val="00EB61A5"/>
    <w:rsid w:val="00F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2687"/>
  <w15:chartTrackingRefBased/>
  <w15:docId w15:val="{2CE74B6A-1E42-0947-A10D-61D5775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77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2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62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362B2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055771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nas.org/doi/epdf/10.1073/pnas.172266411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sychologytoday.com/us/blog/brain-trust/201901/why-we-post-workout-pictures-social-media" TargetMode="External"/><Relationship Id="rId5" Type="http://schemas.openxmlformats.org/officeDocument/2006/relationships/hyperlink" Target="https://www.psypost.org/2021/11/psychologists-have-found-that-triggering-large-prediction-errors-helps-to-change-false-beliefs-6211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 Vlasceanu</dc:creator>
  <cp:keywords/>
  <dc:description/>
  <cp:lastModifiedBy>Madalin Vlasceanu</cp:lastModifiedBy>
  <cp:revision>5</cp:revision>
  <dcterms:created xsi:type="dcterms:W3CDTF">2023-07-22T19:42:00Z</dcterms:created>
  <dcterms:modified xsi:type="dcterms:W3CDTF">2023-07-22T20:06:00Z</dcterms:modified>
</cp:coreProperties>
</file>