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F36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bookmarkStart w:id="0" w:name="_GoBack"/>
      <w:bookmarkEnd w:id="0"/>
    </w:p>
    <w:p w14:paraId="444DE743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jc w:val="left"/>
        <w:rPr>
          <w:rFonts w:hint="default" w:ascii="Arial" w:hAnsi="Arial" w:eastAsia="sans-serif" w:cs="Arial"/>
          <w:color w:val="1B1C1D"/>
        </w:rPr>
      </w:pPr>
      <w:r>
        <w:rPr>
          <w:rFonts w:hint="default" w:ascii="Arial" w:hAnsi="Arial" w:eastAsia="sans-serif" w:cs="Arial"/>
          <w:color w:val="1B1C1D"/>
          <w:sz w:val="40"/>
          <w:szCs w:val="40"/>
        </w:rPr>
        <w:t>Marco Antonio Villalobos Michelson</w:t>
      </w:r>
    </w:p>
    <w:p w14:paraId="5979360C">
      <w:pPr>
        <w:pStyle w:val="8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92" w:afterAutospacing="0" w:line="14" w:lineRule="atLeast"/>
        <w:ind w:left="0" w:leftChars="0" w:right="0" w:firstLine="0" w:firstLineChars="0"/>
        <w:jc w:val="left"/>
        <w:rPr>
          <w:rFonts w:hint="default" w:ascii="Arial" w:hAnsi="Arial" w:eastAsia="sans-serif" w:cs="Arial"/>
          <w:color w:val="1B1C1D"/>
          <w:lang w:val="es-MX"/>
        </w:rPr>
      </w:pPr>
      <w:r>
        <w:rPr>
          <w:rFonts w:hint="default" w:ascii="Arial" w:hAnsi="Arial" w:eastAsia="sans-serif" w:cs="Arial"/>
          <w:color w:val="1B1C1D"/>
        </w:rPr>
        <w:t xml:space="preserve">Santiago, Chile | +56 9 32226054 | </w:t>
      </w:r>
      <w:r>
        <w:rPr>
          <w:rFonts w:hint="default" w:ascii="Arial" w:hAnsi="Arial" w:eastAsia="sans-serif" w:cs="Arial"/>
          <w:color w:val="1B1C1D"/>
          <w:lang w:val="es-MX"/>
        </w:rPr>
        <w:t>michelson.marco.antonio@gmail.com</w:t>
      </w:r>
    </w:p>
    <w:p w14:paraId="7C0E5D34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Arial" w:hAnsi="Arial" w:eastAsia="sans-serif" w:cs="Arial"/>
          <w:color w:val="1B1C1D"/>
        </w:rPr>
      </w:pPr>
    </w:p>
    <w:p w14:paraId="5CDBBFA1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Arial" w:hAnsi="Arial" w:eastAsia="sans-serif" w:cs="Arial"/>
          <w:color w:val="1B1C1D"/>
        </w:rPr>
      </w:pPr>
      <w:r>
        <w:rPr>
          <w:rFonts w:hint="default" w:ascii="Arial" w:hAnsi="Arial" w:eastAsia="sans-serif" w:cs="Arial"/>
          <w:i w:val="0"/>
          <w:iCs w:val="0"/>
          <w:color w:val="1B1C1D"/>
        </w:rPr>
        <w:t>Perfil Profesional</w:t>
      </w:r>
    </w:p>
    <w:p w14:paraId="2C092881">
      <w:pPr>
        <w:pStyle w:val="8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92" w:afterAutospacing="0" w:line="14" w:lineRule="atLeast"/>
        <w:ind w:left="0" w:right="0"/>
        <w:jc w:val="both"/>
        <w:rPr>
          <w:rFonts w:hint="default" w:ascii="Arial" w:hAnsi="Arial" w:eastAsia="sans-serif" w:cs="Arial"/>
          <w:b w:val="0"/>
          <w:bCs w:val="0"/>
          <w:color w:val="1B1C1D"/>
          <w:sz w:val="24"/>
          <w:szCs w:val="24"/>
        </w:rPr>
      </w:pPr>
      <w:r>
        <w:rPr>
          <w:rFonts w:hint="default" w:ascii="Arial" w:hAnsi="Arial" w:eastAsia="sans-serif" w:cs="Arial"/>
          <w:b w:val="0"/>
          <w:bCs w:val="0"/>
          <w:color w:val="1B1C1D"/>
          <w:sz w:val="24"/>
          <w:szCs w:val="24"/>
        </w:rPr>
        <w:t xml:space="preserve">Ingeniero Informático con más de 25 años de experiencia ejecutiva en </w:t>
      </w:r>
      <w:r>
        <w:rPr>
          <w:rFonts w:hint="default" w:ascii="Arial" w:hAnsi="Arial" w:eastAsia="sans-serif" w:cs="Arial"/>
          <w:b w:val="0"/>
          <w:bCs w:val="0"/>
          <w:color w:val="1B1C1D"/>
          <w:sz w:val="24"/>
          <w:szCs w:val="24"/>
        </w:rPr>
        <w:t>Consultoría de Clase Mundial</w:t>
      </w:r>
      <w:r>
        <w:rPr>
          <w:rFonts w:hint="default" w:ascii="Arial" w:hAnsi="Arial" w:eastAsia="sans-serif" w:cs="Arial"/>
          <w:b w:val="0"/>
          <w:bCs w:val="0"/>
          <w:color w:val="1B1C1D"/>
          <w:sz w:val="24"/>
          <w:szCs w:val="24"/>
        </w:rPr>
        <w:t xml:space="preserve"> (PwC y Deloitte) y en la </w:t>
      </w:r>
      <w:r>
        <w:rPr>
          <w:rFonts w:hint="default" w:ascii="Arial" w:hAnsi="Arial" w:eastAsia="sans-serif" w:cs="Arial"/>
          <w:b w:val="0"/>
          <w:bCs w:val="0"/>
          <w:color w:val="1B1C1D"/>
          <w:sz w:val="24"/>
          <w:szCs w:val="24"/>
        </w:rPr>
        <w:t>Dirección de Soluciones TI</w:t>
      </w:r>
      <w:r>
        <w:rPr>
          <w:rFonts w:hint="default" w:ascii="Arial" w:hAnsi="Arial" w:eastAsia="sans-serif" w:cs="Arial"/>
          <w:b w:val="0"/>
          <w:bCs w:val="0"/>
          <w:color w:val="1B1C1D"/>
          <w:sz w:val="24"/>
          <w:szCs w:val="24"/>
        </w:rPr>
        <w:t xml:space="preserve"> en el sector financiero nacional. Mi especialización se centra en el ciclo completo del desarrollo de sistemas de información (SDLC), aplicando una visión estratégica para el </w:t>
      </w:r>
      <w:r>
        <w:rPr>
          <w:rFonts w:hint="default" w:ascii="Arial" w:hAnsi="Arial" w:eastAsia="sans-serif" w:cs="Arial"/>
          <w:b w:val="0"/>
          <w:bCs w:val="0"/>
          <w:color w:val="1B1C1D"/>
          <w:sz w:val="24"/>
          <w:szCs w:val="24"/>
        </w:rPr>
        <w:t>Levantamiento de Requerimientos, Análisis de Procesos y Quality Assurance (QA)</w:t>
      </w:r>
      <w:r>
        <w:rPr>
          <w:rFonts w:hint="default" w:ascii="Arial" w:hAnsi="Arial" w:eastAsia="sans-serif" w:cs="Arial"/>
          <w:b w:val="0"/>
          <w:bCs w:val="0"/>
          <w:color w:val="1B1C1D"/>
          <w:sz w:val="24"/>
          <w:szCs w:val="24"/>
        </w:rPr>
        <w:t>.</w:t>
      </w:r>
    </w:p>
    <w:p w14:paraId="34E10465">
      <w:pPr>
        <w:pStyle w:val="8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92" w:afterAutospacing="0" w:line="14" w:lineRule="atLeast"/>
        <w:ind w:left="0" w:right="0"/>
        <w:jc w:val="both"/>
        <w:rPr>
          <w:rFonts w:hint="default" w:ascii="Arial" w:hAnsi="Arial" w:eastAsia="sans-serif" w:cs="Arial"/>
          <w:b w:val="0"/>
          <w:bCs w:val="0"/>
          <w:color w:val="1B1C1D"/>
        </w:rPr>
      </w:pP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Mi valor se basa en la </w:t>
      </w:r>
      <w:r>
        <w:rPr>
          <w:rFonts w:hint="default" w:ascii="Arial" w:hAnsi="Arial" w:eastAsia="sans-serif" w:cs="Arial"/>
          <w:b w:val="0"/>
          <w:bCs w:val="0"/>
          <w:color w:val="1B1C1D"/>
        </w:rPr>
        <w:t>autonomía y capacidad analítica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 para investigar problemas, diagnosticar el funcionamiento de sistemas y transformar las brechas de riesgo en </w:t>
      </w:r>
      <w:r>
        <w:rPr>
          <w:rFonts w:hint="default" w:ascii="Arial" w:hAnsi="Arial" w:eastAsia="sans-serif" w:cs="Arial"/>
          <w:b w:val="0"/>
          <w:bCs w:val="0"/>
          <w:color w:val="1B1C1D"/>
        </w:rPr>
        <w:t>soluciones de negocio eficientes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. Poseo una comprensión profunda de las metodologías de desarrollo modernas, aplicando el rigor de la Gobernanza (COBIT, CMMI) a entornos </w:t>
      </w:r>
      <w:r>
        <w:rPr>
          <w:rFonts w:hint="default" w:ascii="Arial" w:hAnsi="Arial" w:eastAsia="sans-serif" w:cs="Arial"/>
          <w:b w:val="0"/>
          <w:bCs w:val="0"/>
          <w:color w:val="1B1C1D"/>
        </w:rPr>
        <w:t>Agile (Scrum) y de Integración Continua (DevOps)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 para garantizar la calidad y la resiliencia de las soluciones.</w:t>
      </w:r>
    </w:p>
    <w:p w14:paraId="7FE9E35B">
      <w:pPr>
        <w:pStyle w:val="8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jc w:val="both"/>
        <w:rPr>
          <w:rFonts w:hint="default" w:ascii="Arial" w:hAnsi="Arial" w:eastAsia="sans-serif" w:cs="Arial"/>
          <w:b/>
          <w:bCs/>
          <w:color w:val="1B1C1D"/>
        </w:rPr>
      </w:pPr>
      <w:r>
        <w:rPr>
          <w:rFonts w:hint="default" w:ascii="Arial" w:hAnsi="Arial" w:eastAsia="sans-serif" w:cs="Arial"/>
          <w:b/>
          <w:bCs/>
          <w:color w:val="1B1C1D"/>
        </w:rPr>
        <w:t>Experiencia Destacada:</w:t>
      </w:r>
    </w:p>
    <w:p w14:paraId="5ACDCCF1">
      <w:pPr>
        <w:pStyle w:val="8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jc w:val="both"/>
        <w:rPr>
          <w:rFonts w:hint="default" w:ascii="Arial" w:hAnsi="Arial" w:eastAsia="sans-serif" w:cs="Arial"/>
          <w:b w:val="0"/>
          <w:bCs w:val="0"/>
          <w:color w:val="1B1C1D"/>
        </w:rPr>
      </w:pPr>
      <w:r>
        <w:rPr>
          <w:rFonts w:hint="default" w:ascii="Arial" w:hAnsi="Arial" w:eastAsia="sans-serif" w:cs="Arial"/>
          <w:b/>
          <w:bCs/>
          <w:color w:val="1B1C1D"/>
        </w:rPr>
        <w:t>Levantamiento y Análisis de Procesos:</w:t>
      </w:r>
      <w:r>
        <w:rPr>
          <w:rFonts w:hint="default" w:ascii="Arial" w:hAnsi="Arial" w:eastAsia="sans-serif" w:cs="Arial"/>
          <w:color w:val="1B1C1D"/>
        </w:rPr>
        <w:t xml:space="preserve"> 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Experiencia probada en la </w:t>
      </w:r>
      <w:r>
        <w:rPr>
          <w:rFonts w:hint="default" w:ascii="Arial" w:hAnsi="Arial" w:eastAsia="sans-serif" w:cs="Arial"/>
          <w:b w:val="0"/>
          <w:bCs w:val="0"/>
          <w:color w:val="1B1C1D"/>
        </w:rPr>
        <w:t>flujogramación y documentación de sistemas y flujos de trabajo críticos</w:t>
      </w:r>
      <w:r>
        <w:rPr>
          <w:rFonts w:hint="default" w:ascii="Arial" w:hAnsi="Arial" w:eastAsia="sans-serif" w:cs="Arial"/>
          <w:b w:val="0"/>
          <w:bCs w:val="0"/>
          <w:color w:val="1B1C1D"/>
        </w:rPr>
        <w:t>, identificando debilidades para proponer mejoras sistémicas.</w:t>
      </w:r>
    </w:p>
    <w:p w14:paraId="151C9B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right="0" w:rightChars="0"/>
        <w:jc w:val="both"/>
        <w:rPr>
          <w:rFonts w:hint="default" w:ascii="Arial" w:hAnsi="Arial" w:eastAsia="sans-serif" w:cs="Arial"/>
          <w:color w:val="1B1C1D"/>
        </w:rPr>
      </w:pPr>
    </w:p>
    <w:p w14:paraId="79FFB7D0">
      <w:pPr>
        <w:pStyle w:val="8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jc w:val="both"/>
        <w:rPr>
          <w:rFonts w:hint="default" w:ascii="Arial" w:hAnsi="Arial" w:eastAsia="sans-serif" w:cs="Arial"/>
          <w:color w:val="1B1C1D"/>
        </w:rPr>
      </w:pPr>
      <w:r>
        <w:rPr>
          <w:rFonts w:hint="default" w:ascii="Arial" w:hAnsi="Arial" w:eastAsia="sans-serif" w:cs="Arial"/>
          <w:b/>
          <w:bCs/>
          <w:color w:val="1B1C1D"/>
        </w:rPr>
        <w:t>Quality Assurance (QA) y Resiliencia:</w:t>
      </w:r>
      <w:r>
        <w:rPr>
          <w:rFonts w:hint="default" w:ascii="Arial" w:hAnsi="Arial" w:eastAsia="sans-serif" w:cs="Arial"/>
          <w:color w:val="1B1C1D"/>
        </w:rPr>
        <w:t xml:space="preserve"> 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Liderazgo en la </w:t>
      </w:r>
      <w:r>
        <w:rPr>
          <w:rFonts w:hint="default" w:ascii="Arial" w:hAnsi="Arial" w:eastAsia="sans-serif" w:cs="Arial"/>
          <w:b w:val="0"/>
          <w:bCs w:val="0"/>
          <w:color w:val="1B1C1D"/>
        </w:rPr>
        <w:t>realización de pruebas de verificación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 (QA) y validación de sistemas de misión crítica, incluyendo el desarrollo y la implementación de programas de Continuidad de Negocio (BCP/DRP).</w:t>
      </w:r>
    </w:p>
    <w:p w14:paraId="64F2A61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right="0" w:rightChars="0"/>
        <w:jc w:val="both"/>
        <w:rPr>
          <w:rFonts w:hint="default" w:ascii="Arial" w:hAnsi="Arial" w:eastAsia="sans-serif" w:cs="Arial"/>
          <w:color w:val="1B1C1D"/>
        </w:rPr>
      </w:pPr>
    </w:p>
    <w:p w14:paraId="40E191E9">
      <w:pPr>
        <w:pStyle w:val="8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jc w:val="both"/>
        <w:rPr>
          <w:rFonts w:hint="default" w:ascii="Arial" w:hAnsi="Arial" w:eastAsia="sans-serif" w:cs="Arial"/>
          <w:b w:val="0"/>
          <w:bCs w:val="0"/>
          <w:color w:val="1B1C1D"/>
        </w:rPr>
      </w:pPr>
      <w:r>
        <w:rPr>
          <w:rFonts w:hint="default" w:ascii="Arial" w:hAnsi="Arial" w:eastAsia="sans-serif" w:cs="Arial"/>
          <w:b/>
          <w:bCs/>
          <w:color w:val="1B1C1D"/>
        </w:rPr>
        <w:t>Alineación Estratégica:</w:t>
      </w:r>
      <w:r>
        <w:rPr>
          <w:rFonts w:hint="default" w:ascii="Arial" w:hAnsi="Arial" w:eastAsia="sans-serif" w:cs="Arial"/>
          <w:color w:val="1B1C1D"/>
        </w:rPr>
        <w:t xml:space="preserve"> 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Integración de marcos de </w:t>
      </w:r>
      <w:r>
        <w:rPr>
          <w:rFonts w:hint="default" w:ascii="Arial" w:hAnsi="Arial" w:eastAsia="sans-serif" w:cs="Arial"/>
          <w:b w:val="0"/>
          <w:bCs w:val="0"/>
          <w:color w:val="1B1C1D"/>
        </w:rPr>
        <w:t>Madurez de Capacidades (CMMI)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 y </w:t>
      </w:r>
      <w:r>
        <w:rPr>
          <w:rFonts w:hint="default" w:ascii="Arial" w:hAnsi="Arial" w:eastAsia="sans-serif" w:cs="Arial"/>
          <w:b w:val="0"/>
          <w:bCs w:val="0"/>
          <w:color w:val="1B1C1D"/>
        </w:rPr>
        <w:t>Gobernanza (COBIT)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 para optimizar la eficiencia operativa y alinear las inversiones en TI con los objetivos corporativos.</w:t>
      </w:r>
    </w:p>
    <w:p w14:paraId="60462DDD">
      <w:pPr>
        <w:rPr>
          <w:rFonts w:hint="default" w:ascii="Verdana" w:hAnsi="Verdana" w:eastAsia="sans-serif" w:cs="Verdana"/>
          <w:i w:val="0"/>
          <w:iCs w:val="0"/>
          <w:color w:val="1B1C1D"/>
        </w:rPr>
      </w:pPr>
    </w:p>
    <w:p w14:paraId="65E8F15D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Arial" w:hAnsi="Arial" w:eastAsia="sans-serif" w:cs="Arial"/>
          <w:i w:val="0"/>
          <w:iCs w:val="0"/>
          <w:color w:val="1B1C1D"/>
        </w:rPr>
      </w:pPr>
      <w:r>
        <w:rPr>
          <w:rFonts w:hint="default" w:ascii="Arial" w:hAnsi="Arial" w:eastAsia="sans-serif" w:cs="Arial"/>
          <w:i w:val="0"/>
          <w:iCs w:val="0"/>
          <w:color w:val="1B1C1D"/>
        </w:rPr>
        <w:t>Habilidades y Competencias Estratégicas</w:t>
      </w:r>
    </w:p>
    <w:tbl>
      <w:tblPr>
        <w:tblStyle w:val="5"/>
        <w:tblW w:w="0" w:type="auto"/>
        <w:tblCellSpacing w:w="15" w:type="dxa"/>
        <w:tblInd w:w="231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03"/>
        <w:gridCol w:w="2528"/>
        <w:gridCol w:w="4206"/>
      </w:tblGrid>
      <w:tr w14:paraId="7E1A4831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2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343A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B1C1D"/>
              </w:rPr>
            </w:pPr>
            <w:r>
              <w:rPr>
                <w:rStyle w:val="7"/>
                <w:rFonts w:hint="default" w:ascii="Arial" w:hAnsi="Arial" w:eastAsia="sans-serif" w:cs="Arial"/>
                <w:color w:val="1B1C1D"/>
                <w:kern w:val="0"/>
                <w:sz w:val="24"/>
                <w:szCs w:val="24"/>
                <w:lang w:val="en-US" w:eastAsia="zh-CN" w:bidi="ar"/>
              </w:rPr>
              <w:t>Área de Competencia</w:t>
            </w:r>
          </w:p>
        </w:tc>
        <w:tc>
          <w:tcPr>
            <w:tcW w:w="2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2393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B1C1D"/>
              </w:rPr>
            </w:pPr>
            <w:r>
              <w:rPr>
                <w:rStyle w:val="7"/>
                <w:rFonts w:hint="default" w:ascii="Arial" w:hAnsi="Arial" w:eastAsia="sans-serif" w:cs="Arial"/>
                <w:color w:val="1B1C1D"/>
                <w:kern w:val="0"/>
                <w:sz w:val="24"/>
                <w:szCs w:val="24"/>
                <w:lang w:val="en-US" w:eastAsia="zh-CN" w:bidi="ar"/>
              </w:rPr>
              <w:t>Habilidad Destacada</w:t>
            </w:r>
          </w:p>
        </w:tc>
        <w:tc>
          <w:tcPr>
            <w:tcW w:w="4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0740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B1C1D"/>
              </w:rPr>
            </w:pPr>
            <w:r>
              <w:rPr>
                <w:rStyle w:val="7"/>
                <w:rFonts w:hint="default" w:ascii="Arial" w:hAnsi="Arial" w:eastAsia="sans-serif" w:cs="Arial"/>
                <w:color w:val="1B1C1D"/>
                <w:kern w:val="0"/>
                <w:sz w:val="24"/>
                <w:szCs w:val="24"/>
                <w:lang w:val="en-US" w:eastAsia="zh-CN" w:bidi="ar"/>
              </w:rPr>
              <w:t>Impacto de Negocio</w:t>
            </w:r>
          </w:p>
        </w:tc>
      </w:tr>
      <w:tr w14:paraId="5009B35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B7BE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B1C1D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Análisis de Requerimientos y Procesos</w:t>
            </w:r>
          </w:p>
        </w:tc>
        <w:tc>
          <w:tcPr>
            <w:tcW w:w="2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709E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B1C1D"/>
              </w:rPr>
            </w:pPr>
            <w:r>
              <w:rPr>
                <w:rFonts w:hint="default" w:ascii="Arial" w:hAnsi="Arial" w:eastAsia="sans-serif" w:cs="Arial"/>
                <w:color w:val="1B1C1D"/>
                <w:kern w:val="0"/>
                <w:sz w:val="24"/>
                <w:szCs w:val="24"/>
                <w:lang w:val="en-US" w:eastAsia="zh-CN" w:bidi="ar"/>
              </w:rPr>
              <w:t>Levantamiento, Mapeo, Documentación y Flujogramación (Bizagi)</w:t>
            </w:r>
          </w:p>
        </w:tc>
        <w:tc>
          <w:tcPr>
            <w:tcW w:w="4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E807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B1C1D"/>
              </w:rPr>
            </w:pPr>
            <w:r>
              <w:rPr>
                <w:rFonts w:hint="default" w:ascii="Arial" w:hAnsi="Arial" w:eastAsia="sans-serif" w:cs="Arial"/>
                <w:color w:val="1B1C1D"/>
                <w:kern w:val="0"/>
                <w:sz w:val="24"/>
                <w:szCs w:val="24"/>
                <w:lang w:val="en-US" w:eastAsia="zh-CN" w:bidi="ar"/>
              </w:rPr>
              <w:t>Autonomía para diagnosticar fallas y transformar necesidades de negocio en especificaciones funcionales y técnicas.</w:t>
            </w:r>
          </w:p>
        </w:tc>
      </w:tr>
      <w:tr w14:paraId="77D2FAC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AE01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B1C1D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Gobernanza y Madurez de Desarrollo</w:t>
            </w:r>
          </w:p>
        </w:tc>
        <w:tc>
          <w:tcPr>
            <w:tcW w:w="2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274A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B1C1D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CMMI, COBIT, ITIL</w:t>
            </w:r>
          </w:p>
        </w:tc>
        <w:tc>
          <w:tcPr>
            <w:tcW w:w="4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8BDD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B1C1D"/>
              </w:rPr>
            </w:pPr>
            <w:r>
              <w:rPr>
                <w:rFonts w:hint="default" w:ascii="Arial" w:hAnsi="Arial" w:eastAsia="sans-serif" w:cs="Arial"/>
                <w:color w:val="1B1C1D"/>
                <w:kern w:val="0"/>
                <w:sz w:val="24"/>
                <w:szCs w:val="24"/>
                <w:lang w:val="en-US" w:eastAsia="zh-CN" w:bidi="ar"/>
              </w:rPr>
              <w:t>Aplicación de estándares para evaluar y mejorar la calidad de los procesos de desarrollo y la madurez de la función TI.</w:t>
            </w:r>
          </w:p>
        </w:tc>
      </w:tr>
      <w:tr w14:paraId="060514C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645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B1C1D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Metodologías y QA</w:t>
            </w:r>
          </w:p>
        </w:tc>
        <w:tc>
          <w:tcPr>
            <w:tcW w:w="2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876D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B1C1D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Scrum, DevOps, Waterfall, Pruebas de Verificación</w:t>
            </w:r>
          </w:p>
        </w:tc>
        <w:tc>
          <w:tcPr>
            <w:tcW w:w="4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1210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B1C1D"/>
              </w:rPr>
            </w:pPr>
            <w:r>
              <w:rPr>
                <w:rFonts w:hint="default" w:ascii="Arial" w:hAnsi="Arial" w:eastAsia="sans-serif" w:cs="Arial"/>
                <w:color w:val="1B1C1D"/>
                <w:kern w:val="0"/>
                <w:sz w:val="24"/>
                <w:szCs w:val="24"/>
                <w:lang w:val="en-US" w:eastAsia="zh-CN" w:bidi="ar"/>
              </w:rPr>
              <w:t>Capacidad para trabajar en entornos ágiles y garantizar la calidad y la integración continua del software.</w:t>
            </w:r>
          </w:p>
        </w:tc>
      </w:tr>
      <w:tr w14:paraId="2ECF1A50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BD03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B1C1D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Orientación a Resultados</w:t>
            </w:r>
          </w:p>
        </w:tc>
        <w:tc>
          <w:tcPr>
            <w:tcW w:w="2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B132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B1C1D"/>
              </w:rPr>
            </w:pPr>
            <w:r>
              <w:rPr>
                <w:rFonts w:hint="default" w:ascii="Arial" w:hAnsi="Arial" w:eastAsia="sans-serif" w:cs="Arial"/>
                <w:color w:val="1B1C1D"/>
                <w:kern w:val="0"/>
                <w:sz w:val="24"/>
                <w:szCs w:val="24"/>
                <w:lang w:val="en-US" w:eastAsia="zh-CN" w:bidi="ar"/>
              </w:rPr>
              <w:t>Solución de Problemas y Asesoría Ejecutiva</w:t>
            </w:r>
          </w:p>
        </w:tc>
        <w:tc>
          <w:tcPr>
            <w:tcW w:w="4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1D5B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B1C1D"/>
              </w:rPr>
            </w:pPr>
            <w:r>
              <w:rPr>
                <w:rFonts w:hint="default" w:ascii="Arial" w:hAnsi="Arial" w:eastAsia="sans-serif" w:cs="Arial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Espíritu de servicio para impulsar planes de acción correctivos y </w:t>
            </w:r>
            <w:r>
              <w:rPr>
                <w:rFonts w:hint="default" w:ascii="Arial" w:hAnsi="Arial" w:eastAsia="sans-serif" w:cs="Arial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solucionar problemas críticos</w:t>
            </w:r>
            <w:r>
              <w:rPr>
                <w:rFonts w:hint="default" w:ascii="Arial" w:hAnsi="Arial" w:eastAsia="sans-serif" w:cs="Arial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para el cliente interno.</w:t>
            </w:r>
          </w:p>
        </w:tc>
      </w:tr>
      <w:tr w14:paraId="17EF330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7F06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B1C1D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Conocimiento Tecnológico</w:t>
            </w:r>
          </w:p>
        </w:tc>
        <w:tc>
          <w:tcPr>
            <w:tcW w:w="2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0F1C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B1C1D"/>
              </w:rPr>
            </w:pPr>
            <w:r>
              <w:rPr>
                <w:rFonts w:hint="default" w:ascii="Arial" w:hAnsi="Arial" w:eastAsia="sans-serif" w:cs="Arial"/>
                <w:color w:val="1B1C1D"/>
                <w:kern w:val="0"/>
                <w:sz w:val="24"/>
                <w:szCs w:val="24"/>
                <w:lang w:val="en-US" w:eastAsia="zh-CN" w:bidi="ar"/>
              </w:rPr>
              <w:t>Arquitectura de Sistemas Críticos y Plataformas</w:t>
            </w:r>
          </w:p>
        </w:tc>
        <w:tc>
          <w:tcPr>
            <w:tcW w:w="4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2110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B1C1D"/>
              </w:rPr>
            </w:pPr>
            <w:r>
              <w:rPr>
                <w:rFonts w:hint="default" w:ascii="Arial" w:hAnsi="Arial" w:eastAsia="sans-serif" w:cs="Arial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Familiaridad con </w:t>
            </w:r>
            <w:r>
              <w:rPr>
                <w:rFonts w:hint="default" w:ascii="Arial" w:hAnsi="Arial" w:eastAsia="sans-serif" w:cs="Arial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Linux/Ubuntu/Solaris</w:t>
            </w:r>
            <w:r>
              <w:rPr>
                <w:rFonts w:hint="default" w:ascii="Arial" w:hAnsi="Arial" w:eastAsia="sans-serif" w:cs="Arial"/>
                <w:color w:val="1B1C1D"/>
                <w:kern w:val="0"/>
                <w:sz w:val="24"/>
                <w:szCs w:val="24"/>
                <w:lang w:val="en-US" w:eastAsia="zh-CN" w:bidi="ar"/>
              </w:rPr>
              <w:t xml:space="preserve"> y tecnologías de scripting (</w:t>
            </w:r>
            <w:r>
              <w:rPr>
                <w:rFonts w:hint="default" w:ascii="Arial" w:hAnsi="Arial" w:eastAsia="sans-serif" w:cs="Arial"/>
                <w:b/>
                <w:bCs/>
                <w:color w:val="1B1C1D"/>
                <w:kern w:val="0"/>
                <w:sz w:val="24"/>
                <w:szCs w:val="24"/>
                <w:lang w:val="en-US" w:eastAsia="zh-CN" w:bidi="ar"/>
              </w:rPr>
              <w:t>Python</w:t>
            </w:r>
            <w:r>
              <w:rPr>
                <w:rFonts w:hint="default" w:ascii="Arial" w:hAnsi="Arial" w:eastAsia="sans-serif" w:cs="Arial"/>
                <w:color w:val="1B1C1D"/>
                <w:kern w:val="0"/>
                <w:sz w:val="24"/>
                <w:szCs w:val="24"/>
                <w:lang w:val="en-US" w:eastAsia="zh-CN" w:bidi="ar"/>
              </w:rPr>
              <w:t>, JavaScript) aplicadas a la automatización de procesos a y análisis de datos.</w:t>
            </w:r>
          </w:p>
        </w:tc>
      </w:tr>
    </w:tbl>
    <w:p w14:paraId="49DA296B">
      <w:pPr>
        <w:rPr>
          <w:rFonts w:hint="default" w:ascii="Arial" w:hAnsi="Arial" w:eastAsia="sans-serif" w:cs="Arial"/>
          <w:i w:val="0"/>
          <w:iCs w:val="0"/>
          <w:color w:val="1B1C1D"/>
        </w:rPr>
      </w:pPr>
    </w:p>
    <w:p w14:paraId="0CD78531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Arial" w:hAnsi="Arial" w:eastAsia="sans-serif" w:cs="Arial"/>
          <w:i w:val="0"/>
          <w:iCs w:val="0"/>
          <w:color w:val="1B1C1D"/>
        </w:rPr>
      </w:pPr>
    </w:p>
    <w:p w14:paraId="6DB4C635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Arial" w:hAnsi="Arial" w:eastAsia="sans-serif" w:cs="Arial"/>
          <w:i w:val="0"/>
          <w:iCs w:val="0"/>
          <w:color w:val="1B1C1D"/>
        </w:rPr>
      </w:pPr>
      <w:r>
        <w:rPr>
          <w:rFonts w:hint="default" w:ascii="Arial" w:hAnsi="Arial" w:eastAsia="sans-serif" w:cs="Arial"/>
          <w:i w:val="0"/>
          <w:iCs w:val="0"/>
          <w:color w:val="1B1C1D"/>
        </w:rPr>
        <w:t>Experiencia Ejecutiva</w:t>
      </w:r>
    </w:p>
    <w:p w14:paraId="0B160CC5">
      <w:pPr>
        <w:rPr>
          <w:rFonts w:hint="default" w:ascii="Arial" w:hAnsi="Arial" w:cs="Arial"/>
        </w:rPr>
      </w:pPr>
    </w:p>
    <w:p w14:paraId="28619D49">
      <w:pPr>
        <w:rPr>
          <w:rFonts w:hint="default" w:ascii="Arial" w:hAnsi="Arial" w:cs="Arial"/>
        </w:rPr>
      </w:pPr>
    </w:p>
    <w:p w14:paraId="1B3BC6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  <w:color w:val="1B1C1D"/>
          <w:sz w:val="28"/>
          <w:szCs w:val="28"/>
          <w:u w:val="single"/>
        </w:rPr>
        <w:t>Solution Works Consulting Ltda.</w:t>
      </w:r>
      <w:r>
        <w:rPr>
          <w:rFonts w:hint="default" w:ascii="Arial" w:hAnsi="Arial" w:eastAsia="sans-serif" w:cs="Arial"/>
          <w:color w:val="1B1C1D"/>
        </w:rPr>
        <w:t xml:space="preserve"> | Gerente de Consultoría TI: Análisis y Diseño de Soluciones de Negocio</w:t>
      </w:r>
    </w:p>
    <w:p w14:paraId="7B6484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rPr>
          <w:rFonts w:hint="default" w:ascii="Arial" w:hAnsi="Arial" w:eastAsia="sans-serif" w:cs="Arial"/>
          <w:color w:val="1B1C1D"/>
        </w:rPr>
      </w:pPr>
      <w:r>
        <w:rPr>
          <w:rFonts w:hint="default" w:ascii="Arial" w:hAnsi="Arial" w:eastAsia="sans-serif" w:cs="Arial"/>
          <w:color w:val="1B1C1D"/>
        </w:rPr>
        <w:t>Enero 2020 – Presente</w:t>
      </w:r>
    </w:p>
    <w:p w14:paraId="41C0E0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rPr>
          <w:rFonts w:hint="default" w:ascii="Arial" w:hAnsi="Arial" w:eastAsia="sans-serif" w:cs="Arial"/>
          <w:color w:val="1B1C1D"/>
        </w:rPr>
      </w:pPr>
    </w:p>
    <w:p w14:paraId="75A111F2">
      <w:pPr>
        <w:pStyle w:val="8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leftChars="0" w:right="0" w:firstLine="0" w:firstLineChars="0"/>
        <w:jc w:val="both"/>
        <w:rPr>
          <w:rFonts w:hint="default" w:ascii="Arial" w:hAnsi="Arial" w:eastAsia="sans-serif" w:cs="Arial"/>
          <w:color w:val="1B1C1D"/>
        </w:rPr>
      </w:pPr>
      <w:r>
        <w:rPr>
          <w:rFonts w:hint="default" w:ascii="Arial" w:hAnsi="Arial" w:eastAsia="sans-serif" w:cs="Arial"/>
          <w:color w:val="1B1C1D"/>
        </w:rPr>
        <w:t xml:space="preserve">Lidero proyectos estratégicos que requieren el </w:t>
      </w:r>
      <w:r>
        <w:rPr>
          <w:rFonts w:hint="default" w:ascii="Arial" w:hAnsi="Arial" w:eastAsia="sans-serif" w:cs="Arial"/>
          <w:b/>
          <w:bCs/>
          <w:color w:val="1B1C1D"/>
        </w:rPr>
        <w:t>levantamiento de requerimientos</w:t>
      </w:r>
      <w:r>
        <w:rPr>
          <w:rFonts w:hint="default" w:ascii="Arial" w:hAnsi="Arial" w:eastAsia="sans-serif" w:cs="Arial"/>
          <w:color w:val="1B1C1D"/>
        </w:rPr>
        <w:t xml:space="preserve"> y el </w:t>
      </w:r>
      <w:r>
        <w:rPr>
          <w:rFonts w:hint="default" w:ascii="Arial" w:hAnsi="Arial" w:eastAsia="sans-serif" w:cs="Arial"/>
          <w:b/>
          <w:bCs/>
          <w:color w:val="1B1C1D"/>
        </w:rPr>
        <w:t>análisis de procesos</w:t>
      </w:r>
      <w:r>
        <w:rPr>
          <w:rFonts w:hint="default" w:ascii="Arial" w:hAnsi="Arial" w:eastAsia="sans-serif" w:cs="Arial"/>
          <w:color w:val="1B1C1D"/>
        </w:rPr>
        <w:t xml:space="preserve"> para diseñar e implementar soluciones de TI y Ciberseguridad.</w:t>
      </w:r>
    </w:p>
    <w:p w14:paraId="49579472">
      <w:pPr>
        <w:pStyle w:val="8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leftChars="0" w:right="0" w:firstLine="0" w:firstLineChars="0"/>
        <w:jc w:val="both"/>
        <w:rPr>
          <w:rFonts w:hint="default" w:ascii="Arial" w:hAnsi="Arial" w:eastAsia="sans-serif" w:cs="Arial"/>
          <w:color w:val="1B1C1D"/>
        </w:rPr>
      </w:pPr>
      <w:r>
        <w:rPr>
          <w:rFonts w:hint="default" w:ascii="Arial" w:hAnsi="Arial" w:eastAsia="sans-serif" w:cs="Arial"/>
          <w:b/>
          <w:bCs/>
          <w:color w:val="1B1C1D"/>
        </w:rPr>
        <w:t>Gestión de Programas de Mejora:</w:t>
      </w:r>
      <w:r>
        <w:rPr>
          <w:rFonts w:hint="default" w:ascii="Arial" w:hAnsi="Arial" w:eastAsia="sans-serif" w:cs="Arial"/>
          <w:color w:val="1B1C1D"/>
        </w:rPr>
        <w:t xml:space="preserve"> Desarrollo y supervisión de planes de remediación y mitigación de vulnerabilidades, asegurando el cumplimiento de las tareas asignadas.</w:t>
      </w:r>
    </w:p>
    <w:p w14:paraId="12FF24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leftChars="0" w:right="0" w:rightChars="0" w:firstLine="0" w:firstLineChars="0"/>
        <w:jc w:val="both"/>
        <w:rPr>
          <w:rFonts w:hint="default" w:ascii="Arial" w:hAnsi="Arial" w:eastAsia="sans-serif" w:cs="Arial"/>
          <w:color w:val="1B1C1D"/>
        </w:rPr>
      </w:pPr>
    </w:p>
    <w:p w14:paraId="2F4C3F9D">
      <w:pPr>
        <w:pStyle w:val="8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leftChars="0" w:right="0" w:firstLine="0" w:firstLineChars="0"/>
        <w:jc w:val="both"/>
        <w:rPr>
          <w:rFonts w:hint="default" w:ascii="Arial" w:hAnsi="Arial" w:eastAsia="sans-serif" w:cs="Arial"/>
          <w:color w:val="1B1C1D"/>
        </w:rPr>
      </w:pPr>
      <w:r>
        <w:rPr>
          <w:rFonts w:hint="default" w:ascii="Arial" w:hAnsi="Arial" w:eastAsia="sans-serif" w:cs="Arial"/>
          <w:b/>
          <w:bCs/>
          <w:color w:val="1B1C1D"/>
        </w:rPr>
        <w:t>Proyecto Clave:</w:t>
      </w:r>
      <w:r>
        <w:rPr>
          <w:rFonts w:hint="default" w:ascii="Arial" w:hAnsi="Arial" w:eastAsia="sans-serif" w:cs="Arial"/>
          <w:color w:val="1B1C1D"/>
        </w:rPr>
        <w:t xml:space="preserve"> 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Diseño e implementación del </w:t>
      </w:r>
      <w:r>
        <w:rPr>
          <w:rFonts w:hint="default" w:ascii="Arial" w:hAnsi="Arial" w:eastAsia="sans-serif" w:cs="Arial"/>
          <w:b w:val="0"/>
          <w:bCs w:val="0"/>
          <w:color w:val="1B1C1D"/>
        </w:rPr>
        <w:t>Sistema de Continuidad de Negocio (BCP/DRP)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 para una empresa líder del </w:t>
      </w:r>
      <w:r>
        <w:rPr>
          <w:rFonts w:hint="default" w:ascii="Arial" w:hAnsi="Arial" w:eastAsia="sans-serif" w:cs="Arial"/>
          <w:b w:val="0"/>
          <w:bCs w:val="0"/>
          <w:color w:val="1B1C1D"/>
        </w:rPr>
        <w:t>retail financiero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, validando la resiliencia operativa y realizando la </w:t>
      </w:r>
      <w:r>
        <w:rPr>
          <w:rFonts w:hint="default" w:ascii="Arial" w:hAnsi="Arial" w:eastAsia="sans-serif" w:cs="Arial"/>
          <w:b w:val="0"/>
          <w:bCs w:val="0"/>
          <w:color w:val="1B1C1D"/>
        </w:rPr>
        <w:t>documentación de especificaciones y manuales de uso</w:t>
      </w:r>
      <w:r>
        <w:rPr>
          <w:rFonts w:hint="default" w:ascii="Arial" w:hAnsi="Arial" w:eastAsia="sans-serif" w:cs="Arial"/>
          <w:b w:val="0"/>
          <w:bCs w:val="0"/>
          <w:color w:val="1B1C1D"/>
        </w:rPr>
        <w:t>.</w:t>
      </w:r>
    </w:p>
    <w:p w14:paraId="673D0E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-360" w:leftChars="0" w:right="0" w:rightChars="0"/>
        <w:rPr>
          <w:rFonts w:hint="default" w:ascii="Arial" w:hAnsi="Arial" w:eastAsia="sans-serif" w:cs="Arial"/>
          <w:color w:val="1B1C1D"/>
        </w:rPr>
      </w:pPr>
    </w:p>
    <w:p w14:paraId="1A0E3B3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jc w:val="both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  <w:color w:val="1B1C1D"/>
          <w:sz w:val="28"/>
          <w:szCs w:val="28"/>
          <w:u w:val="single"/>
        </w:rPr>
        <w:t>Banco Ripley</w:t>
      </w:r>
      <w:r>
        <w:rPr>
          <w:rFonts w:hint="default" w:ascii="Arial" w:hAnsi="Arial" w:eastAsia="sans-serif" w:cs="Arial"/>
          <w:color w:val="1B1C1D"/>
        </w:rPr>
        <w:t xml:space="preserve"> | Subgerente de Auditoría de Sistemas y Tecnologías de la Información: Evaluación y Mejora de Sistemas</w:t>
      </w:r>
    </w:p>
    <w:p w14:paraId="51A58E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jc w:val="both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color w:val="1B1C1D"/>
        </w:rPr>
        <w:t>Agosto 2010 – Enero 2020</w:t>
      </w:r>
    </w:p>
    <w:p w14:paraId="4DBF1DC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-360" w:leftChars="0" w:right="0" w:rightChars="0"/>
        <w:jc w:val="both"/>
        <w:rPr>
          <w:rFonts w:hint="default" w:ascii="Arial" w:hAnsi="Arial" w:eastAsia="sans-serif" w:cs="Arial"/>
          <w:color w:val="1B1C1D"/>
        </w:rPr>
      </w:pPr>
    </w:p>
    <w:p w14:paraId="2D94F556">
      <w:pPr>
        <w:pStyle w:val="8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jc w:val="both"/>
        <w:rPr>
          <w:rFonts w:hint="default" w:ascii="Arial" w:hAnsi="Arial" w:eastAsia="sans-serif" w:cs="Arial"/>
          <w:b w:val="0"/>
          <w:bCs w:val="0"/>
          <w:color w:val="1B1C1D"/>
        </w:rPr>
      </w:pP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Dirigí el Plan Anual de Auditoría TI, lo que implicó el </w:t>
      </w:r>
      <w:r>
        <w:rPr>
          <w:rFonts w:hint="default" w:ascii="Arial" w:hAnsi="Arial" w:eastAsia="sans-serif" w:cs="Arial"/>
          <w:b w:val="0"/>
          <w:bCs w:val="0"/>
          <w:color w:val="1B1C1D"/>
        </w:rPr>
        <w:t>análisis profundo de los sistemas existentes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 y el </w:t>
      </w:r>
      <w:r>
        <w:rPr>
          <w:rFonts w:hint="default" w:ascii="Arial" w:hAnsi="Arial" w:eastAsia="sans-serif" w:cs="Arial"/>
          <w:b w:val="0"/>
          <w:bCs w:val="0"/>
          <w:color w:val="1B1C1D"/>
        </w:rPr>
        <w:t>flujogramación de procesos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 para identificar debilidades y </w:t>
      </w:r>
      <w:r>
        <w:rPr>
          <w:rFonts w:hint="default" w:ascii="Arial" w:hAnsi="Arial" w:eastAsia="sans-serif" w:cs="Arial"/>
          <w:b w:val="0"/>
          <w:bCs w:val="0"/>
          <w:color w:val="1B1C1D"/>
        </w:rPr>
        <w:t>proponer mejoras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 sistémicas, cumpliendo con la normativa CMF.</w:t>
      </w:r>
    </w:p>
    <w:p w14:paraId="0BD155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right="0" w:rightChars="0"/>
        <w:jc w:val="both"/>
        <w:rPr>
          <w:rFonts w:hint="default" w:ascii="Arial" w:hAnsi="Arial" w:eastAsia="sans-serif" w:cs="Arial"/>
          <w:color w:val="1B1C1D"/>
        </w:rPr>
      </w:pPr>
    </w:p>
    <w:p w14:paraId="6BDF0E53">
      <w:pPr>
        <w:pStyle w:val="8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jc w:val="both"/>
        <w:rPr>
          <w:rFonts w:hint="default" w:ascii="Arial" w:hAnsi="Arial" w:eastAsia="sans-serif" w:cs="Arial"/>
          <w:b w:val="0"/>
          <w:bCs w:val="0"/>
          <w:color w:val="1B1C1D"/>
        </w:rPr>
      </w:pPr>
      <w:r>
        <w:rPr>
          <w:rFonts w:hint="default" w:ascii="Arial" w:hAnsi="Arial" w:eastAsia="sans-serif" w:cs="Arial"/>
          <w:b/>
          <w:bCs/>
          <w:color w:val="1B1C1D"/>
        </w:rPr>
        <w:t>Gestión de Metodologías:</w:t>
      </w:r>
      <w:r>
        <w:rPr>
          <w:rFonts w:hint="default" w:ascii="Arial" w:hAnsi="Arial" w:eastAsia="sans-serif" w:cs="Arial"/>
          <w:color w:val="1B1C1D"/>
        </w:rPr>
        <w:t xml:space="preserve"> 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Evaluación de la madurez de los procesos de desarrollo y operaciones, utilizando marcos de </w:t>
      </w:r>
      <w:r>
        <w:rPr>
          <w:rFonts w:hint="default" w:ascii="Arial" w:hAnsi="Arial" w:eastAsia="sans-serif" w:cs="Arial"/>
          <w:b w:val="0"/>
          <w:bCs w:val="0"/>
          <w:color w:val="1B1C1D"/>
        </w:rPr>
        <w:t>Gobernanza (COBIT)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 y de </w:t>
      </w:r>
      <w:r>
        <w:rPr>
          <w:rFonts w:hint="default" w:ascii="Arial" w:hAnsi="Arial" w:eastAsia="sans-serif" w:cs="Arial"/>
          <w:b w:val="0"/>
          <w:bCs w:val="0"/>
          <w:color w:val="1B1C1D"/>
        </w:rPr>
        <w:t>Mejora Continua (CMMI)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 para optimizar el rendimiento de la función TI.</w:t>
      </w:r>
    </w:p>
    <w:p w14:paraId="619E9E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right="0" w:rightChars="0"/>
        <w:jc w:val="both"/>
        <w:rPr>
          <w:rFonts w:hint="default" w:ascii="Arial" w:hAnsi="Arial" w:eastAsia="sans-serif" w:cs="Arial"/>
          <w:color w:val="1B1C1D"/>
        </w:rPr>
      </w:pPr>
    </w:p>
    <w:p w14:paraId="65D471B5">
      <w:pPr>
        <w:pStyle w:val="8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jc w:val="both"/>
        <w:rPr>
          <w:rFonts w:hint="default" w:ascii="Arial" w:hAnsi="Arial" w:eastAsia="sans-serif" w:cs="Arial"/>
          <w:b w:val="0"/>
          <w:bCs w:val="0"/>
          <w:color w:val="1B1C1D"/>
        </w:rPr>
      </w:pPr>
      <w:r>
        <w:rPr>
          <w:rFonts w:hint="default" w:ascii="Arial" w:hAnsi="Arial" w:eastAsia="sans-serif" w:cs="Arial"/>
          <w:b/>
          <w:bCs/>
          <w:color w:val="1B1C1D"/>
        </w:rPr>
        <w:t>Liderazgo de Implementación:</w:t>
      </w:r>
      <w:r>
        <w:rPr>
          <w:rFonts w:hint="default" w:ascii="Arial" w:hAnsi="Arial" w:eastAsia="sans-serif" w:cs="Arial"/>
          <w:color w:val="1B1C1D"/>
        </w:rPr>
        <w:t xml:space="preserve"> 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Lideré la </w:t>
      </w:r>
      <w:r>
        <w:rPr>
          <w:rFonts w:hint="default" w:ascii="Arial" w:hAnsi="Arial" w:eastAsia="sans-serif" w:cs="Arial"/>
          <w:b w:val="0"/>
          <w:bCs w:val="0"/>
          <w:color w:val="1B1C1D"/>
          <w:lang w:val="es-MX"/>
        </w:rPr>
        <w:t>Implementación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 de un Sistema de Automatización de </w:t>
      </w:r>
      <w:r>
        <w:rPr>
          <w:rFonts w:hint="default" w:ascii="Arial" w:hAnsi="Arial" w:eastAsia="sans-serif" w:cs="Arial"/>
          <w:b w:val="0"/>
          <w:bCs w:val="0"/>
          <w:color w:val="1B1C1D"/>
          <w:lang w:val="es-MX"/>
        </w:rPr>
        <w:t>Auditorias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, aprovechando herramientas de scripting (ACL/PAWS) para el monitoreo continuo, demostrando la aplicación de tecnologías como </w:t>
      </w:r>
      <w:r>
        <w:rPr>
          <w:rFonts w:hint="default" w:ascii="Arial" w:hAnsi="Arial" w:eastAsia="sans-serif" w:cs="Arial"/>
          <w:b w:val="0"/>
          <w:bCs w:val="0"/>
          <w:color w:val="1B1C1D"/>
        </w:rPr>
        <w:t>Python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 en el análisis de datos.</w:t>
      </w:r>
    </w:p>
    <w:p w14:paraId="70F03B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right="0" w:rightChars="0"/>
        <w:jc w:val="both"/>
        <w:rPr>
          <w:rFonts w:hint="default" w:ascii="Arial" w:hAnsi="Arial" w:eastAsia="sans-serif" w:cs="Arial"/>
          <w:color w:val="1B1C1D"/>
        </w:rPr>
      </w:pPr>
    </w:p>
    <w:p w14:paraId="52F6C505">
      <w:pPr>
        <w:pStyle w:val="8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jc w:val="both"/>
        <w:rPr>
          <w:rFonts w:hint="default" w:ascii="Arial" w:hAnsi="Arial" w:eastAsia="sans-serif" w:cs="Arial"/>
          <w:b w:val="0"/>
          <w:bCs w:val="0"/>
          <w:color w:val="1B1C1D"/>
        </w:rPr>
      </w:pPr>
      <w:r>
        <w:rPr>
          <w:rFonts w:hint="default" w:ascii="Arial" w:hAnsi="Arial" w:eastAsia="sans-serif" w:cs="Arial"/>
          <w:b/>
          <w:bCs/>
          <w:color w:val="1B1C1D"/>
        </w:rPr>
        <w:t>Quality Assurance (QA):</w:t>
      </w:r>
      <w:r>
        <w:rPr>
          <w:rFonts w:hint="default" w:ascii="Arial" w:hAnsi="Arial" w:eastAsia="sans-serif" w:cs="Arial"/>
          <w:color w:val="1B1C1D"/>
        </w:rPr>
        <w:t xml:space="preserve"> 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Supervisé la </w:t>
      </w:r>
      <w:r>
        <w:rPr>
          <w:rFonts w:hint="default" w:ascii="Arial" w:hAnsi="Arial" w:eastAsia="sans-serif" w:cs="Arial"/>
          <w:b w:val="0"/>
          <w:bCs w:val="0"/>
          <w:color w:val="1B1C1D"/>
        </w:rPr>
        <w:t>realización de pruebas de verificación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 de controles de ciberseguridad, asegurando la integridad de los sistemas financieros.</w:t>
      </w:r>
    </w:p>
    <w:p w14:paraId="3A99E8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-360" w:leftChars="0" w:right="0" w:rightChars="0"/>
        <w:jc w:val="both"/>
        <w:rPr>
          <w:rFonts w:hint="default" w:ascii="Arial" w:hAnsi="Arial" w:eastAsia="sans-serif" w:cs="Arial"/>
          <w:color w:val="1B1C1D"/>
        </w:rPr>
      </w:pPr>
    </w:p>
    <w:p w14:paraId="70900F5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jc w:val="both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  <w:color w:val="1B1C1D"/>
          <w:sz w:val="28"/>
          <w:szCs w:val="28"/>
          <w:u w:val="single"/>
        </w:rPr>
        <w:t>Larraín Vial - Banco de Inversiones</w:t>
      </w:r>
      <w:r>
        <w:rPr>
          <w:rFonts w:hint="default" w:ascii="Arial" w:hAnsi="Arial" w:eastAsia="sans-serif" w:cs="Arial"/>
          <w:color w:val="1B1C1D"/>
        </w:rPr>
        <w:t xml:space="preserve"> | Oficial de Seguridad TI: Gestión de la Continuidad Operacional</w:t>
      </w:r>
    </w:p>
    <w:p w14:paraId="6B00B1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jc w:val="both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color w:val="1B1C1D"/>
        </w:rPr>
        <w:t>Junio 2007 – Julio 2010</w:t>
      </w:r>
    </w:p>
    <w:p w14:paraId="1A631A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-360" w:leftChars="0" w:right="0" w:rightChars="0"/>
        <w:jc w:val="both"/>
        <w:rPr>
          <w:rFonts w:hint="default" w:ascii="Arial" w:hAnsi="Arial" w:eastAsia="sans-serif" w:cs="Arial"/>
          <w:color w:val="1B1C1D"/>
        </w:rPr>
      </w:pPr>
    </w:p>
    <w:p w14:paraId="53A92A01">
      <w:pPr>
        <w:pStyle w:val="8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jc w:val="both"/>
        <w:rPr>
          <w:rFonts w:hint="default" w:ascii="Arial" w:hAnsi="Arial" w:eastAsia="sans-serif" w:cs="Arial"/>
          <w:color w:val="1B1C1D"/>
        </w:rPr>
      </w:pPr>
      <w:r>
        <w:rPr>
          <w:rFonts w:hint="default" w:ascii="Arial" w:hAnsi="Arial" w:eastAsia="sans-serif" w:cs="Arial"/>
          <w:color w:val="1B1C1D"/>
        </w:rPr>
        <w:t xml:space="preserve">Lideré el Comité de Seguridad TI, gestionando </w:t>
      </w:r>
      <w:r>
        <w:rPr>
          <w:rFonts w:hint="default" w:ascii="Arial" w:hAnsi="Arial" w:eastAsia="sans-serif" w:cs="Arial"/>
          <w:i/>
          <w:iCs/>
          <w:color w:val="1B1C1D"/>
        </w:rPr>
        <w:t>stakeholders</w:t>
      </w:r>
      <w:r>
        <w:rPr>
          <w:rFonts w:hint="default" w:ascii="Arial" w:hAnsi="Arial" w:eastAsia="sans-serif" w:cs="Arial"/>
          <w:color w:val="1B1C1D"/>
        </w:rPr>
        <w:t xml:space="preserve"> y formulando estrategias de protección de activos.</w:t>
      </w:r>
    </w:p>
    <w:p w14:paraId="09163DF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right="0" w:rightChars="0"/>
        <w:jc w:val="both"/>
        <w:rPr>
          <w:rFonts w:hint="default" w:ascii="Arial" w:hAnsi="Arial" w:eastAsia="sans-serif" w:cs="Arial"/>
          <w:color w:val="1B1C1D"/>
        </w:rPr>
      </w:pPr>
    </w:p>
    <w:p w14:paraId="3DB6508A">
      <w:pPr>
        <w:pStyle w:val="8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jc w:val="both"/>
        <w:rPr>
          <w:rFonts w:hint="default" w:ascii="Arial" w:hAnsi="Arial" w:eastAsia="sans-serif" w:cs="Arial"/>
          <w:b w:val="0"/>
          <w:bCs w:val="0"/>
          <w:color w:val="1B1C1D"/>
        </w:rPr>
      </w:pP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Dirigí el desarrollo y la </w:t>
      </w:r>
      <w:r>
        <w:rPr>
          <w:rFonts w:hint="default" w:ascii="Arial" w:hAnsi="Arial" w:eastAsia="sans-serif" w:cs="Arial"/>
          <w:b w:val="0"/>
          <w:bCs w:val="0"/>
          <w:color w:val="1B1C1D"/>
        </w:rPr>
        <w:t>prueba regular del Plan de Continuidad de Negocios (BCP)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, un proceso complejo de </w:t>
      </w:r>
      <w:r>
        <w:rPr>
          <w:rFonts w:hint="default" w:ascii="Arial" w:hAnsi="Arial" w:eastAsia="sans-serif" w:cs="Arial"/>
          <w:b w:val="0"/>
          <w:bCs w:val="0"/>
          <w:color w:val="1B1C1D"/>
        </w:rPr>
        <w:t>evaluación y mejora continua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 de los sistemas críticos de la organización, con un enfoque en la continuidad del servicio al cliente interno.</w:t>
      </w:r>
    </w:p>
    <w:p w14:paraId="2619A5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-360" w:leftChars="0" w:right="0" w:rightChars="0"/>
        <w:jc w:val="both"/>
        <w:rPr>
          <w:rFonts w:hint="default" w:ascii="Arial" w:hAnsi="Arial" w:eastAsia="sans-serif" w:cs="Arial"/>
          <w:color w:val="1B1C1D"/>
        </w:rPr>
      </w:pPr>
    </w:p>
    <w:p w14:paraId="0334C55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jc w:val="both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  <w:color w:val="1B1C1D"/>
          <w:sz w:val="28"/>
          <w:szCs w:val="28"/>
          <w:u w:val="single"/>
        </w:rPr>
        <w:t>Deloitte</w:t>
      </w:r>
      <w:r>
        <w:rPr>
          <w:rFonts w:hint="default" w:ascii="Arial" w:hAnsi="Arial" w:eastAsia="sans-serif" w:cs="Arial"/>
          <w:color w:val="1B1C1D"/>
        </w:rPr>
        <w:t xml:space="preserve"> | Gerente de Riesgos TI: Consultoría en Procesos y Cumplimiento (Multi-Industria)</w:t>
      </w:r>
    </w:p>
    <w:p w14:paraId="2CEAF9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jc w:val="both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color w:val="1B1C1D"/>
        </w:rPr>
        <w:t>Marzo 2005 – Junio 2007</w:t>
      </w:r>
    </w:p>
    <w:p w14:paraId="62AB6C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-360" w:leftChars="0" w:right="0" w:rightChars="0"/>
        <w:jc w:val="both"/>
        <w:rPr>
          <w:rFonts w:hint="default" w:ascii="Arial" w:hAnsi="Arial" w:eastAsia="sans-serif" w:cs="Arial"/>
          <w:color w:val="1B1C1D"/>
        </w:rPr>
      </w:pPr>
    </w:p>
    <w:p w14:paraId="4400B65C">
      <w:pPr>
        <w:pStyle w:val="8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jc w:val="both"/>
        <w:rPr>
          <w:rFonts w:hint="default" w:ascii="Arial" w:hAnsi="Arial" w:eastAsia="sans-serif" w:cs="Arial"/>
          <w:b w:val="0"/>
          <w:bCs w:val="0"/>
          <w:color w:val="1B1C1D"/>
        </w:rPr>
      </w:pPr>
      <w:r>
        <w:rPr>
          <w:rFonts w:hint="default" w:ascii="Arial" w:hAnsi="Arial" w:eastAsia="sans-serif" w:cs="Arial"/>
          <w:b w:val="0"/>
          <w:bCs w:val="0"/>
          <w:color w:val="1B1C1D"/>
        </w:rPr>
        <w:t>Consultoría Ejecutiva (Big Four):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 Lideré proyectos de </w:t>
      </w:r>
      <w:r>
        <w:rPr>
          <w:rFonts w:hint="default" w:ascii="Arial" w:hAnsi="Arial" w:eastAsia="sans-serif" w:cs="Arial"/>
          <w:b w:val="0"/>
          <w:bCs w:val="0"/>
          <w:color w:val="1B1C1D"/>
        </w:rPr>
        <w:t>análisis de sistemas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 y controles en grandes corporaciones (Minería: Codelco, CAP), enfocados en </w:t>
      </w:r>
      <w:r>
        <w:rPr>
          <w:rFonts w:hint="default" w:ascii="Arial" w:hAnsi="Arial" w:eastAsia="sans-serif" w:cs="Arial"/>
          <w:b w:val="0"/>
          <w:bCs w:val="0"/>
          <w:color w:val="1B1C1D"/>
        </w:rPr>
        <w:t>flujogramación de procesos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 y cumplimiento normativo (SOX), validando la eficiencia operativa.</w:t>
      </w:r>
    </w:p>
    <w:p w14:paraId="5EDF48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right="0" w:rightChars="0"/>
        <w:jc w:val="both"/>
        <w:rPr>
          <w:rFonts w:hint="default" w:ascii="Arial" w:hAnsi="Arial" w:eastAsia="sans-serif" w:cs="Arial"/>
          <w:color w:val="1B1C1D"/>
        </w:rPr>
      </w:pPr>
    </w:p>
    <w:p w14:paraId="4AF918EA">
      <w:pPr>
        <w:pStyle w:val="8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jc w:val="both"/>
        <w:rPr>
          <w:rFonts w:hint="default" w:ascii="Arial" w:hAnsi="Arial" w:eastAsia="sans-serif" w:cs="Arial"/>
          <w:color w:val="1B1C1D"/>
        </w:rPr>
      </w:pPr>
      <w:r>
        <w:rPr>
          <w:rFonts w:hint="default" w:ascii="Arial" w:hAnsi="Arial" w:eastAsia="sans-serif" w:cs="Arial"/>
          <w:b/>
          <w:bCs/>
          <w:color w:val="1B1C1D"/>
        </w:rPr>
        <w:t>Capacitación Técnica:</w:t>
      </w:r>
      <w:r>
        <w:rPr>
          <w:rFonts w:hint="default" w:ascii="Arial" w:hAnsi="Arial" w:eastAsia="sans-serif" w:cs="Arial"/>
          <w:color w:val="1B1C1D"/>
        </w:rPr>
        <w:t xml:space="preserve"> 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Entrené a profesionales internos y externos en auditoría de sistemas operativos como </w:t>
      </w:r>
      <w:r>
        <w:rPr>
          <w:rFonts w:hint="default" w:ascii="Arial" w:hAnsi="Arial" w:eastAsia="sans-serif" w:cs="Arial"/>
          <w:b w:val="0"/>
          <w:bCs w:val="0"/>
          <w:color w:val="1B1C1D"/>
        </w:rPr>
        <w:t>Linux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 y Windows, demostrando habilidades de </w:t>
      </w:r>
      <w:r>
        <w:rPr>
          <w:rFonts w:hint="default" w:ascii="Arial" w:hAnsi="Arial" w:eastAsia="sans-serif" w:cs="Arial"/>
          <w:b w:val="0"/>
          <w:bCs w:val="0"/>
          <w:color w:val="1B1C1D"/>
        </w:rPr>
        <w:t>comunicador efectivo</w:t>
      </w:r>
      <w:r>
        <w:rPr>
          <w:rFonts w:hint="default" w:ascii="Arial" w:hAnsi="Arial" w:eastAsia="sans-serif" w:cs="Arial"/>
          <w:b w:val="0"/>
          <w:bCs w:val="0"/>
          <w:color w:val="1B1C1D"/>
        </w:rPr>
        <w:t xml:space="preserve"> y </w:t>
      </w:r>
      <w:r>
        <w:rPr>
          <w:rFonts w:hint="default" w:ascii="Arial" w:hAnsi="Arial" w:eastAsia="sans-serif" w:cs="Arial"/>
          <w:b w:val="0"/>
          <w:bCs w:val="0"/>
          <w:color w:val="1B1C1D"/>
        </w:rPr>
        <w:t>liderazgo</w:t>
      </w:r>
      <w:r>
        <w:rPr>
          <w:rFonts w:hint="default" w:ascii="Arial" w:hAnsi="Arial" w:eastAsia="sans-serif" w:cs="Arial"/>
          <w:b w:val="0"/>
          <w:bCs w:val="0"/>
          <w:color w:val="1B1C1D"/>
        </w:rPr>
        <w:t>.</w:t>
      </w:r>
    </w:p>
    <w:p w14:paraId="0AD6AF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-360" w:leftChars="0" w:right="0" w:rightChars="0"/>
        <w:jc w:val="both"/>
        <w:rPr>
          <w:rFonts w:hint="default" w:ascii="Arial" w:hAnsi="Arial" w:eastAsia="sans-serif" w:cs="Arial"/>
          <w:color w:val="1B1C1D"/>
        </w:rPr>
      </w:pPr>
    </w:p>
    <w:p w14:paraId="6A75840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jc w:val="both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  <w:color w:val="1B1C1D"/>
          <w:sz w:val="28"/>
          <w:szCs w:val="28"/>
          <w:u w:val="single"/>
        </w:rPr>
        <w:t>PwC</w:t>
      </w:r>
      <w:r>
        <w:rPr>
          <w:rFonts w:hint="default" w:ascii="Arial" w:hAnsi="Arial" w:eastAsia="sans-serif" w:cs="Arial"/>
          <w:color w:val="1B1C1D"/>
        </w:rPr>
        <w:t xml:space="preserve"> | Gerente de Consultoría en Sistemas y Procesos: Eficiencia Operativa</w:t>
      </w:r>
    </w:p>
    <w:p w14:paraId="235AD96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4" w:lineRule="atLeast"/>
        <w:ind w:left="0" w:right="0"/>
        <w:jc w:val="both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color w:val="1B1C1D"/>
        </w:rPr>
        <w:t>Octubre 1997 – Marzo 2005</w:t>
      </w:r>
    </w:p>
    <w:p w14:paraId="1B63AE4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-360" w:leftChars="0" w:right="0" w:rightChars="0"/>
        <w:jc w:val="both"/>
        <w:rPr>
          <w:rFonts w:hint="default" w:ascii="Arial" w:hAnsi="Arial" w:eastAsia="sans-serif" w:cs="Arial"/>
          <w:color w:val="1B1C1D"/>
        </w:rPr>
      </w:pPr>
    </w:p>
    <w:p w14:paraId="45B2D491">
      <w:pPr>
        <w:pStyle w:val="8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jc w:val="both"/>
        <w:rPr>
          <w:rFonts w:hint="default" w:ascii="Arial" w:hAnsi="Arial" w:eastAsia="sans-serif" w:cs="Arial"/>
          <w:color w:val="1B1C1D"/>
        </w:rPr>
      </w:pPr>
      <w:r>
        <w:rPr>
          <w:rFonts w:hint="default" w:ascii="Arial" w:hAnsi="Arial" w:eastAsia="sans-serif" w:cs="Arial"/>
          <w:color w:val="1B1C1D"/>
        </w:rPr>
        <w:t>Supervisé proyectos de consultoría en eficiencia operativa y arquitectura de sistemas para empresas líderes (CCU, Cencosud, BankBoston), aplicando metodologías COBIT y SOX.</w:t>
      </w:r>
    </w:p>
    <w:p w14:paraId="1AC8B40C">
      <w:pPr>
        <w:pStyle w:val="8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jc w:val="both"/>
        <w:rPr>
          <w:rFonts w:hint="default" w:ascii="Arial" w:hAnsi="Arial" w:eastAsia="sans-serif" w:cs="Arial"/>
          <w:color w:val="1B1C1D"/>
        </w:rPr>
      </w:pPr>
      <w:r>
        <w:rPr>
          <w:rFonts w:hint="default" w:ascii="Arial" w:hAnsi="Arial" w:eastAsia="sans-serif" w:cs="Arial"/>
          <w:color w:val="1B1C1D"/>
        </w:rPr>
        <w:t xml:space="preserve">Coordiné auditorías de ciberseguridad en diversas plataformas (UNIX, AS/400, Novell), lo que requirió el </w:t>
      </w:r>
      <w:r>
        <w:rPr>
          <w:rFonts w:hint="default" w:ascii="Arial" w:hAnsi="Arial" w:eastAsia="sans-serif" w:cs="Arial"/>
          <w:b/>
          <w:bCs/>
          <w:color w:val="1B1C1D"/>
        </w:rPr>
        <w:t>levantamiento de información detallado</w:t>
      </w:r>
      <w:r>
        <w:rPr>
          <w:rFonts w:hint="default" w:ascii="Arial" w:hAnsi="Arial" w:eastAsia="sans-serif" w:cs="Arial"/>
          <w:color w:val="1B1C1D"/>
        </w:rPr>
        <w:t xml:space="preserve"> sobre la arquitectura tecnológica y procesos asociados.</w:t>
      </w:r>
    </w:p>
    <w:p w14:paraId="08878CC4">
      <w:pPr>
        <w:rPr>
          <w:rFonts w:hint="default" w:ascii="Verdana" w:hAnsi="Verdana" w:eastAsia="sans-serif" w:cs="Verdana"/>
          <w:i w:val="0"/>
          <w:iCs w:val="0"/>
          <w:color w:val="1B1C1D"/>
        </w:rPr>
      </w:pPr>
    </w:p>
    <w:p w14:paraId="12061B79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jc w:val="left"/>
        <w:rPr>
          <w:rFonts w:hint="default" w:ascii="Verdana" w:hAnsi="Verdana" w:eastAsia="sans-serif" w:cs="Verdana"/>
          <w:i w:val="0"/>
          <w:iCs w:val="0"/>
          <w:color w:val="1B1C1D"/>
        </w:rPr>
      </w:pPr>
      <w:r>
        <w:rPr>
          <w:rFonts w:hint="default" w:ascii="Verdana" w:hAnsi="Verdana" w:eastAsia="sans-serif" w:cs="Verdana"/>
          <w:i w:val="0"/>
          <w:iCs w:val="0"/>
          <w:color w:val="1B1C1D"/>
        </w:rPr>
        <w:t>Formación Académica y Complementaria</w:t>
      </w:r>
    </w:p>
    <w:p w14:paraId="53D666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-360" w:leftChars="0" w:right="0" w:rightChars="0"/>
        <w:jc w:val="both"/>
        <w:rPr>
          <w:rFonts w:hint="default" w:ascii="Verdana" w:hAnsi="Verdana" w:eastAsia="sans-serif" w:cs="Verdana"/>
          <w:color w:val="1B1C1D"/>
        </w:rPr>
      </w:pPr>
    </w:p>
    <w:p w14:paraId="4A21607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420" w:leftChars="0" w:right="0" w:hanging="420" w:firstLineChars="0"/>
        <w:jc w:val="left"/>
        <w:rPr>
          <w:rFonts w:hint="default" w:ascii="Verdana" w:hAnsi="Verdana" w:eastAsia="sans-serif" w:cs="Verdana"/>
          <w:color w:val="1B1C1D"/>
        </w:rPr>
      </w:pPr>
      <w:r>
        <w:rPr>
          <w:rFonts w:hint="default" w:ascii="Verdana" w:hAnsi="Verdana" w:eastAsia="sans-serif" w:cs="Verdana"/>
          <w:b/>
          <w:bCs/>
          <w:color w:val="1B1C1D"/>
        </w:rPr>
        <w:t>Ingeniero en Informática</w:t>
      </w:r>
      <w:r>
        <w:rPr>
          <w:rFonts w:hint="default" w:ascii="Verdana" w:hAnsi="Verdana" w:eastAsia="sans-serif" w:cs="Verdana"/>
          <w:color w:val="1B1C1D"/>
        </w:rPr>
        <w:t xml:space="preserve"> | Universidad Tecnológica Metropolitana (UTEM)</w:t>
      </w:r>
    </w:p>
    <w:p w14:paraId="0F21EDF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420" w:leftChars="0" w:right="0" w:hanging="420" w:firstLineChars="0"/>
        <w:jc w:val="left"/>
        <w:rPr>
          <w:rFonts w:hint="default" w:ascii="Verdana" w:hAnsi="Verdana" w:eastAsia="sans-serif" w:cs="Verdana"/>
          <w:color w:val="1B1C1D"/>
        </w:rPr>
      </w:pPr>
      <w:r>
        <w:rPr>
          <w:rFonts w:hint="default" w:ascii="Verdana" w:hAnsi="Verdana" w:eastAsia="sans-serif" w:cs="Verdana"/>
          <w:b/>
          <w:bCs/>
          <w:color w:val="1B1C1D"/>
        </w:rPr>
        <w:t>Diplomado en Gestión Estratégica</w:t>
      </w:r>
      <w:r>
        <w:rPr>
          <w:rFonts w:hint="default" w:ascii="Verdana" w:hAnsi="Verdana" w:eastAsia="sans-serif" w:cs="Verdana"/>
          <w:color w:val="1B1C1D"/>
        </w:rPr>
        <w:t xml:space="preserve"> | Pontificia Universidad Católica de Chile (PCUCH)</w:t>
      </w:r>
    </w:p>
    <w:p w14:paraId="2B62D21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420" w:leftChars="0" w:right="0" w:hanging="420" w:firstLineChars="0"/>
        <w:jc w:val="left"/>
        <w:rPr>
          <w:rFonts w:hint="default" w:ascii="Verdana" w:hAnsi="Verdana" w:eastAsia="sans-serif" w:cs="Verdana"/>
          <w:color w:val="1B1C1D"/>
        </w:rPr>
      </w:pPr>
      <w:r>
        <w:rPr>
          <w:rFonts w:hint="default" w:ascii="Verdana" w:hAnsi="Verdana" w:eastAsia="sans-serif" w:cs="Verdana"/>
          <w:b/>
          <w:bCs/>
          <w:color w:val="1B1C1D"/>
        </w:rPr>
        <w:t>Diplomado en Prevención de Fraudes</w:t>
      </w:r>
      <w:r>
        <w:rPr>
          <w:rFonts w:hint="default" w:ascii="Verdana" w:hAnsi="Verdana" w:eastAsia="sans-serif" w:cs="Verdana"/>
          <w:color w:val="1B1C1D"/>
        </w:rPr>
        <w:t xml:space="preserve"> | Universidad de Chile</w:t>
      </w:r>
    </w:p>
    <w:p w14:paraId="608BBDF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right="0" w:rightChars="0"/>
        <w:jc w:val="both"/>
        <w:rPr>
          <w:rFonts w:hint="default" w:ascii="Verdana" w:hAnsi="Verdana" w:eastAsia="sans-serif" w:cs="Verdana"/>
          <w:color w:val="1B1C1D"/>
        </w:rPr>
      </w:pPr>
    </w:p>
    <w:p w14:paraId="54AF1B37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jc w:val="both"/>
        <w:rPr>
          <w:rFonts w:hint="default" w:ascii="Verdana" w:hAnsi="Verdana" w:eastAsia="sans-serif" w:cs="Verdana"/>
          <w:color w:val="1B1C1D"/>
        </w:rPr>
      </w:pPr>
      <w:r>
        <w:rPr>
          <w:rFonts w:hint="default" w:ascii="Verdana" w:hAnsi="Verdana" w:eastAsia="sans-serif" w:cs="Verdana"/>
          <w:color w:val="1B1C1D"/>
        </w:rPr>
        <w:t>Conocimientos y Competencias Técnicas</w:t>
      </w:r>
    </w:p>
    <w:p w14:paraId="39EED853">
      <w:pPr>
        <w:rPr>
          <w:rFonts w:hint="default"/>
        </w:rPr>
      </w:pPr>
    </w:p>
    <w:p w14:paraId="081BEC29">
      <w:pPr>
        <w:pStyle w:val="8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jc w:val="both"/>
        <w:rPr>
          <w:rFonts w:hint="default" w:ascii="Verdana" w:hAnsi="Verdana" w:eastAsia="sans-serif" w:cs="Verdana"/>
          <w:b w:val="0"/>
          <w:bCs w:val="0"/>
          <w:color w:val="1B1C1D"/>
        </w:rPr>
      </w:pPr>
      <w:r>
        <w:rPr>
          <w:rFonts w:hint="default" w:ascii="Verdana" w:hAnsi="Verdana" w:eastAsia="sans-serif" w:cs="Verdana"/>
          <w:b/>
          <w:bCs/>
          <w:color w:val="1B1C1D"/>
        </w:rPr>
        <w:t>Metodologías de Desarrollo:</w:t>
      </w:r>
      <w:r>
        <w:rPr>
          <w:rFonts w:hint="default" w:ascii="Verdana" w:hAnsi="Verdana" w:eastAsia="sans-serif" w:cs="Verdana"/>
          <w:color w:val="1B1C1D"/>
        </w:rPr>
        <w:t xml:space="preserve"> </w:t>
      </w:r>
      <w:r>
        <w:rPr>
          <w:rFonts w:hint="default" w:ascii="Verdana" w:hAnsi="Verdana" w:eastAsia="sans-serif" w:cs="Verdana"/>
          <w:b w:val="0"/>
          <w:bCs w:val="0"/>
          <w:color w:val="1B1C1D"/>
        </w:rPr>
        <w:t xml:space="preserve">Conocimiento y comprensión del </w:t>
      </w:r>
      <w:r>
        <w:rPr>
          <w:rFonts w:hint="default" w:ascii="Verdana" w:hAnsi="Verdana" w:eastAsia="sans-serif" w:cs="Verdana"/>
          <w:b w:val="0"/>
          <w:bCs w:val="0"/>
          <w:color w:val="1B1C1D"/>
        </w:rPr>
        <w:t>SDLC</w:t>
      </w:r>
      <w:r>
        <w:rPr>
          <w:rFonts w:hint="default" w:ascii="Verdana" w:hAnsi="Verdana" w:eastAsia="sans-serif" w:cs="Verdana"/>
          <w:b w:val="0"/>
          <w:bCs w:val="0"/>
          <w:color w:val="1B1C1D"/>
        </w:rPr>
        <w:t xml:space="preserve">, con experiencia en el rigor de </w:t>
      </w:r>
      <w:r>
        <w:rPr>
          <w:rFonts w:hint="default" w:ascii="Verdana" w:hAnsi="Verdana" w:eastAsia="sans-serif" w:cs="Verdana"/>
          <w:b w:val="0"/>
          <w:bCs w:val="0"/>
          <w:color w:val="1B1C1D"/>
        </w:rPr>
        <w:t>CMMI</w:t>
      </w:r>
      <w:r>
        <w:rPr>
          <w:rFonts w:hint="default" w:ascii="Verdana" w:hAnsi="Verdana" w:eastAsia="sans-serif" w:cs="Verdana"/>
          <w:b w:val="0"/>
          <w:bCs w:val="0"/>
          <w:color w:val="1B1C1D"/>
        </w:rPr>
        <w:t xml:space="preserve">, así como la flexibilidad de </w:t>
      </w:r>
      <w:r>
        <w:rPr>
          <w:rFonts w:hint="default" w:ascii="Verdana" w:hAnsi="Verdana" w:eastAsia="sans-serif" w:cs="Verdana"/>
          <w:b w:val="0"/>
          <w:bCs w:val="0"/>
          <w:color w:val="1B1C1D"/>
        </w:rPr>
        <w:t>Scrum</w:t>
      </w:r>
      <w:r>
        <w:rPr>
          <w:rFonts w:hint="default" w:ascii="Verdana" w:hAnsi="Verdana" w:eastAsia="sans-serif" w:cs="Verdana"/>
          <w:b w:val="0"/>
          <w:bCs w:val="0"/>
          <w:color w:val="1B1C1D"/>
        </w:rPr>
        <w:t xml:space="preserve"> y prácticas de </w:t>
      </w:r>
      <w:r>
        <w:rPr>
          <w:rFonts w:hint="default" w:ascii="Verdana" w:hAnsi="Verdana" w:eastAsia="sans-serif" w:cs="Verdana"/>
          <w:b w:val="0"/>
          <w:bCs w:val="0"/>
          <w:color w:val="1B1C1D"/>
        </w:rPr>
        <w:t>DevOps</w:t>
      </w:r>
      <w:r>
        <w:rPr>
          <w:rFonts w:hint="default" w:ascii="Verdana" w:hAnsi="Verdana" w:eastAsia="sans-serif" w:cs="Verdana"/>
          <w:b w:val="0"/>
          <w:bCs w:val="0"/>
          <w:color w:val="1B1C1D"/>
        </w:rPr>
        <w:t xml:space="preserve"> (CI/CD).</w:t>
      </w:r>
    </w:p>
    <w:p w14:paraId="63FCD5F5">
      <w:pPr>
        <w:pStyle w:val="8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jc w:val="both"/>
        <w:rPr>
          <w:rFonts w:hint="default" w:ascii="Verdana" w:hAnsi="Verdana" w:eastAsia="sans-serif" w:cs="Verdana"/>
          <w:b w:val="0"/>
          <w:bCs w:val="0"/>
          <w:color w:val="1B1C1D"/>
        </w:rPr>
      </w:pPr>
      <w:r>
        <w:rPr>
          <w:rFonts w:hint="default" w:ascii="Verdana" w:hAnsi="Verdana" w:eastAsia="sans-serif" w:cs="Verdana"/>
          <w:b/>
          <w:bCs/>
          <w:color w:val="1B1C1D"/>
        </w:rPr>
        <w:t>Análisis y Productividad:</w:t>
      </w:r>
      <w:r>
        <w:rPr>
          <w:rFonts w:hint="default" w:ascii="Verdana" w:hAnsi="Verdana" w:eastAsia="sans-serif" w:cs="Verdana"/>
          <w:color w:val="1B1C1D"/>
        </w:rPr>
        <w:t xml:space="preserve"> </w:t>
      </w:r>
      <w:r>
        <w:rPr>
          <w:rFonts w:hint="default" w:ascii="Verdana" w:hAnsi="Verdana" w:eastAsia="sans-serif" w:cs="Verdana"/>
          <w:b w:val="0"/>
          <w:bCs w:val="0"/>
          <w:color w:val="1B1C1D"/>
        </w:rPr>
        <w:t>Manejo de herramientas de análisis de datos (ACL, PAWS, IDEA) y de productividad para la flujogramación de procesos (</w:t>
      </w:r>
      <w:r>
        <w:rPr>
          <w:rFonts w:hint="default" w:ascii="Verdana" w:hAnsi="Verdana" w:eastAsia="sans-serif" w:cs="Verdana"/>
          <w:b w:val="0"/>
          <w:bCs w:val="0"/>
          <w:color w:val="1B1C1D"/>
        </w:rPr>
        <w:t>Bizagi</w:t>
      </w:r>
      <w:r>
        <w:rPr>
          <w:rFonts w:hint="default" w:ascii="Verdana" w:hAnsi="Verdana" w:eastAsia="sans-serif" w:cs="Verdana"/>
          <w:b w:val="0"/>
          <w:bCs w:val="0"/>
          <w:color w:val="1B1C1D"/>
        </w:rPr>
        <w:t>).</w:t>
      </w:r>
    </w:p>
    <w:p w14:paraId="2C81EB06">
      <w:pPr>
        <w:pStyle w:val="8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jc w:val="both"/>
        <w:rPr>
          <w:rFonts w:hint="default" w:ascii="Verdana" w:hAnsi="Verdana" w:eastAsia="sans-serif" w:cs="Verdana"/>
          <w:color w:val="1B1C1D"/>
        </w:rPr>
      </w:pPr>
      <w:r>
        <w:rPr>
          <w:rFonts w:hint="default" w:ascii="Verdana" w:hAnsi="Verdana" w:eastAsia="sans-serif" w:cs="Verdana"/>
          <w:b/>
          <w:bCs/>
          <w:color w:val="1B1C1D"/>
        </w:rPr>
        <w:t>Gobernanza y QA:</w:t>
      </w:r>
      <w:r>
        <w:rPr>
          <w:rFonts w:hint="default" w:ascii="Verdana" w:hAnsi="Verdana" w:eastAsia="sans-serif" w:cs="Verdana"/>
          <w:color w:val="1B1C1D"/>
        </w:rPr>
        <w:t xml:space="preserve"> Experto en COBIT, ISO 27001, ISO 22301 (Continuidad de Negocio), NIST, ITIL.</w:t>
      </w:r>
    </w:p>
    <w:p w14:paraId="559CA185">
      <w:pPr>
        <w:pStyle w:val="8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jc w:val="both"/>
        <w:rPr>
          <w:rFonts w:hint="default" w:ascii="Verdana" w:hAnsi="Verdana" w:eastAsia="sans-serif" w:cs="Verdana"/>
          <w:color w:val="1B1C1D"/>
        </w:rPr>
      </w:pPr>
      <w:r>
        <w:rPr>
          <w:rFonts w:hint="default" w:ascii="Verdana" w:hAnsi="Verdana" w:eastAsia="sans-serif" w:cs="Verdana"/>
          <w:b/>
          <w:bCs/>
          <w:color w:val="1B1C1D"/>
        </w:rPr>
        <w:t>Lenguajes y Sistemas Operativos:</w:t>
      </w:r>
    </w:p>
    <w:p w14:paraId="685A96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right="0" w:rightChars="0"/>
        <w:jc w:val="both"/>
        <w:rPr>
          <w:rFonts w:hint="default" w:ascii="Verdana" w:hAnsi="Verdana" w:eastAsia="sans-serif" w:cs="Verdana"/>
          <w:color w:val="1B1C1D"/>
        </w:rPr>
      </w:pPr>
    </w:p>
    <w:p w14:paraId="79E414D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420" w:leftChars="0" w:right="0" w:hanging="420" w:firstLineChars="0"/>
        <w:jc w:val="both"/>
        <w:rPr>
          <w:rFonts w:hint="default" w:ascii="Verdana" w:hAnsi="Verdana" w:eastAsia="sans-serif" w:cs="Verdana"/>
          <w:b w:val="0"/>
          <w:bCs w:val="0"/>
          <w:color w:val="1B1C1D"/>
        </w:rPr>
      </w:pPr>
      <w:r>
        <w:rPr>
          <w:rFonts w:hint="default" w:ascii="Verdana" w:hAnsi="Verdana" w:eastAsia="sans-serif" w:cs="Verdana"/>
          <w:b/>
          <w:bCs/>
          <w:color w:val="1B1C1D"/>
        </w:rPr>
        <w:t>Scripting y Desarrollo:</w:t>
      </w:r>
      <w:r>
        <w:rPr>
          <w:rFonts w:hint="default" w:ascii="Verdana" w:hAnsi="Verdana" w:eastAsia="sans-serif" w:cs="Verdana"/>
          <w:color w:val="1B1C1D"/>
        </w:rPr>
        <w:t xml:space="preserve"> </w:t>
      </w:r>
      <w:r>
        <w:rPr>
          <w:rFonts w:hint="default" w:ascii="Verdana" w:hAnsi="Verdana" w:eastAsia="sans-serif" w:cs="Verdana"/>
          <w:b w:val="0"/>
          <w:bCs w:val="0"/>
          <w:color w:val="1B1C1D"/>
        </w:rPr>
        <w:t xml:space="preserve">Aplicación estratégica de </w:t>
      </w:r>
      <w:r>
        <w:rPr>
          <w:rFonts w:hint="default" w:ascii="Verdana" w:hAnsi="Verdana" w:eastAsia="sans-serif" w:cs="Verdana"/>
          <w:b w:val="0"/>
          <w:bCs w:val="0"/>
          <w:color w:val="1B1C1D"/>
        </w:rPr>
        <w:t>Python</w:t>
      </w:r>
      <w:r>
        <w:rPr>
          <w:rFonts w:hint="default" w:ascii="Verdana" w:hAnsi="Verdana" w:eastAsia="sans-serif" w:cs="Verdana"/>
          <w:b w:val="0"/>
          <w:bCs w:val="0"/>
          <w:color w:val="1B1C1D"/>
        </w:rPr>
        <w:t xml:space="preserve"> para automatización de análisis; familiaridad con tecnologías web (</w:t>
      </w:r>
      <w:r>
        <w:rPr>
          <w:rFonts w:hint="default" w:ascii="Verdana" w:hAnsi="Verdana" w:eastAsia="sans-serif" w:cs="Verdana"/>
          <w:b w:val="0"/>
          <w:bCs w:val="0"/>
          <w:color w:val="1B1C1D"/>
        </w:rPr>
        <w:t>HTML, JavaScript</w:t>
      </w:r>
      <w:r>
        <w:rPr>
          <w:rFonts w:hint="default" w:ascii="Verdana" w:hAnsi="Verdana" w:eastAsia="sans-serif" w:cs="Verdana"/>
          <w:b w:val="0"/>
          <w:bCs w:val="0"/>
          <w:color w:val="1B1C1D"/>
        </w:rPr>
        <w:t>).</w:t>
      </w:r>
    </w:p>
    <w:p w14:paraId="286D1DA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420" w:leftChars="0" w:right="0" w:hanging="420" w:firstLineChars="0"/>
        <w:jc w:val="both"/>
        <w:rPr>
          <w:rFonts w:hint="default" w:ascii="Verdana" w:hAnsi="Verdana" w:eastAsia="sans-serif" w:cs="Verdana"/>
          <w:b w:val="0"/>
          <w:bCs w:val="0"/>
          <w:color w:val="1B1C1D"/>
        </w:rPr>
      </w:pPr>
      <w:r>
        <w:rPr>
          <w:rFonts w:hint="default" w:ascii="Verdana" w:hAnsi="Verdana" w:eastAsia="sans-serif" w:cs="Verdana"/>
          <w:b/>
          <w:bCs/>
          <w:color w:val="1B1C1D"/>
        </w:rPr>
        <w:t>Sistemas Operativos Críticos:</w:t>
      </w:r>
      <w:r>
        <w:rPr>
          <w:rFonts w:hint="default" w:ascii="Verdana" w:hAnsi="Verdana" w:eastAsia="sans-serif" w:cs="Verdana"/>
          <w:color w:val="1B1C1D"/>
        </w:rPr>
        <w:t xml:space="preserve"> </w:t>
      </w:r>
      <w:r>
        <w:rPr>
          <w:rFonts w:hint="default" w:ascii="Verdana" w:hAnsi="Verdana" w:eastAsia="sans-serif" w:cs="Verdana"/>
          <w:b w:val="0"/>
          <w:bCs w:val="0"/>
          <w:color w:val="1B1C1D"/>
        </w:rPr>
        <w:t xml:space="preserve">Experiencia en ambientes de alta seguridad y disponibilidad como </w:t>
      </w:r>
      <w:r>
        <w:rPr>
          <w:rFonts w:hint="default" w:ascii="Verdana" w:hAnsi="Verdana" w:eastAsia="sans-serif" w:cs="Verdana"/>
          <w:b w:val="0"/>
          <w:bCs w:val="0"/>
          <w:color w:val="1B1C1D"/>
        </w:rPr>
        <w:t>Linux, Ubuntu, Solaris</w:t>
      </w:r>
      <w:r>
        <w:rPr>
          <w:rFonts w:hint="default" w:ascii="Verdana" w:hAnsi="Verdana" w:eastAsia="sans-serif" w:cs="Verdana"/>
          <w:b w:val="0"/>
          <w:bCs w:val="0"/>
          <w:color w:val="1B1C1D"/>
        </w:rPr>
        <w:t xml:space="preserve"> y UNIX.</w:t>
      </w:r>
    </w:p>
    <w:p w14:paraId="5AFA52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right="0" w:rightChars="0"/>
        <w:jc w:val="both"/>
        <w:rPr>
          <w:rFonts w:hint="default" w:ascii="Verdana" w:hAnsi="Verdana" w:eastAsia="sans-serif" w:cs="Verdana"/>
          <w:color w:val="1B1C1D"/>
        </w:rPr>
      </w:pPr>
    </w:p>
    <w:p w14:paraId="3249531C">
      <w:pPr>
        <w:pStyle w:val="8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jc w:val="both"/>
      </w:pPr>
      <w:r>
        <w:rPr>
          <w:rFonts w:hint="default" w:ascii="Verdana" w:hAnsi="Verdana" w:eastAsia="sans-serif" w:cs="Verdana"/>
          <w:b/>
          <w:bCs/>
          <w:color w:val="1B1C1D"/>
        </w:rPr>
        <w:t>Idiomas:</w:t>
      </w:r>
      <w:r>
        <w:rPr>
          <w:rFonts w:hint="default" w:ascii="Verdana" w:hAnsi="Verdana" w:eastAsia="sans-serif" w:cs="Verdana"/>
          <w:color w:val="1B1C1D"/>
        </w:rPr>
        <w:t xml:space="preserve"> Inglés (Nivel Intermedio/Alto).</w:t>
      </w:r>
    </w:p>
    <w:sectPr>
      <w:pgSz w:w="11906" w:h="16838"/>
      <w:pgMar w:top="1440" w:right="1306" w:bottom="1440" w:left="14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14D83D"/>
    <w:multiLevelType w:val="singleLevel"/>
    <w:tmpl w:val="DA14D83D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27BCB0CC"/>
    <w:multiLevelType w:val="singleLevel"/>
    <w:tmpl w:val="27BCB0C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220C49"/>
    <w:rsid w:val="0D0021B6"/>
    <w:rsid w:val="0D991370"/>
    <w:rsid w:val="17220C49"/>
    <w:rsid w:val="1F711AFC"/>
    <w:rsid w:val="20DB25F5"/>
    <w:rsid w:val="330111BC"/>
    <w:rsid w:val="3C934571"/>
    <w:rsid w:val="401F6CC0"/>
    <w:rsid w:val="59AF0332"/>
    <w:rsid w:val="780B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960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2025-11-10T20:16:00Z</dcterms:created>
  <dc:creator>Marco Villalobos</dc:creator>
  <cp:lastModifiedBy>Marco Villalobos</cp:lastModifiedBy>
  <dcterms:modified xsi:type="dcterms:W3CDTF">2025-11-11T12:32:51Z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8D3706B096EE42AF872557107FAB8305_13</vt:lpwstr>
  </property>
</Properties>
</file>