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Building Materials Supply Quality &amp; Safety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supplying cement, steel, bricks and blocks, sand and aggregates, tiles and sanitaryware, hardware, or doors and windows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Quality, authorisation, and traceability</w:t>
      </w:r>
    </w:p>
    <w:p>
      <w:pPr>
        <w:spacing w:after="140" w:line="283" w:lineRule="auto"/>
      </w:pPr>
      <w:r>
        <w:rPr>
          <w:rFonts w:ascii="Aptos" w:hAnsi="Aptos"/>
          <w:b w:val="0"/>
          <w:color w:val="000000"/>
          <w:sz w:val="22"/>
        </w:rPr>
        <w:t>Suppliers must provide genuine, accurately described products from lawful sources and maintain appropriate supplier, dealer, distributor, manufacturer, GST, licence, brand, grade, test-certificate, and source documentation where applicable.</w:t>
      </w:r>
    </w:p>
    <w:p>
      <w:pPr>
        <w:pStyle w:val="Heading1"/>
        <w:spacing w:before="280" w:after="120"/>
      </w:pPr>
      <w:r>
        <w:rPr>
          <w:rFonts w:ascii="Aptos" w:hAnsi="Aptos"/>
          <w:b/>
          <w:color w:val="000000"/>
          <w:sz w:val="30"/>
        </w:rPr>
        <w:t>Stock, delivery, and handling</w:t>
      </w:r>
    </w:p>
    <w:p>
      <w:pPr>
        <w:spacing w:after="140" w:line="283" w:lineRule="auto"/>
      </w:pPr>
      <w:r>
        <w:rPr>
          <w:rFonts w:ascii="Aptos" w:hAnsi="Aptos"/>
          <w:b w:val="0"/>
          <w:color w:val="000000"/>
          <w:sz w:val="22"/>
        </w:rPr>
        <w:t>Suppliers must give accurate stock, lead-time, minimum-order, transport, loading, unloading, and delivery information. Materials must be handled and delivered with reasonable care to reduce foreseeable damage, shortage, contamination, or safety risks.</w:t>
      </w:r>
    </w:p>
    <w:p>
      <w:pPr>
        <w:pStyle w:val="Heading1"/>
        <w:spacing w:before="280" w:after="120"/>
      </w:pPr>
      <w:r>
        <w:rPr>
          <w:rFonts w:ascii="Aptos" w:hAnsi="Aptos"/>
          <w:b/>
          <w:color w:val="000000"/>
          <w:sz w:val="30"/>
        </w:rPr>
        <w:t>Pricing, substitutions, returns, and claims</w:t>
      </w:r>
    </w:p>
    <w:p>
      <w:pPr>
        <w:spacing w:after="140" w:line="283" w:lineRule="auto"/>
      </w:pPr>
      <w:r>
        <w:rPr>
          <w:rFonts w:ascii="Aptos" w:hAnsi="Aptos"/>
          <w:b w:val="0"/>
          <w:color w:val="000000"/>
          <w:sz w:val="22"/>
        </w:rPr>
        <w:t>Suppliers must clearly communicate unit pricing, taxes, transport charges, material substitutions, returns, replacements, refunds, warranty support, and procedures for shortage, breakage, damage claims, and delivery disputes. Substitutions require customer approval.</w:t>
      </w:r>
    </w:p>
    <w:p>
      <w:pPr>
        <w:pStyle w:val="Heading1"/>
        <w:spacing w:before="280" w:after="120"/>
      </w:pPr>
      <w:r>
        <w:rPr>
          <w:rFonts w:ascii="Aptos" w:hAnsi="Aptos"/>
          <w:b/>
          <w:color w:val="000000"/>
          <w:sz w:val="30"/>
        </w:rPr>
        <w:t>Invoices and professional conduct</w:t>
      </w:r>
    </w:p>
    <w:p>
      <w:pPr>
        <w:spacing w:after="140" w:line="283" w:lineRule="auto"/>
      </w:pPr>
      <w:r>
        <w:rPr>
          <w:rFonts w:ascii="Aptos" w:hAnsi="Aptos"/>
          <w:b w:val="0"/>
          <w:color w:val="000000"/>
          <w:sz w:val="22"/>
        </w:rPr>
        <w:t>Suppliers must issue accurate invoices and use customer information only to fulfil the agreed order. Suspected fraud, unsafe materials, serious delivery damage, or customer complaints must be reported promptly to SHAKALPA.</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building-materials quality and safety commitments and will supply products professionally, lawfully, and with accurate supporting information.</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