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00"/>
        <w:jc w:val="left"/>
      </w:pPr>
      <w:r>
        <w:rPr>
          <w:rFonts w:ascii="Aptos" w:hAnsi="Aptos"/>
          <w:b/>
          <w:color w:val="000000"/>
          <w:sz w:val="48"/>
        </w:rPr>
        <w:t>SHAKALPA Fabrication &amp; Metalwork Safety Declaration</w:t>
      </w:r>
    </w:p>
    <w:p>
      <w:pPr>
        <w:spacing w:after="300"/>
      </w:pPr>
      <w:r>
        <w:rPr>
          <w:rFonts w:ascii="Aptos" w:hAnsi="Aptos"/>
          <w:b w:val="0"/>
          <w:color w:val="000000"/>
          <w:sz w:val="18"/>
        </w:rPr>
        <w:t>Version 1.0 | Partner onboarding draft | India</w:t>
      </w:r>
    </w:p>
    <w:p>
      <w:pPr>
        <w:spacing w:after="140" w:line="283" w:lineRule="auto"/>
      </w:pPr>
      <w:r>
        <w:rPr>
          <w:rFonts w:ascii="Aptos" w:hAnsi="Aptos"/>
          <w:b w:val="0"/>
          <w:color w:val="000000"/>
          <w:sz w:val="22"/>
        </w:rPr>
        <w:t>This declaration applies to Service Partners providing steel or aluminium fabrication, glass work, welding, gate fabrication, or grill work through SHAKALPA.</w:t>
      </w:r>
    </w:p>
    <w:p>
      <w:pPr>
        <w:spacing w:after="140" w:line="283" w:lineRule="auto"/>
      </w:pPr>
      <w:r>
        <w:rPr>
          <w:rFonts w:ascii="Aptos" w:hAnsi="Aptos"/>
          <w:b w:val="0"/>
          <w:color w:val="000000"/>
          <w:sz w:val="22"/>
        </w:rPr>
        <w:t>This document is intended for partner onboarding and operational use. It should be reviewed and approved by SHAKALPA's legal and compliance teams before production use.</w:t>
      </w:r>
    </w:p>
    <w:p>
      <w:pPr>
        <w:pStyle w:val="Heading1"/>
        <w:spacing w:before="280" w:after="120"/>
      </w:pPr>
      <w:r>
        <w:rPr>
          <w:rFonts w:ascii="Aptos" w:hAnsi="Aptos"/>
          <w:b/>
          <w:color w:val="000000"/>
          <w:sz w:val="30"/>
        </w:rPr>
        <w:t>Trade competence and workshop safety</w:t>
      </w:r>
    </w:p>
    <w:p>
      <w:pPr>
        <w:spacing w:after="140" w:line="283" w:lineRule="auto"/>
      </w:pPr>
      <w:r>
        <w:rPr>
          <w:rFonts w:ascii="Aptos" w:hAnsi="Aptos"/>
          <w:b w:val="0"/>
          <w:color w:val="000000"/>
          <w:sz w:val="22"/>
        </w:rPr>
        <w:t>Partners must undertake only work their team is trained, equipped, insured, and authorised to perform. Welding, cutting, grinding, lifting, glass handling, and installation must use suitable equipment, PPE, electrical controls, and fire-safety measures.</w:t>
      </w:r>
    </w:p>
    <w:p>
      <w:pPr>
        <w:pStyle w:val="Heading1"/>
        <w:spacing w:before="280" w:after="120"/>
      </w:pPr>
      <w:r>
        <w:rPr>
          <w:rFonts w:ascii="Aptos" w:hAnsi="Aptos"/>
          <w:b/>
          <w:color w:val="000000"/>
          <w:sz w:val="30"/>
        </w:rPr>
        <w:t>Site safety and customer property</w:t>
      </w:r>
    </w:p>
    <w:p>
      <w:pPr>
        <w:spacing w:after="140" w:line="283" w:lineRule="auto"/>
      </w:pPr>
      <w:r>
        <w:rPr>
          <w:rFonts w:ascii="Aptos" w:hAnsi="Aptos"/>
          <w:b w:val="0"/>
          <w:color w:val="000000"/>
          <w:sz w:val="22"/>
        </w:rPr>
        <w:t>Partners must inspect the work area, protect people and property, control sparks, dust, sharp edges, lifting risks, and glass hazards, and stop work when conditions are unsafe. Incidents, injuries, or material damage must be reported promptly.</w:t>
      </w:r>
    </w:p>
    <w:p>
      <w:pPr>
        <w:pStyle w:val="Heading1"/>
        <w:spacing w:before="280" w:after="120"/>
      </w:pPr>
      <w:r>
        <w:rPr>
          <w:rFonts w:ascii="Aptos" w:hAnsi="Aptos"/>
          <w:b/>
          <w:color w:val="000000"/>
          <w:sz w:val="30"/>
        </w:rPr>
        <w:t>Scope, materials, and pricing</w:t>
      </w:r>
    </w:p>
    <w:p>
      <w:pPr>
        <w:spacing w:after="140" w:line="283" w:lineRule="auto"/>
      </w:pPr>
      <w:r>
        <w:rPr>
          <w:rFonts w:ascii="Aptos" w:hAnsi="Aptos"/>
          <w:b w:val="0"/>
          <w:color w:val="000000"/>
          <w:sz w:val="22"/>
        </w:rPr>
        <w:t>Partners must clearly state measurements, design approval, material type and grade, finishing, coating, glass fitting, transport, installation, exclusions, quotation, and change-order process. Changes require customer approval.</w:t>
      </w:r>
    </w:p>
    <w:p>
      <w:pPr>
        <w:pStyle w:val="Heading1"/>
        <w:spacing w:before="280" w:after="120"/>
      </w:pPr>
      <w:r>
        <w:rPr>
          <w:rFonts w:ascii="Aptos" w:hAnsi="Aptos"/>
          <w:b/>
          <w:color w:val="000000"/>
          <w:sz w:val="30"/>
        </w:rPr>
        <w:t>Warranty and claims</w:t>
      </w:r>
    </w:p>
    <w:p>
      <w:pPr>
        <w:spacing w:after="140" w:line="283" w:lineRule="auto"/>
      </w:pPr>
      <w:r>
        <w:rPr>
          <w:rFonts w:ascii="Aptos" w:hAnsi="Aptos"/>
          <w:b w:val="0"/>
          <w:color w:val="000000"/>
          <w:sz w:val="22"/>
        </w:rPr>
        <w:t>Partners must state workmanship warranty, revisit terms, and applicable exclusions for corrosion, rust, coating, or glass breakage, and maintain a fair process for damage claims and disputes.</w:t>
      </w:r>
    </w:p>
    <w:p>
      <w:pPr>
        <w:pStyle w:val="Heading1"/>
        <w:spacing w:before="280" w:after="120"/>
      </w:pPr>
      <w:r>
        <w:rPr>
          <w:rFonts w:ascii="Aptos" w:hAnsi="Aptos"/>
          <w:b/>
          <w:color w:val="000000"/>
          <w:sz w:val="30"/>
        </w:rPr>
        <w:t>Acknowledgement</w:t>
      </w:r>
    </w:p>
    <w:p>
      <w:pPr>
        <w:spacing w:after="140" w:line="283" w:lineRule="auto"/>
      </w:pPr>
      <w:r>
        <w:rPr>
          <w:rFonts w:ascii="Aptos" w:hAnsi="Aptos"/>
          <w:b w:val="0"/>
          <w:color w:val="000000"/>
          <w:sz w:val="22"/>
        </w:rPr>
        <w:t>I confirm that I will comply with these fabrication and metalwork safety commitments and will not accept work that cannot be performed safely, lawfully, and professionally.</w:t>
      </w:r>
    </w:p>
    <w:p>
      <w:pPr>
        <w:spacing w:after="140" w:line="283" w:lineRule="auto"/>
      </w:pPr>
      <w:r>
        <w:rPr>
          <w:rFonts w:ascii="Aptos" w:hAnsi="Aptos"/>
          <w:b w:val="0"/>
          <w:color w:val="000000"/>
          <w:sz w:val="22"/>
        </w:rPr>
        <w:t>By accepting this document in the SHAKALPA partner onboarding flow, the partner confirms that the information provided is accurate and agrees to comply with this document as updated from time to time.</w:t>
      </w:r>
    </w:p>
    <w:sectPr w:rsidR="00FC693F" w:rsidRPr="0006063C" w:rsidSect="00034616">
      <w:headerReference w:type="default" r:id="rId9"/>
      <w:footerReference w:type="default" r:id="rId10"/>
      <w:pgSz w:w="12240" w:h="15840"/>
      <w:pgMar w:top="1037"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b w:val="0"/>
        <w:color w:val="000000"/>
        <w:sz w:val="16"/>
      </w:rPr>
      <w:t xml:space="preserve">SHAKALPA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b/>
        <w:color w:val="000000"/>
        <w:sz w:val="18"/>
      </w:rPr>
      <w:t>SHAKALPA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