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Real Estate Rental Compliance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declaration applies to Service Partners offering house, apartment, commercial, office, shop, or warehouse rental services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Registration and listing authority</w:t>
      </w:r>
    </w:p>
    <w:p>
      <w:pPr>
        <w:spacing w:after="140" w:line="283" w:lineRule="auto"/>
      </w:pPr>
      <w:r>
        <w:rPr>
          <w:rFonts w:ascii="Aptos" w:hAnsi="Aptos"/>
          <w:b w:val="0"/>
          <w:color w:val="000000"/>
          <w:sz w:val="22"/>
        </w:rPr>
        <w:t>Partners must maintain applicable brokerage, RERA, GST, business, insurance, owner, property-management, and rental-listing authorisations. Rental listings must accurately state property type, rent, deposit, lease term, availability, use restrictions, and material conditions.</w:t>
      </w:r>
    </w:p>
    <w:p>
      <w:pPr>
        <w:pStyle w:val="Heading1"/>
        <w:spacing w:before="280" w:after="120"/>
      </w:pPr>
      <w:r>
        <w:rPr>
          <w:rFonts w:ascii="Aptos" w:hAnsi="Aptos"/>
          <w:b/>
          <w:color w:val="000000"/>
          <w:sz w:val="30"/>
        </w:rPr>
        <w:t>Tenant screening and viewing safety</w:t>
      </w:r>
    </w:p>
    <w:p>
      <w:pPr>
        <w:spacing w:after="140" w:line="283" w:lineRule="auto"/>
      </w:pPr>
      <w:r>
        <w:rPr>
          <w:rFonts w:ascii="Aptos" w:hAnsi="Aptos"/>
          <w:b w:val="0"/>
          <w:color w:val="000000"/>
          <w:sz w:val="22"/>
        </w:rPr>
        <w:t>Partners must use a reasonable tenant KYC, screening, identity-verification, viewing, property-access, and customer-safety process. Customer and property information must be handled in accordance with the Privacy Policy.</w:t>
      </w:r>
    </w:p>
    <w:p>
      <w:pPr>
        <w:pStyle w:val="Heading1"/>
        <w:spacing w:before="280" w:after="120"/>
      </w:pPr>
      <w:r>
        <w:rPr>
          <w:rFonts w:ascii="Aptos" w:hAnsi="Aptos"/>
          <w:b/>
          <w:color w:val="000000"/>
          <w:sz w:val="30"/>
        </w:rPr>
        <w:t>Lease, deposits, maintenance, and disputes</w:t>
      </w:r>
    </w:p>
    <w:p>
      <w:pPr>
        <w:spacing w:after="140" w:line="283" w:lineRule="auto"/>
      </w:pPr>
      <w:r>
        <w:rPr>
          <w:rFonts w:ascii="Aptos" w:hAnsi="Aptos"/>
          <w:b w:val="0"/>
          <w:color w:val="000000"/>
          <w:sz w:val="22"/>
        </w:rPr>
        <w:t>Partners must clearly disclose brokerage, cancellation, refund, rental-agreement, renewal, notice, deposit, inventory, handover, maintenance, repair, emergency-contact, damage-claim, and grievance processes. Commercial rentals require appropriate use approvals and lease documentation.</w:t>
      </w:r>
    </w:p>
    <w:p>
      <w:pPr>
        <w:pStyle w:val="Heading1"/>
        <w:spacing w:before="280" w:after="120"/>
      </w:pPr>
      <w:r>
        <w:rPr>
          <w:rFonts w:ascii="Aptos" w:hAnsi="Aptos"/>
          <w:b/>
          <w:color w:val="000000"/>
          <w:sz w:val="30"/>
        </w:rPr>
        <w:t>Professional conduct</w:t>
      </w:r>
    </w:p>
    <w:p>
      <w:pPr>
        <w:spacing w:after="140" w:line="283" w:lineRule="auto"/>
      </w:pPr>
      <w:r>
        <w:rPr>
          <w:rFonts w:ascii="Aptos" w:hAnsi="Aptos"/>
          <w:b w:val="0"/>
          <w:color w:val="000000"/>
          <w:sz w:val="22"/>
        </w:rPr>
        <w:t>Partners must not make misleading claims, collect unauthorised payments, or share property or customer information without authority. Suspected fraud, forged documents, unsafe visits, or serious complaints must be reported promptly to SHAKALPA.</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comply with these real-estate rental compliance commitments and will provide only authorised, accurate, and professionally managed rental services.</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