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Architectural &amp; Engineering Compliance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providing architectural design, civil engineering, structural engineering, building-plan approval support, or 3D elevation design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Professional competence and registration</w:t>
      </w:r>
    </w:p>
    <w:p>
      <w:pPr>
        <w:spacing w:after="140" w:line="283" w:lineRule="auto"/>
      </w:pPr>
      <w:r>
        <w:rPr>
          <w:rFonts w:ascii="Aptos" w:hAnsi="Aptos"/>
          <w:b w:val="0"/>
          <w:color w:val="000000"/>
          <w:sz w:val="22"/>
        </w:rPr>
        <w:t>Partners must provide only services within their competence, professional registration, licence, insurance, and legal authority. Where a law, code, or authority requires a registered architect or engineer, the partner must ensure that the work is prepared, checked, or supervised by an appropriately qualified professional.</w:t>
      </w:r>
    </w:p>
    <w:p>
      <w:pPr>
        <w:pStyle w:val="Heading1"/>
        <w:spacing w:before="280" w:after="120"/>
      </w:pPr>
      <w:r>
        <w:rPr>
          <w:rFonts w:ascii="Aptos" w:hAnsi="Aptos"/>
          <w:b/>
          <w:color w:val="000000"/>
          <w:sz w:val="30"/>
        </w:rPr>
        <w:t>Design quality and safety</w:t>
      </w:r>
    </w:p>
    <w:p>
      <w:pPr>
        <w:spacing w:after="140" w:line="283" w:lineRule="auto"/>
      </w:pPr>
      <w:r>
        <w:rPr>
          <w:rFonts w:ascii="Aptos" w:hAnsi="Aptos"/>
          <w:b w:val="0"/>
          <w:color w:val="000000"/>
          <w:sz w:val="22"/>
        </w:rPr>
        <w:t>Partners must use reasonable professional care, accurately communicate assumptions and limitations, identify material design or site risks, and recommend that work stop or be reviewed when safety, structural integrity, approvals, or required information are uncertain.</w:t>
      </w:r>
    </w:p>
    <w:p>
      <w:pPr>
        <w:pStyle w:val="Heading1"/>
        <w:spacing w:before="280" w:after="120"/>
      </w:pPr>
      <w:r>
        <w:rPr>
          <w:rFonts w:ascii="Aptos" w:hAnsi="Aptos"/>
          <w:b/>
          <w:color w:val="000000"/>
          <w:sz w:val="30"/>
        </w:rPr>
        <w:t>Plans, approvals, and privacy</w:t>
      </w:r>
    </w:p>
    <w:p>
      <w:pPr>
        <w:spacing w:after="140" w:line="283" w:lineRule="auto"/>
      </w:pPr>
      <w:r>
        <w:rPr>
          <w:rFonts w:ascii="Aptos" w:hAnsi="Aptos"/>
          <w:b w:val="0"/>
          <w:color w:val="000000"/>
          <w:sz w:val="22"/>
        </w:rPr>
        <w:t>Partners must explain the scope of drawings, approval support, authority submissions, expected timelines, revision limits, and third-party dependencies. Customer plans, site details, and documents must be used only for providing the agreed service and handled in accordance with the Privacy Policy.</w:t>
      </w:r>
    </w:p>
    <w:p>
      <w:pPr>
        <w:pStyle w:val="Heading1"/>
        <w:spacing w:before="280" w:after="120"/>
      </w:pPr>
      <w:r>
        <w:rPr>
          <w:rFonts w:ascii="Aptos" w:hAnsi="Aptos"/>
          <w:b/>
          <w:color w:val="000000"/>
          <w:sz w:val="30"/>
        </w:rPr>
        <w:t>Pricing, revisions, and disputes</w:t>
      </w:r>
    </w:p>
    <w:p>
      <w:pPr>
        <w:spacing w:after="140" w:line="283" w:lineRule="auto"/>
      </w:pPr>
      <w:r>
        <w:rPr>
          <w:rFonts w:ascii="Aptos" w:hAnsi="Aptos"/>
          <w:b w:val="0"/>
          <w:color w:val="000000"/>
          <w:sz w:val="22"/>
        </w:rPr>
        <w:t>Partners must provide clear consultation, site-visit, drawing-package, revision, and additional-work pricing. Changes to scope or fees require customer approval. Partners must maintain a fair process for correction requests, disputes, and professional complaints.</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professional and compliance commitments and will not accept work that I am not qualified, registered, insured, or authorised to perform.</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