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Bakery Food Safety &amp; Quality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declaration applies to Service Partners offering bakery, cake shop, sweet shop, or dessert shop services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Food business compliance</w:t>
      </w:r>
    </w:p>
    <w:p>
      <w:pPr>
        <w:spacing w:after="140" w:line="283" w:lineRule="auto"/>
      </w:pPr>
      <w:r>
        <w:rPr>
          <w:rFonts w:ascii="Aptos" w:hAnsi="Aptos"/>
          <w:b w:val="0"/>
          <w:color w:val="000000"/>
          <w:sz w:val="22"/>
        </w:rPr>
        <w:t>Partners must maintain applicable FSSAI, business, GST, facility, and local registration records and accurately describe products, ingredients, prices, and availability.</w:t>
      </w:r>
    </w:p>
    <w:p>
      <w:pPr>
        <w:pStyle w:val="Heading1"/>
        <w:spacing w:before="280" w:after="120"/>
      </w:pPr>
      <w:r>
        <w:rPr>
          <w:rFonts w:ascii="Aptos" w:hAnsi="Aptos"/>
          <w:b/>
          <w:color w:val="000000"/>
          <w:sz w:val="30"/>
        </w:rPr>
        <w:t>Food safety and allergens</w:t>
      </w:r>
    </w:p>
    <w:p>
      <w:pPr>
        <w:spacing w:after="140" w:line="283" w:lineRule="auto"/>
      </w:pPr>
      <w:r>
        <w:rPr>
          <w:rFonts w:ascii="Aptos" w:hAnsi="Aptos"/>
          <w:b w:val="0"/>
          <w:color w:val="000000"/>
          <w:sz w:val="22"/>
        </w:rPr>
        <w:t>Partners must maintain safe preparation, storage, hygiene, packaging, temperature, labelling, expiry, allergen, cross-contamination, pest-control, and waste-handling practices.</w:t>
      </w:r>
    </w:p>
    <w:p>
      <w:pPr>
        <w:pStyle w:val="Heading1"/>
        <w:spacing w:before="280" w:after="120"/>
      </w:pPr>
      <w:r>
        <w:rPr>
          <w:rFonts w:ascii="Aptos" w:hAnsi="Aptos"/>
          <w:b/>
          <w:color w:val="000000"/>
          <w:sz w:val="30"/>
        </w:rPr>
        <w:t>Orders, delivery, and customer protection</w:t>
      </w:r>
    </w:p>
    <w:p>
      <w:pPr>
        <w:spacing w:after="140" w:line="283" w:lineRule="auto"/>
      </w:pPr>
      <w:r>
        <w:rPr>
          <w:rFonts w:ascii="Aptos" w:hAnsi="Aptos"/>
          <w:b w:val="0"/>
          <w:color w:val="000000"/>
          <w:sz w:val="22"/>
        </w:rPr>
        <w:t>Partners must clearly disclose order lead time, customisation, delivery, cancellation, refund, replacement, damage-claim, and complaint processes and promptly escalate material food-quality or safety incidents.</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provide safe, accurately described, and professionally handled bakery and sweets services.</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