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Construction Safety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Safety Declaration applies to Service Partners offering residential or commercial construction, renovation, civil contracting, structural work, or site supervision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Competence and authority</w:t>
      </w:r>
    </w:p>
    <w:p>
      <w:pPr>
        <w:spacing w:after="140" w:line="283" w:lineRule="auto"/>
      </w:pPr>
      <w:r>
        <w:rPr>
          <w:rFonts w:ascii="Aptos" w:hAnsi="Aptos"/>
          <w:b w:val="0"/>
          <w:color w:val="000000"/>
          <w:sz w:val="22"/>
        </w:rPr>
        <w:t>The partner must undertake only work that it is competent, licensed, insured, staffed, and legally authorised to perform. Structural work and site supervision must be performed or supervised by appropriately qualified professionals where required.</w:t>
      </w:r>
    </w:p>
    <w:p>
      <w:pPr>
        <w:pStyle w:val="Heading1"/>
        <w:spacing w:before="280" w:after="120"/>
      </w:pPr>
      <w:r>
        <w:rPr>
          <w:rFonts w:ascii="Aptos" w:hAnsi="Aptos"/>
          <w:b/>
          <w:color w:val="000000"/>
          <w:sz w:val="30"/>
        </w:rPr>
        <w:t>Site safety</w:t>
      </w:r>
    </w:p>
    <w:p>
      <w:pPr>
        <w:spacing w:after="140" w:line="283" w:lineRule="auto"/>
      </w:pPr>
      <w:r>
        <w:rPr>
          <w:rFonts w:ascii="Aptos" w:hAnsi="Aptos"/>
          <w:b w:val="0"/>
          <w:color w:val="000000"/>
          <w:sz w:val="22"/>
        </w:rPr>
        <w:t>The partner must assess site risks before work begins, use suitable PPE and equipment, maintain safe access and housekeeping, brief workers on hazards, and stop work when unsafe conditions arise.</w:t>
      </w:r>
    </w:p>
    <w:p>
      <w:pPr>
        <w:pStyle w:val="ListBullet"/>
        <w:spacing w:after="60" w:line="269" w:lineRule="auto"/>
      </w:pPr>
      <w:r>
        <w:rPr>
          <w:rFonts w:ascii="Aptos" w:hAnsi="Aptos"/>
          <w:b w:val="0"/>
          <w:color w:val="000000"/>
          <w:sz w:val="21"/>
        </w:rPr>
        <w:t>Follow applicable building, labour, fire, electrical, environmental, and local-authority requirements.</w:t>
      </w:r>
    </w:p>
    <w:p>
      <w:pPr>
        <w:pStyle w:val="ListBullet"/>
        <w:spacing w:after="60" w:line="269" w:lineRule="auto"/>
      </w:pPr>
      <w:r>
        <w:rPr>
          <w:rFonts w:ascii="Aptos" w:hAnsi="Aptos"/>
          <w:b w:val="0"/>
          <w:color w:val="000000"/>
          <w:sz w:val="21"/>
        </w:rPr>
        <w:t>Protect customers, occupants, visitors, neighbouring property, and workers from foreseeable risks.</w:t>
      </w:r>
    </w:p>
    <w:p>
      <w:pPr>
        <w:pStyle w:val="ListBullet"/>
        <w:spacing w:after="60" w:line="269" w:lineRule="auto"/>
      </w:pPr>
      <w:r>
        <w:rPr>
          <w:rFonts w:ascii="Aptos" w:hAnsi="Aptos"/>
          <w:b w:val="0"/>
          <w:color w:val="000000"/>
          <w:sz w:val="21"/>
        </w:rPr>
        <w:t>Report serious incidents, injuries, unsafe conditions, material damage, or suspected structural risks to SHAKALPA without delay.</w:t>
      </w:r>
    </w:p>
    <w:p>
      <w:pPr>
        <w:pStyle w:val="Heading1"/>
        <w:spacing w:before="280" w:after="120"/>
      </w:pPr>
      <w:r>
        <w:rPr>
          <w:rFonts w:ascii="Aptos" w:hAnsi="Aptos"/>
          <w:b/>
          <w:color w:val="000000"/>
          <w:sz w:val="30"/>
        </w:rPr>
        <w:t>Scope, pricing, and changes</w:t>
      </w:r>
    </w:p>
    <w:p>
      <w:pPr>
        <w:spacing w:after="140" w:line="283" w:lineRule="auto"/>
      </w:pPr>
      <w:r>
        <w:rPr>
          <w:rFonts w:ascii="Aptos" w:hAnsi="Aptos"/>
          <w:b w:val="0"/>
          <w:color w:val="000000"/>
          <w:sz w:val="22"/>
        </w:rPr>
        <w:t>The partner must provide a clear scope, quotation, materials policy, timeline, and change-order process. Any material change to scope, price, or design requires customer approval before work proceeds.</w:t>
      </w:r>
    </w:p>
    <w:p>
      <w:pPr>
        <w:pStyle w:val="Heading1"/>
        <w:spacing w:before="280" w:after="120"/>
      </w:pPr>
      <w:r>
        <w:rPr>
          <w:rFonts w:ascii="Aptos" w:hAnsi="Aptos"/>
          <w:b/>
          <w:color w:val="000000"/>
          <w:sz w:val="30"/>
        </w:rPr>
        <w:t>Quality, warranty, and claims</w:t>
      </w:r>
    </w:p>
    <w:p>
      <w:pPr>
        <w:spacing w:after="140" w:line="283" w:lineRule="auto"/>
      </w:pPr>
      <w:r>
        <w:rPr>
          <w:rFonts w:ascii="Aptos" w:hAnsi="Aptos"/>
          <w:b w:val="0"/>
          <w:color w:val="000000"/>
          <w:sz w:val="22"/>
        </w:rPr>
        <w:t>The partner must state the applicable warranty or defect-liability period and maintain a fair documented process for damage claims, remedial work, and dispute handling.</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comply with these construction safety commitments and will not accept work that cannot be completed safely, lawfully, and professionally.</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