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Flooring &amp; Wall-Cladding Safety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declaration applies to Service Partners providing tile installation, marble, granite, wooden, or epoxy flooring, or wall cladding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Trade competence and equipment</w:t>
      </w:r>
    </w:p>
    <w:p>
      <w:pPr>
        <w:spacing w:after="140" w:line="283" w:lineRule="auto"/>
      </w:pPr>
      <w:r>
        <w:rPr>
          <w:rFonts w:ascii="Aptos" w:hAnsi="Aptos"/>
          <w:b w:val="0"/>
          <w:color w:val="000000"/>
          <w:sz w:val="22"/>
        </w:rPr>
        <w:t>Partners must undertake only flooring and cladding work that their team is trained, equipped, insured, and authorised to perform. Specialist stone, epoxy, and cladding work requires suitable work proof and safe cutting, handling, polishing, and installation equipment.</w:t>
      </w:r>
    </w:p>
    <w:p>
      <w:pPr>
        <w:pStyle w:val="Heading1"/>
        <w:spacing w:before="280" w:after="120"/>
      </w:pPr>
      <w:r>
        <w:rPr>
          <w:rFonts w:ascii="Aptos" w:hAnsi="Aptos"/>
          <w:b/>
          <w:color w:val="000000"/>
          <w:sz w:val="30"/>
        </w:rPr>
        <w:t>Site safety and property protection</w:t>
      </w:r>
    </w:p>
    <w:p>
      <w:pPr>
        <w:spacing w:after="140" w:line="283" w:lineRule="auto"/>
      </w:pPr>
      <w:r>
        <w:rPr>
          <w:rFonts w:ascii="Aptos" w:hAnsi="Aptos"/>
          <w:b w:val="0"/>
          <w:color w:val="000000"/>
          <w:sz w:val="22"/>
        </w:rPr>
        <w:t>Partners must assess the surface and work area before starting, use appropriate PPE and dust controls, manage cutting and chemical hazards, protect customer property, and report unsafe conditions, injuries, or damage promptly.</w:t>
      </w:r>
    </w:p>
    <w:p>
      <w:pPr>
        <w:pStyle w:val="Heading1"/>
        <w:spacing w:before="280" w:after="120"/>
      </w:pPr>
      <w:r>
        <w:rPr>
          <w:rFonts w:ascii="Aptos" w:hAnsi="Aptos"/>
          <w:b/>
          <w:color w:val="000000"/>
          <w:sz w:val="30"/>
        </w:rPr>
        <w:t>Materials, pricing, and change orders</w:t>
      </w:r>
    </w:p>
    <w:p>
      <w:pPr>
        <w:spacing w:after="140" w:line="283" w:lineRule="auto"/>
      </w:pPr>
      <w:r>
        <w:rPr>
          <w:rFonts w:ascii="Aptos" w:hAnsi="Aptos"/>
          <w:b w:val="0"/>
          <w:color w:val="000000"/>
          <w:sz w:val="22"/>
        </w:rPr>
        <w:t>Partners must clearly explain the material policy, surface preparation, levelling, waterproofing, grouting, polishing, sealing, skirting, removal, disposal, transport, and any additional charges. Material substitutions and changes require customer approval.</w:t>
      </w:r>
    </w:p>
    <w:p>
      <w:pPr>
        <w:pStyle w:val="Heading1"/>
        <w:spacing w:before="280" w:after="120"/>
      </w:pPr>
      <w:r>
        <w:rPr>
          <w:rFonts w:ascii="Aptos" w:hAnsi="Aptos"/>
          <w:b/>
          <w:color w:val="000000"/>
          <w:sz w:val="30"/>
        </w:rPr>
        <w:t>Quality, warranty, and claims</w:t>
      </w:r>
    </w:p>
    <w:p>
      <w:pPr>
        <w:spacing w:after="140" w:line="283" w:lineRule="auto"/>
      </w:pPr>
      <w:r>
        <w:rPr>
          <w:rFonts w:ascii="Aptos" w:hAnsi="Aptos"/>
          <w:b w:val="0"/>
          <w:color w:val="000000"/>
          <w:sz w:val="22"/>
        </w:rPr>
        <w:t>Partners must state applicable workmanship warranty or defect-liability terms and maintain a fair process for revisit work, breakage, wastage, damage claims, and dispute resolution.</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comply with these flooring and wall-cladding safety commitments and will not accept work that cannot be completed safely, lawfully, and professionally.</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