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Home Technical Services Safety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Safety Declaration applies to Service Partners offering locksmith, waterproofing, roof repair, CCTV installation, solar installation, or packers and movers services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Competence and legal requirements</w:t>
      </w:r>
    </w:p>
    <w:p>
      <w:pPr>
        <w:spacing w:after="140" w:line="283" w:lineRule="auto"/>
      </w:pPr>
      <w:r>
        <w:rPr>
          <w:rFonts w:ascii="Aptos" w:hAnsi="Aptos"/>
          <w:b w:val="0"/>
          <w:color w:val="000000"/>
          <w:sz w:val="22"/>
        </w:rPr>
        <w:t>Partners must offer only work they are competent, equipped, authorised, insured, and legally permitted to perform. Any required licence, registration, certification, local approval, or supervision must be kept current.</w:t>
      </w:r>
    </w:p>
    <w:p>
      <w:pPr>
        <w:pStyle w:val="Heading1"/>
        <w:spacing w:before="280" w:after="120"/>
      </w:pPr>
      <w:r>
        <w:rPr>
          <w:rFonts w:ascii="Aptos" w:hAnsi="Aptos"/>
          <w:b/>
          <w:color w:val="000000"/>
          <w:sz w:val="30"/>
        </w:rPr>
        <w:t>Safe work and customer property</w:t>
      </w:r>
    </w:p>
    <w:p>
      <w:pPr>
        <w:spacing w:after="140" w:line="283" w:lineRule="auto"/>
      </w:pPr>
      <w:r>
        <w:rPr>
          <w:rFonts w:ascii="Aptos" w:hAnsi="Aptos"/>
          <w:b w:val="0"/>
          <w:color w:val="000000"/>
          <w:sz w:val="22"/>
        </w:rPr>
        <w:t>Before starting work, partners must assess risks, use suitable tools and protective equipment, protect customer property, explain material risks, and stop work where it cannot be completed safely.</w:t>
      </w:r>
    </w:p>
    <w:p>
      <w:pPr>
        <w:pStyle w:val="ListBullet"/>
        <w:spacing w:after="60" w:line="269" w:lineRule="auto"/>
      </w:pPr>
      <w:r>
        <w:rPr>
          <w:rFonts w:ascii="Aptos" w:hAnsi="Aptos"/>
          <w:b w:val="0"/>
          <w:color w:val="000000"/>
          <w:sz w:val="21"/>
        </w:rPr>
        <w:t>For roof, waterproofing, CCTV, and solar work, use safe access methods and do not work in unsafe weather or hazardous electrical conditions.</w:t>
      </w:r>
    </w:p>
    <w:p>
      <w:pPr>
        <w:pStyle w:val="ListBullet"/>
        <w:spacing w:after="60" w:line="269" w:lineRule="auto"/>
      </w:pPr>
      <w:r>
        <w:rPr>
          <w:rFonts w:ascii="Aptos" w:hAnsi="Aptos"/>
          <w:b w:val="0"/>
          <w:color w:val="000000"/>
          <w:sz w:val="21"/>
        </w:rPr>
        <w:t>For locksmith work, verify the customer's authority to request access before opening, changing, or bypassing a lock.</w:t>
      </w:r>
    </w:p>
    <w:p>
      <w:pPr>
        <w:pStyle w:val="ListBullet"/>
        <w:spacing w:after="60" w:line="269" w:lineRule="auto"/>
      </w:pPr>
      <w:r>
        <w:rPr>
          <w:rFonts w:ascii="Aptos" w:hAnsi="Aptos"/>
          <w:b w:val="0"/>
          <w:color w:val="000000"/>
          <w:sz w:val="21"/>
        </w:rPr>
        <w:t>For packers and movers work, use safe lifting, packing, loading, transport, and delivery procedures, and record any pre-existing or newly observed damage promptly.</w:t>
      </w:r>
    </w:p>
    <w:p>
      <w:pPr>
        <w:pStyle w:val="Heading1"/>
        <w:spacing w:before="280" w:after="120"/>
      </w:pPr>
      <w:r>
        <w:rPr>
          <w:rFonts w:ascii="Aptos" w:hAnsi="Aptos"/>
          <w:b/>
          <w:color w:val="000000"/>
          <w:sz w:val="30"/>
        </w:rPr>
        <w:t>Pricing, warranties, and claims</w:t>
      </w:r>
    </w:p>
    <w:p>
      <w:pPr>
        <w:spacing w:after="140" w:line="283" w:lineRule="auto"/>
      </w:pPr>
      <w:r>
        <w:rPr>
          <w:rFonts w:ascii="Aptos" w:hAnsi="Aptos"/>
          <w:b w:val="0"/>
          <w:color w:val="000000"/>
          <w:sz w:val="22"/>
        </w:rPr>
        <w:t>Partners must give clear information about inspection, labour, materials, warranty or revisit terms, and any damage-claim process before undertaking chargeable work. Additional charges or scope changes require customer approval.</w:t>
      </w:r>
    </w:p>
    <w:p>
      <w:pPr>
        <w:pStyle w:val="Heading1"/>
        <w:spacing w:before="280" w:after="120"/>
      </w:pPr>
      <w:r>
        <w:rPr>
          <w:rFonts w:ascii="Aptos" w:hAnsi="Aptos"/>
          <w:b/>
          <w:color w:val="000000"/>
          <w:sz w:val="30"/>
        </w:rPr>
        <w:t>Incidents and escalation</w:t>
      </w:r>
    </w:p>
    <w:p>
      <w:pPr>
        <w:spacing w:after="140" w:line="283" w:lineRule="auto"/>
      </w:pPr>
      <w:r>
        <w:rPr>
          <w:rFonts w:ascii="Aptos" w:hAnsi="Aptos"/>
          <w:b w:val="0"/>
          <w:color w:val="000000"/>
          <w:sz w:val="22"/>
        </w:rPr>
        <w:t>Partners must report serious safety incidents, damage, loss, security concerns, or customer complaints to SHAKALPA without delay and cooperate with reasonable follow-up requests.</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meet these safety commitments and will not accept work that I cannot perform safely, lawfully, and professionally.</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