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left"/>
      </w:pPr>
      <w:r>
        <w:rPr>
          <w:rFonts w:ascii="Aptos" w:hAnsi="Aptos"/>
          <w:b/>
          <w:color w:val="000000"/>
          <w:sz w:val="48"/>
        </w:rPr>
        <w:t>SHAKALPA Interior Design Safety &amp; Compliance Declaration</w:t>
      </w:r>
    </w:p>
    <w:p>
      <w:pPr>
        <w:spacing w:after="300"/>
      </w:pPr>
      <w:r>
        <w:rPr>
          <w:rFonts w:ascii="Aptos" w:hAnsi="Aptos"/>
          <w:b w:val="0"/>
          <w:color w:val="000000"/>
          <w:sz w:val="18"/>
        </w:rPr>
        <w:t>Version 1.0 | Partner onboarding draft | India</w:t>
      </w:r>
    </w:p>
    <w:p>
      <w:pPr>
        <w:spacing w:after="140" w:line="283" w:lineRule="auto"/>
      </w:pPr>
      <w:r>
        <w:rPr>
          <w:rFonts w:ascii="Aptos" w:hAnsi="Aptos"/>
          <w:b w:val="0"/>
          <w:color w:val="000000"/>
          <w:sz w:val="22"/>
        </w:rPr>
        <w:t>This declaration applies to Service Partners providing home or office interior design, modular kitchens, wardrobe design, false ceilings, or space planning through SHAKALPA.</w:t>
      </w:r>
    </w:p>
    <w:p>
      <w:pPr>
        <w:spacing w:after="140" w:line="283" w:lineRule="auto"/>
      </w:pPr>
      <w:r>
        <w:rPr>
          <w:rFonts w:ascii="Aptos" w:hAnsi="Aptos"/>
          <w:b w:val="0"/>
          <w:color w:val="000000"/>
          <w:sz w:val="22"/>
        </w:rPr>
        <w:t>This document is intended for partner onboarding and operational use. It should be reviewed and approved by SHAKALPA's legal and compliance teams before production use.</w:t>
      </w:r>
    </w:p>
    <w:p>
      <w:pPr>
        <w:pStyle w:val="Heading1"/>
        <w:spacing w:before="280" w:after="120"/>
      </w:pPr>
      <w:r>
        <w:rPr>
          <w:rFonts w:ascii="Aptos" w:hAnsi="Aptos"/>
          <w:b/>
          <w:color w:val="000000"/>
          <w:sz w:val="30"/>
        </w:rPr>
        <w:t>Professional scope and competence</w:t>
      </w:r>
    </w:p>
    <w:p>
      <w:pPr>
        <w:spacing w:after="140" w:line="283" w:lineRule="auto"/>
      </w:pPr>
      <w:r>
        <w:rPr>
          <w:rFonts w:ascii="Aptos" w:hAnsi="Aptos"/>
          <w:b w:val="0"/>
          <w:color w:val="000000"/>
          <w:sz w:val="22"/>
        </w:rPr>
        <w:t>Partners must undertake only work they are qualified, insured, equipped, and authorised to provide. They must accurately explain whether they provide design only, material supply, installation, project coordination, or execution supervision.</w:t>
      </w:r>
    </w:p>
    <w:p>
      <w:pPr>
        <w:pStyle w:val="Heading1"/>
        <w:spacing w:before="280" w:after="120"/>
      </w:pPr>
      <w:r>
        <w:rPr>
          <w:rFonts w:ascii="Aptos" w:hAnsi="Aptos"/>
          <w:b/>
          <w:color w:val="000000"/>
          <w:sz w:val="30"/>
        </w:rPr>
        <w:t>Customer property, site safety, and materials</w:t>
      </w:r>
    </w:p>
    <w:p>
      <w:pPr>
        <w:spacing w:after="140" w:line="283" w:lineRule="auto"/>
      </w:pPr>
      <w:r>
        <w:rPr>
          <w:rFonts w:ascii="Aptos" w:hAnsi="Aptos"/>
          <w:b w:val="0"/>
          <w:color w:val="000000"/>
          <w:sz w:val="22"/>
        </w:rPr>
        <w:t>Partners must use reasonable care when visiting customer premises, coordinating contractors, selecting materials, planning false ceilings, furniture, wardrobes, kitchens, or fixtures. Safety risks, material limitations, and access requirements must be explained before work begins.</w:t>
      </w:r>
    </w:p>
    <w:p>
      <w:pPr>
        <w:pStyle w:val="Heading1"/>
        <w:spacing w:before="280" w:after="120"/>
      </w:pPr>
      <w:r>
        <w:rPr>
          <w:rFonts w:ascii="Aptos" w:hAnsi="Aptos"/>
          <w:b/>
          <w:color w:val="000000"/>
          <w:sz w:val="30"/>
        </w:rPr>
        <w:t>Quotations, changes, and timelines</w:t>
      </w:r>
    </w:p>
    <w:p>
      <w:pPr>
        <w:spacing w:after="140" w:line="283" w:lineRule="auto"/>
      </w:pPr>
      <w:r>
        <w:rPr>
          <w:rFonts w:ascii="Aptos" w:hAnsi="Aptos"/>
          <w:b w:val="0"/>
          <w:color w:val="000000"/>
          <w:sz w:val="22"/>
        </w:rPr>
        <w:t>Partners must provide clear deliverables, material policy, estimated timeline, quotation, revision limits, and change-order process. Material substitutions, additional charges, or scope changes require customer approval.</w:t>
      </w:r>
    </w:p>
    <w:p>
      <w:pPr>
        <w:pStyle w:val="Heading1"/>
        <w:spacing w:before="280" w:after="120"/>
      </w:pPr>
      <w:r>
        <w:rPr>
          <w:rFonts w:ascii="Aptos" w:hAnsi="Aptos"/>
          <w:b/>
          <w:color w:val="000000"/>
          <w:sz w:val="30"/>
        </w:rPr>
        <w:t>Warranty, damage claims, and privacy</w:t>
      </w:r>
    </w:p>
    <w:p>
      <w:pPr>
        <w:spacing w:after="140" w:line="283" w:lineRule="auto"/>
      </w:pPr>
      <w:r>
        <w:rPr>
          <w:rFonts w:ascii="Aptos" w:hAnsi="Aptos"/>
          <w:b w:val="0"/>
          <w:color w:val="000000"/>
          <w:sz w:val="22"/>
        </w:rPr>
        <w:t>Partners must state applicable warranty or defect-liability terms and maintain a fair documented process for damage claims, remedial work, and disputes. Customer drawings, measurements, property images, and contact information must be handled under the Privacy Policy.</w:t>
      </w:r>
    </w:p>
    <w:p>
      <w:pPr>
        <w:pStyle w:val="Heading1"/>
        <w:spacing w:before="280" w:after="120"/>
      </w:pPr>
      <w:r>
        <w:rPr>
          <w:rFonts w:ascii="Aptos" w:hAnsi="Aptos"/>
          <w:b/>
          <w:color w:val="000000"/>
          <w:sz w:val="30"/>
        </w:rPr>
        <w:t>Acknowledgement</w:t>
      </w:r>
    </w:p>
    <w:p>
      <w:pPr>
        <w:spacing w:after="140" w:line="283" w:lineRule="auto"/>
      </w:pPr>
      <w:r>
        <w:rPr>
          <w:rFonts w:ascii="Aptos" w:hAnsi="Aptos"/>
          <w:b w:val="0"/>
          <w:color w:val="000000"/>
          <w:sz w:val="22"/>
        </w:rPr>
        <w:t>I confirm that I will follow these interior design safety and compliance commitments and will not accept work that cannot be performed safely, lawfully, and professionally.</w:t>
      </w:r>
    </w:p>
    <w:p>
      <w:pPr>
        <w:spacing w:after="140" w:line="283" w:lineRule="auto"/>
      </w:pPr>
      <w:r>
        <w:rPr>
          <w:rFonts w:ascii="Aptos" w:hAnsi="Aptos"/>
          <w:b w:val="0"/>
          <w:color w:val="000000"/>
          <w:sz w:val="22"/>
        </w:rPr>
        <w:t>By accepting this document in the SHAKALPA partner onboarding flow, the partner confirms that the information provided is accurate and agrees to comply with this document as updated from time to time.</w:t>
      </w:r>
    </w:p>
    <w:sectPr w:rsidR="00FC693F" w:rsidRPr="0006063C" w:rsidSect="00034616">
      <w:headerReference w:type="default" r:id="rId9"/>
      <w:footerReference w:type="default" r:id="rId10"/>
      <w:pgSz w:w="12240" w:h="15840"/>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000000"/>
        <w:sz w:val="16"/>
      </w:rPr>
      <w:t xml:space="preserve">SHAKALPA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00000"/>
        <w:sz w:val="18"/>
      </w:rPr>
      <w:t>SHAKALPA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