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Real Estate Sales Compliance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offering residential or commercial property sales, land and plot sales, new projects, or resale property services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Registration, authority, and accurate listings</w:t>
      </w:r>
    </w:p>
    <w:p>
      <w:pPr>
        <w:spacing w:after="140" w:line="283" w:lineRule="auto"/>
      </w:pPr>
      <w:r>
        <w:rPr>
          <w:rFonts w:ascii="Aptos" w:hAnsi="Aptos"/>
          <w:b w:val="0"/>
          <w:color w:val="000000"/>
          <w:sz w:val="22"/>
        </w:rPr>
        <w:t>Partners must maintain required RERA, brokerage, GST, business, insurance, builder/developer, owner/seller, and listing authorisations. Listings must accurately describe property ownership status, approvals, area, price, project details, and material limitations.</w:t>
      </w:r>
    </w:p>
    <w:p>
      <w:pPr>
        <w:pStyle w:val="Heading1"/>
        <w:spacing w:before="280" w:after="120"/>
      </w:pPr>
      <w:r>
        <w:rPr>
          <w:rFonts w:ascii="Aptos" w:hAnsi="Aptos"/>
          <w:b/>
          <w:color w:val="000000"/>
          <w:sz w:val="30"/>
        </w:rPr>
        <w:t>Due diligence and customer safety</w:t>
      </w:r>
    </w:p>
    <w:p>
      <w:pPr>
        <w:spacing w:after="140" w:line="283" w:lineRule="auto"/>
      </w:pPr>
      <w:r>
        <w:rPr>
          <w:rFonts w:ascii="Aptos" w:hAnsi="Aptos"/>
          <w:b w:val="0"/>
          <w:color w:val="000000"/>
          <w:sz w:val="22"/>
        </w:rPr>
        <w:t>Partners must follow a reasonable process for title, ownership, encumbrance, RERA/project approval, and listing-document review. They must use safe property-visit practices, protect customer information, and not make misleading claims or collect unauthorised payments.</w:t>
      </w:r>
    </w:p>
    <w:p>
      <w:pPr>
        <w:pStyle w:val="Heading1"/>
        <w:spacing w:before="280" w:after="120"/>
      </w:pPr>
      <w:r>
        <w:rPr>
          <w:rFonts w:ascii="Aptos" w:hAnsi="Aptos"/>
          <w:b/>
          <w:color w:val="000000"/>
          <w:sz w:val="30"/>
        </w:rPr>
        <w:t>Commissions, advertising, and consent</w:t>
      </w:r>
    </w:p>
    <w:p>
      <w:pPr>
        <w:spacing w:after="140" w:line="283" w:lineRule="auto"/>
      </w:pPr>
      <w:r>
        <w:rPr>
          <w:rFonts w:ascii="Aptos" w:hAnsi="Aptos"/>
          <w:b w:val="0"/>
          <w:color w:val="000000"/>
          <w:sz w:val="22"/>
        </w:rPr>
        <w:t>Partners must clearly disclose consultation, site-visit, brokerage, commission, cancellation, refund, advertising, and lead-handling terms. Property photos, listing data, and customer contact details must be used with appropriate authority and in accordance with the Privacy Policy.</w:t>
      </w:r>
    </w:p>
    <w:p>
      <w:pPr>
        <w:pStyle w:val="Heading1"/>
        <w:spacing w:before="280" w:after="120"/>
      </w:pPr>
      <w:r>
        <w:rPr>
          <w:rFonts w:ascii="Aptos" w:hAnsi="Aptos"/>
          <w:b/>
          <w:color w:val="000000"/>
          <w:sz w:val="30"/>
        </w:rPr>
        <w:t>Complaints and escalation</w:t>
      </w:r>
    </w:p>
    <w:p>
      <w:pPr>
        <w:spacing w:after="140" w:line="283" w:lineRule="auto"/>
      </w:pPr>
      <w:r>
        <w:rPr>
          <w:rFonts w:ascii="Aptos" w:hAnsi="Aptos"/>
          <w:b w:val="0"/>
          <w:color w:val="000000"/>
          <w:sz w:val="22"/>
        </w:rPr>
        <w:t>Partners must maintain a fair grievance and dispute process and promptly report suspected fraud, forged documents, serious safety concerns, or material listing inaccuracies to SHAKALPA.</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real-estate sales compliance commitments and will provide only authorised, accurate, and professionally handled property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