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Real Estate Services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offering real-estate agency, property management, property valuation, property legal support, or home-loan assistance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Registration, authority, and professional scope</w:t>
      </w:r>
    </w:p>
    <w:p>
      <w:pPr>
        <w:spacing w:after="140" w:line="283" w:lineRule="auto"/>
      </w:pPr>
      <w:r>
        <w:rPr>
          <w:rFonts w:ascii="Aptos" w:hAnsi="Aptos"/>
          <w:b w:val="0"/>
          <w:color w:val="000000"/>
          <w:sz w:val="22"/>
        </w:rPr>
        <w:t>Partners must maintain applicable RERA, brokerage, business, GST, professional, valuation, legal-practice, lender/DSA, insurance, owner, and property-management authorisations. Partners must accurately state their role and must not provide regulated legal, valuation, or lending advice unless properly authorised.</w:t>
      </w:r>
    </w:p>
    <w:p>
      <w:pPr>
        <w:pStyle w:val="Heading1"/>
        <w:spacing w:before="280" w:after="120"/>
      </w:pPr>
      <w:r>
        <w:rPr>
          <w:rFonts w:ascii="Aptos" w:hAnsi="Aptos"/>
          <w:b/>
          <w:color w:val="000000"/>
          <w:sz w:val="30"/>
        </w:rPr>
        <w:t>Property information and customer protection</w:t>
      </w:r>
    </w:p>
    <w:p>
      <w:pPr>
        <w:spacing w:after="140" w:line="283" w:lineRule="auto"/>
      </w:pPr>
      <w:r>
        <w:rPr>
          <w:rFonts w:ascii="Aptos" w:hAnsi="Aptos"/>
          <w:b w:val="0"/>
          <w:color w:val="000000"/>
          <w:sz w:val="22"/>
        </w:rPr>
        <w:t>Partners must use reasonable due diligence for property, owner, title, approval, valuation, lender, and listing information within their professional scope. Fees, commissions, lender relationships, conflicts, limitations, cancellation, refund, damage-claim, and grievance processes must be disclosed clearly before engagement.</w:t>
      </w:r>
    </w:p>
    <w:p>
      <w:pPr>
        <w:pStyle w:val="Heading1"/>
        <w:spacing w:before="280" w:after="120"/>
      </w:pPr>
      <w:r>
        <w:rPr>
          <w:rFonts w:ascii="Aptos" w:hAnsi="Aptos"/>
          <w:b/>
          <w:color w:val="000000"/>
          <w:sz w:val="30"/>
        </w:rPr>
        <w:t>Management, legal, valuation, and loan assistance</w:t>
      </w:r>
    </w:p>
    <w:p>
      <w:pPr>
        <w:spacing w:after="140" w:line="283" w:lineRule="auto"/>
      </w:pPr>
      <w:r>
        <w:rPr>
          <w:rFonts w:ascii="Aptos" w:hAnsi="Aptos"/>
          <w:b w:val="0"/>
          <w:color w:val="000000"/>
          <w:sz w:val="22"/>
        </w:rPr>
        <w:t>Property-management partners must maintain documented inspection, tenant or occupant, rent, maintenance, vendor, repair, emergency, and owner-reporting processes. Valuation reports must state their purpose and method. Legal services must be delivered only by suitably qualified professionals. Loan assistance must not promise approval or collect unauthorised charges.</w:t>
      </w:r>
    </w:p>
    <w:p>
      <w:pPr>
        <w:pStyle w:val="Heading1"/>
        <w:spacing w:before="280" w:after="120"/>
      </w:pPr>
      <w:r>
        <w:rPr>
          <w:rFonts w:ascii="Aptos" w:hAnsi="Aptos"/>
          <w:b/>
          <w:color w:val="000000"/>
          <w:sz w:val="30"/>
        </w:rPr>
        <w:t>Privacy, conduct, and escalation</w:t>
      </w:r>
    </w:p>
    <w:p>
      <w:pPr>
        <w:spacing w:after="140" w:line="283" w:lineRule="auto"/>
      </w:pPr>
      <w:r>
        <w:rPr>
          <w:rFonts w:ascii="Aptos" w:hAnsi="Aptos"/>
          <w:b w:val="0"/>
          <w:color w:val="000000"/>
          <w:sz w:val="22"/>
        </w:rPr>
        <w:t>Customer, owner, tenant, property, financial, and identity information must be handled in accordance with the Privacy Policy. Partners must not make misleading claims, conceal material conflicts, or collect unauthorised payments, and must promptly report suspected fraud, forged documents, major safety concerns, or serious complaints to SHAKALPA.</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real-estate services commitments and will provide only authorised, accurate, transparent, and professionally handled services.</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