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Restaurant Food Safety &amp; Quality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restaurant partners offering vegetarian, non-vegetarian, multi-cuisine, regional, Chinese, or fast-food services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Food business compliance</w:t>
      </w:r>
    </w:p>
    <w:p>
      <w:pPr>
        <w:spacing w:after="140" w:line="283" w:lineRule="auto"/>
      </w:pPr>
      <w:r>
        <w:rPr>
          <w:rFonts w:ascii="Aptos" w:hAnsi="Aptos"/>
          <w:b w:val="0"/>
          <w:color w:val="000000"/>
          <w:sz w:val="22"/>
        </w:rPr>
        <w:t>Partners must maintain applicable FSSAI, business, GST, facility, and local registration records and accurately describe menu items, ingredients, prices, availability, and dietary claims.</w:t>
      </w:r>
    </w:p>
    <w:p>
      <w:pPr>
        <w:pStyle w:val="Heading1"/>
        <w:spacing w:before="280" w:after="120"/>
      </w:pPr>
      <w:r>
        <w:rPr>
          <w:rFonts w:ascii="Aptos" w:hAnsi="Aptos"/>
          <w:b/>
          <w:color w:val="000000"/>
          <w:sz w:val="30"/>
        </w:rPr>
        <w:t>Food safety and allergens</w:t>
      </w:r>
    </w:p>
    <w:p>
      <w:pPr>
        <w:spacing w:after="140" w:line="283" w:lineRule="auto"/>
      </w:pPr>
      <w:r>
        <w:rPr>
          <w:rFonts w:ascii="Aptos" w:hAnsi="Aptos"/>
          <w:b w:val="0"/>
          <w:color w:val="000000"/>
          <w:sz w:val="22"/>
        </w:rPr>
        <w:t>Partners must maintain safe preparation, storage, hygiene, temperature, labelling, allergen, vegetarian/non-vegetarian separation, pest-control, and waste-handling practices.</w:t>
      </w:r>
    </w:p>
    <w:p>
      <w:pPr>
        <w:pStyle w:val="Heading1"/>
        <w:spacing w:before="280" w:after="120"/>
      </w:pPr>
      <w:r>
        <w:rPr>
          <w:rFonts w:ascii="Aptos" w:hAnsi="Aptos"/>
          <w:b/>
          <w:color w:val="000000"/>
          <w:sz w:val="30"/>
        </w:rPr>
        <w:t>Orders and customer protection</w:t>
      </w:r>
    </w:p>
    <w:p>
      <w:pPr>
        <w:spacing w:after="140" w:line="283" w:lineRule="auto"/>
      </w:pPr>
      <w:r>
        <w:rPr>
          <w:rFonts w:ascii="Aptos" w:hAnsi="Aptos"/>
          <w:b w:val="0"/>
          <w:color w:val="000000"/>
          <w:sz w:val="22"/>
        </w:rPr>
        <w:t>Partners must clearly disclose fulfilment, delivery, cancellation, refund, replacement, complaint, and food-quality incident processes and promptly escalate material safety concerns.</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provide safe, accurately described, and professionally handled restaurant services.</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