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Times New Roman" w:cs="Times New Roman" w:eastAsia="Times New Roman" w:hAnsi="Times New Roman"/>
          <w:b/>
          <w:bCs/>
          <w:sz w:val="28"/>
          <w:szCs w:val="28"/>
        </w:rPr>
        <w:t xml:space="preserve">Appendix A: Detailed Technical Documentation</w:t>
      </w:r>
    </w:p>
    <w:p>
      <w:pPr>
        <w:spacing w:after="240"/>
      </w:pPr>
      <w:r>
        <w:rPr>
          <w:rFonts w:ascii="Times New Roman" w:cs="Times New Roman" w:eastAsia="Times New Roman" w:hAnsi="Times New Roman"/>
          <w:i/>
          <w:iCs/>
          <w:sz w:val="22"/>
          <w:szCs w:val="22"/>
        </w:rPr>
        <w:t xml:space="preserve">Drafted to complete the 16 items listed in the Table of Contents for Appendix A. Each entry synthesizes and cross-references material already established in Chapters 3, 6–12 of the main manuscript. Bracketed notes flag the few details (e.g., the live repository URL, an itemized license manifest) that are project-specific and not stated anywhere in the source document, so they were left for the research team to insert rather than invented.</w:t>
      </w:r>
    </w:p>
    <w:p>
      <w:pPr>
        <w:spacing w:after="120" w:before="200"/>
      </w:pPr>
      <w:r>
        <w:rPr>
          <w:rFonts w:ascii="Times New Roman" w:cs="Times New Roman" w:eastAsia="Times New Roman" w:hAnsi="Times New Roman"/>
          <w:b/>
          <w:bCs/>
          <w:sz w:val="24"/>
          <w:szCs w:val="24"/>
        </w:rPr>
        <w:t xml:space="preserve">1. System Architecture</w:t>
      </w:r>
    </w:p>
    <w:p>
      <w:pPr>
        <w:spacing w:after="200" w:line="480"/>
        <w:jc w:val="both"/>
      </w:pPr>
      <w:r>
        <w:rPr>
          <w:rFonts w:ascii="Times New Roman" w:cs="Times New Roman" w:eastAsia="Times New Roman" w:hAnsi="Times New Roman"/>
          <w:sz w:val="24"/>
          <w:szCs w:val="24"/>
        </w:rPr>
        <w:t xml:space="preserve">The Local Government Unit 2: Legislative Agenda and Calendar Management System (LACS) is built on a microservices architecture, as first introduced in Chapter 3.5 and elaborated in Chapter 6.1. Each core service — Calendar Management, Session Scheduling, Agenda Creation and Management, Deadline Tracking and Monitoring, Document Analysis/AI-Classification, and Reminder/Notification — is designed, deployed, and scaled independently, minimizing the risk of a single point of failure affecting the entire system.</w:t>
      </w:r>
    </w:p>
    <w:p>
      <w:pPr>
        <w:spacing w:after="200" w:line="480"/>
        <w:jc w:val="both"/>
      </w:pPr>
      <w:r>
        <w:rPr>
          <w:rFonts w:ascii="Times New Roman" w:cs="Times New Roman" w:eastAsia="Times New Roman" w:hAnsi="Times New Roman"/>
          <w:sz w:val="24"/>
          <w:szCs w:val="24"/>
        </w:rPr>
        <w:t xml:space="preserve">The overall architecture follows a layered structure: a Presentation Layer serving Staff, Admin, Superadmin, and public User roles; a centralized API Gateway that authenticates requests, enforces SSL, routes traffic, and logs transactions; the Core Microservices themselves; Shared/Cross-Cutting Services (Authentication and Access Control, and Audit Logging); and a Data Layer composed of dedicated per-service databases. Communication between services follows the hybrid synchronous/asynchronous pattern illustrated in Figure 7, with synchronous calls used for real-time data retrieval (e.g., agenda lookups) and asynchronous, event-driven messaging used for longer-running operations such as AI document classification. This structure directly supports the scalability, independent deployment, and modularity goals established in Chapter 3.5 and 8.3.</w:t>
      </w:r>
    </w:p>
    <w:p>
      <w:pPr>
        <w:spacing w:after="120" w:before="200"/>
      </w:pPr>
      <w:r>
        <w:rPr>
          <w:rFonts w:ascii="Times New Roman" w:cs="Times New Roman" w:eastAsia="Times New Roman" w:hAnsi="Times New Roman"/>
          <w:b/>
          <w:bCs/>
          <w:sz w:val="24"/>
          <w:szCs w:val="24"/>
        </w:rPr>
        <w:t xml:space="preserve">2. Information Systems Integration</w:t>
      </w:r>
    </w:p>
    <w:p>
      <w:pPr>
        <w:spacing w:after="200" w:line="480"/>
        <w:jc w:val="both"/>
      </w:pPr>
      <w:r>
        <w:rPr>
          <w:rFonts w:ascii="Times New Roman" w:cs="Times New Roman" w:eastAsia="Times New Roman" w:hAnsi="Times New Roman"/>
          <w:sz w:val="24"/>
          <w:szCs w:val="24"/>
        </w:rPr>
        <w:t xml:space="preserve">LACS integrates with the broader seven-system LGU 2 information suite (ORTS, LACS, CMS, PHMS, PCMS, LRMS, LAS) through a Business Process Architecture (BPA) integration approach, as described in Chapter 3.7. Rather than operating as an isolated application, LACS is designed to unify legislative planning, scheduling, documentation, and monitoring into a single interconnected ecosystem.</w:t>
      </w:r>
    </w:p>
    <w:p>
      <w:pPr>
        <w:spacing w:after="200" w:line="480"/>
        <w:jc w:val="both"/>
      </w:pPr>
      <w:r>
        <w:rPr>
          <w:rFonts w:ascii="Times New Roman" w:cs="Times New Roman" w:eastAsia="Times New Roman" w:hAnsi="Times New Roman"/>
          <w:sz w:val="24"/>
          <w:szCs w:val="24"/>
        </w:rPr>
        <w:t xml:space="preserve">As detailed in Chapter 7.3, LACS maintains direct, bidirectional data exchange with three systems: the Ordinance Reading Tracking System (ORTS), which pushes ordinance proposal and reading-stage data into LACS and receives session-lock confirmations in return; the Committee Management System (CMS), which pushes committee-routing deadlines and emergency meeting requests and receives deadline reminders and committee-membership updates; and the Public Hearing Management System (PHMS), which receives confirmed hearing dates from LACS to generate public notices. All external integration is mediated through the API Gateway (FR-INT-14) rather than the internal event bus used among LACS's own microservices, keeping the boundary between internal and external communication explicit. LACS does not integrate directly with PCMS, LRMS, or LAS, since those systems consume data that has already passed through ORTS, CMS, or PHMS.</w:t>
      </w:r>
    </w:p>
    <w:p>
      <w:pPr>
        <w:spacing w:after="120" w:before="200"/>
      </w:pPr>
      <w:r>
        <w:rPr>
          <w:rFonts w:ascii="Times New Roman" w:cs="Times New Roman" w:eastAsia="Times New Roman" w:hAnsi="Times New Roman"/>
          <w:b/>
          <w:bCs/>
          <w:sz w:val="24"/>
          <w:szCs w:val="24"/>
        </w:rPr>
        <w:t xml:space="preserve">3. Application Design and Development</w:t>
      </w:r>
    </w:p>
    <w:p>
      <w:pPr>
        <w:spacing w:after="200" w:line="480"/>
        <w:jc w:val="both"/>
      </w:pPr>
      <w:r>
        <w:rPr>
          <w:rFonts w:ascii="Times New Roman" w:cs="Times New Roman" w:eastAsia="Times New Roman" w:hAnsi="Times New Roman"/>
          <w:sz w:val="24"/>
          <w:szCs w:val="24"/>
        </w:rPr>
        <w:t xml:space="preserve">Application design followed the component breakdown presented in Chapter 6.1: a Presentation Layer, an API Gateway, six Core Microservices, two Shared/Cross-Cutting Services, and a Data Layer. Development was carried out using the Agile Scrum methodology described in Chapters 3 and 9, organized into sprints with clearly defined roles and responsibilities (Table 2) and tracked through a visible Scrum Board and Product Backlog (Chapter 3.3).</w:t>
      </w:r>
    </w:p>
    <w:p>
      <w:pPr>
        <w:spacing w:after="200" w:line="480"/>
        <w:jc w:val="both"/>
      </w:pPr>
      <w:r>
        <w:rPr>
          <w:rFonts w:ascii="Times New Roman" w:cs="Times New Roman" w:eastAsia="Times New Roman" w:hAnsi="Times New Roman"/>
          <w:sz w:val="24"/>
          <w:szCs w:val="24"/>
        </w:rPr>
        <w:t xml:space="preserve">Development prioritized the foundational data layer first — Calendar Management, Session Scheduling, and Agenda Management — since the Deadline Tracking and Reminder services depend on it, consistent with the dependency-based sprint prioritization described in Chapter 9.2. The Document Analysis/AI-Classification service was designed and built as an independent, asynchronous microservice so that its variable NLP processing time would not block or slow down the rest of the system, as discussed in Chapter 6.4 and reaffirmed as a key architectural lesson learned in Chapter 12.4.</w:t>
      </w:r>
    </w:p>
    <w:p>
      <w:pPr>
        <w:spacing w:after="120" w:before="200"/>
      </w:pPr>
      <w:r>
        <w:rPr>
          <w:rFonts w:ascii="Times New Roman" w:cs="Times New Roman" w:eastAsia="Times New Roman" w:hAnsi="Times New Roman"/>
          <w:b/>
          <w:bCs/>
          <w:sz w:val="24"/>
          <w:szCs w:val="24"/>
        </w:rPr>
        <w:t xml:space="preserve">4. Database Schema and Data Management</w:t>
      </w:r>
    </w:p>
    <w:p>
      <w:pPr>
        <w:spacing w:after="200" w:line="480"/>
        <w:jc w:val="both"/>
      </w:pPr>
      <w:r>
        <w:rPr>
          <w:rFonts w:ascii="Times New Roman" w:cs="Times New Roman" w:eastAsia="Times New Roman" w:hAnsi="Times New Roman"/>
          <w:sz w:val="24"/>
          <w:szCs w:val="24"/>
        </w:rPr>
        <w:t xml:space="preserve">Consistent with the microservices approach, LACS follows a database-per-service pattern: Calendar DB, Session DB, Agenda DB, Deadline DB, and Notification DB, as shown in the Level 0 and Level 1 Data Flow Diagrams (Chapter 3.7, Figures 8 and 15) and summarized in the Data Sources and Types table (Chapter 7.1, Table 28). Data is categorized into user-entered operational data (agenda items, committee information, session details), uploaded legislative documents (bills, resolutions, committee reports, meeting minutes), AI-generated data (document classifications and summaries), system-generated data (audit logs, notification logs, timestamps), and reference/master data (calendar templates, deadline rules, user roles and permissions).</w:t>
      </w:r>
    </w:p>
    <w:p>
      <w:pPr>
        <w:spacing w:after="200" w:line="480"/>
        <w:jc w:val="both"/>
      </w:pPr>
      <w:r>
        <w:rPr>
          <w:rFonts w:ascii="Times New Roman" w:cs="Times New Roman" w:eastAsia="Times New Roman" w:hAnsi="Times New Roman"/>
          <w:sz w:val="24"/>
          <w:szCs w:val="24"/>
        </w:rPr>
        <w:t xml:space="preserve">The AI-classification data pipeline, detailed in Chapter 7.2 (Figure 22), begins when a Staff member uploads a document; the document is preprocessed and passed through the classification model, which assigns a document type label and confidence score, while a separate summarization step produces a condensed version of its content. Both outputs are written back to the Agenda Database and linked to the corresponding agenda item. Because each microservice owns its own database, cross-service consistency is maintained through event-driven synchronization (Chapter 7.3): a change published by one service is consumed by dependent services, producing eventual — rather than instantaneous — consistency across the system.</w:t>
      </w:r>
    </w:p>
    <w:p>
      <w:pPr>
        <w:spacing w:after="120" w:before="200"/>
      </w:pPr>
      <w:r>
        <w:rPr>
          <w:rFonts w:ascii="Times New Roman" w:cs="Times New Roman" w:eastAsia="Times New Roman" w:hAnsi="Times New Roman"/>
          <w:b/>
          <w:bCs/>
          <w:sz w:val="24"/>
          <w:szCs w:val="24"/>
        </w:rPr>
        <w:t xml:space="preserve">5. Network Configuration</w:t>
      </w:r>
    </w:p>
    <w:p>
      <w:pPr>
        <w:spacing w:after="200" w:line="480"/>
        <w:jc w:val="both"/>
      </w:pPr>
      <w:r>
        <w:rPr>
          <w:rFonts w:ascii="Times New Roman" w:cs="Times New Roman" w:eastAsia="Times New Roman" w:hAnsi="Times New Roman"/>
          <w:sz w:val="24"/>
          <w:szCs w:val="24"/>
        </w:rPr>
        <w:t xml:space="preserve">All external client traffic enters the system through a single API Gateway, which enforces authentication and SSL/TLS encryption before routing requests to the appropriate backend microservice (Chapter 8.1). This centralized entry point avoids exposing individual microservices directly to the network and provides a consistent point for applying network-level security controls and audit logging.</w:t>
      </w:r>
    </w:p>
    <w:p>
      <w:pPr>
        <w:spacing w:after="200" w:line="480"/>
        <w:jc w:val="both"/>
      </w:pPr>
      <w:r>
        <w:rPr>
          <w:rFonts w:ascii="Times New Roman" w:cs="Times New Roman" w:eastAsia="Times New Roman" w:hAnsi="Times New Roman"/>
          <w:sz w:val="24"/>
          <w:szCs w:val="24"/>
        </w:rPr>
        <w:t xml:space="preserve">As part of hardening the deployment environment, the development team specifically addressed the risk of the live production environment inadvertently running with local development network and database defaults (documented as BUG-12 in Chapter 11.3, Table 32): a live-host guard was added to block insecure default `.env`/database configuration from being used outside the local development setting. Combined with the SSL certificate installation completed during the Production Deployment sprint (Chapter 3.3, Sprint 14) and Bearer API-key validation enforced at the Integration API layer (Chapter 7.3), the network configuration reflects a defense-in-depth approach appropriate to a government system handling legislative records.</w:t>
      </w:r>
    </w:p>
    <w:p>
      <w:pPr>
        <w:spacing w:after="120" w:before="200"/>
      </w:pPr>
      <w:r>
        <w:rPr>
          <w:rFonts w:ascii="Times New Roman" w:cs="Times New Roman" w:eastAsia="Times New Roman" w:hAnsi="Times New Roman"/>
          <w:b/>
          <w:bCs/>
          <w:sz w:val="24"/>
          <w:szCs w:val="24"/>
        </w:rPr>
        <w:t xml:space="preserve">6. Deployment and Infrastructure</w:t>
      </w:r>
    </w:p>
    <w:p>
      <w:pPr>
        <w:spacing w:after="200" w:line="480"/>
        <w:jc w:val="both"/>
      </w:pPr>
      <w:r>
        <w:rPr>
          <w:rFonts w:ascii="Times New Roman" w:cs="Times New Roman" w:eastAsia="Times New Roman" w:hAnsi="Times New Roman"/>
          <w:sz w:val="24"/>
          <w:szCs w:val="24"/>
        </w:rPr>
        <w:t xml:space="preserve">LACS is hosted on cloud infrastructure through indevfinite.com, supporting the automated CI/CD pipeline described in Chapter 3.6 (Figure 9) and the Infrastructure as Code (IaC) approach shown in Figure 10. Production deployment was carried out as a dedicated sprint milestone (Chapter 3.3, Sprint 14: Production Deployment), which included configuring the production environment, installing SSL certificates, executing database migration, verifying backup systems, deploying monitoring tools, testing a rollback plan, and completing a formal deployment checklist before go-live.</w:t>
      </w:r>
    </w:p>
    <w:p>
      <w:pPr>
        <w:spacing w:after="200" w:line="480"/>
        <w:jc w:val="both"/>
      </w:pPr>
      <w:r>
        <w:rPr>
          <w:rFonts w:ascii="Times New Roman" w:cs="Times New Roman" w:eastAsia="Times New Roman" w:hAnsi="Times New Roman"/>
          <w:sz w:val="24"/>
          <w:szCs w:val="24"/>
        </w:rPr>
        <w:t xml:space="preserve">Following go-live, a Post-Launch Support and Monitoring phase (also part of Sprint 14) established 24/7 monitoring and a support ticketing system to handle issues arising in production, transitioning the project from active development into ongoing operations.</w:t>
      </w:r>
    </w:p>
    <w:p>
      <w:pPr>
        <w:spacing w:after="120" w:before="200"/>
      </w:pPr>
      <w:r>
        <w:rPr>
          <w:rFonts w:ascii="Times New Roman" w:cs="Times New Roman" w:eastAsia="Times New Roman" w:hAnsi="Times New Roman"/>
          <w:b/>
          <w:bCs/>
          <w:sz w:val="24"/>
          <w:szCs w:val="24"/>
        </w:rPr>
        <w:t xml:space="preserve">7. Security Measures</w:t>
      </w:r>
    </w:p>
    <w:p>
      <w:pPr>
        <w:spacing w:after="200" w:line="480"/>
        <w:jc w:val="both"/>
      </w:pPr>
      <w:r>
        <w:rPr>
          <w:rFonts w:ascii="Times New Roman" w:cs="Times New Roman" w:eastAsia="Times New Roman" w:hAnsi="Times New Roman"/>
          <w:sz w:val="24"/>
          <w:szCs w:val="24"/>
        </w:rPr>
        <w:t xml:space="preserve">Security is implemented as a Shared/Cross-Cutting concern rather than being duplicated within each microservice (Chapter 6.1). The Authentication and Access Control service enforces role-based access control (RBAC) across the Admin, Staff, Superadmin, and public User roles, supplemented by OTP verification, account lockout after repeated failed attempts, and session timeout, as summarized in the Alignment with Project Objectives table (Chapter 12.2, Table 33, Objective 7). A separate Audit Logging service records transactions across all modules for accountability, and the Audit Logs module provides filtered activity history and export for administrative review.</w:t>
      </w:r>
    </w:p>
    <w:p>
      <w:pPr>
        <w:spacing w:after="200" w:line="480"/>
        <w:jc w:val="both"/>
      </w:pPr>
      <w:r>
        <w:rPr>
          <w:rFonts w:ascii="Times New Roman" w:cs="Times New Roman" w:eastAsia="Times New Roman" w:hAnsi="Times New Roman"/>
          <w:sz w:val="24"/>
          <w:szCs w:val="24"/>
        </w:rPr>
        <w:t xml:space="preserve">Security testing validated the Data Encryption Implementation, Comprehensive Audit Logging, and Granular Access Permissions features against the requirements originally defined in the Product Backlog for EIS Information Security (Chapter 3.4, Table 6), confirming that role-based access restrictions correctly prevented unauthorized actions (Chapter 11.4). Several security-related defects surfaced and were resolved during testing, most notably BUG-12 (a critical-severity issue in which the live environment risked running with local development database defaults, resolved by adding a live-host configuration guard) and BUG-14 (non-admin users able to reach certain admin UI routes via direct URL, resolved by strengthening role checks on both server APIs and view routing) — see Chapter 11.3, Table 32.</w:t>
      </w:r>
    </w:p>
    <w:p>
      <w:pPr>
        <w:spacing w:after="120" w:before="200"/>
      </w:pPr>
      <w:r>
        <w:rPr>
          <w:rFonts w:ascii="Times New Roman" w:cs="Times New Roman" w:eastAsia="Times New Roman" w:hAnsi="Times New Roman"/>
          <w:b/>
          <w:bCs/>
          <w:sz w:val="24"/>
          <w:szCs w:val="24"/>
        </w:rPr>
        <w:t xml:space="preserve">8. Testing and Quality Assurance</w:t>
      </w:r>
    </w:p>
    <w:p>
      <w:pPr>
        <w:spacing w:after="200" w:line="480"/>
        <w:jc w:val="both"/>
      </w:pPr>
      <w:r>
        <w:rPr>
          <w:rFonts w:ascii="Times New Roman" w:cs="Times New Roman" w:eastAsia="Times New Roman" w:hAnsi="Times New Roman"/>
          <w:sz w:val="24"/>
          <w:szCs w:val="24"/>
        </w:rPr>
        <w:t xml:space="preserve">Testing was conducted across multiple levels, as described in Chapter 11.1: unit testing of individual functions within each microservice; integration testing of modules working together (Chapter 10.4); system testing against the functional requirements defined in Chapter 4; User Acceptance Testing (UAT) conducted with actual Sangguniang Panlungsod stakeholders, including Mr. Jojo Faustino; and AI-Classification Accuracy Validation, in which the Document Analysis/AI-Classification module was evaluated against a labeled set of sample legislative documents.</w:t>
      </w:r>
    </w:p>
    <w:p>
      <w:pPr>
        <w:spacing w:after="200" w:line="480"/>
        <w:jc w:val="both"/>
      </w:pPr>
      <w:r>
        <w:rPr>
          <w:rFonts w:ascii="Times New Roman" w:cs="Times New Roman" w:eastAsia="Times New Roman" w:hAnsi="Times New Roman"/>
          <w:sz w:val="24"/>
          <w:szCs w:val="24"/>
        </w:rPr>
        <w:t xml:space="preserve">A representative sample of 24 test cases spanning authentication, agenda creation, deadline conflict detection, document classification, notifications, access control, session management, attendance, meeting minutes, reports, audit logs, and the Integration API is documented in Table 31 (Chapter 11.2). Fifteen notable defects identified during this process, along with their severity and resolution, are recorded in the Bug Report (Table 32, Chapter 11.3); all fifteen were resolved prior to production deployment. Quality assurance practices — including sprint-level QA sign-off before marking Scrum Board items "Done" and documentation QA performed by the Documentation Specialists — were applied throughout development rather than deferred to the end of the project (Chapter 11.4).</w:t>
      </w:r>
    </w:p>
    <w:p>
      <w:pPr>
        <w:spacing w:after="120" w:before="200"/>
      </w:pPr>
      <w:r>
        <w:rPr>
          <w:rFonts w:ascii="Times New Roman" w:cs="Times New Roman" w:eastAsia="Times New Roman" w:hAnsi="Times New Roman"/>
          <w:b/>
          <w:bCs/>
          <w:sz w:val="24"/>
          <w:szCs w:val="24"/>
        </w:rPr>
        <w:t xml:space="preserve">9. System Monitoring and Maintenance</w:t>
      </w:r>
    </w:p>
    <w:p>
      <w:pPr>
        <w:spacing w:after="200" w:line="480"/>
        <w:jc w:val="both"/>
      </w:pPr>
      <w:r>
        <w:rPr>
          <w:rFonts w:ascii="Times New Roman" w:cs="Times New Roman" w:eastAsia="Times New Roman" w:hAnsi="Times New Roman"/>
          <w:sz w:val="24"/>
          <w:szCs w:val="24"/>
        </w:rPr>
        <w:t xml:space="preserve">The Monitoring and Alerting architecture (Chapter 3.6, Figure 11) was built to ensure the reliability and continuous operation of LACS. All microservices generate system metrics and logs that are collected in real time to track performance, availability, and errors. When predefined thresholds — such as service downtime or elevated error rates — are exceeded, the monitoring system triggers alerts to system administrators, enabling a proactive rather than reactive response and minimizing disruption to legislative operations.</w:t>
      </w:r>
    </w:p>
    <w:p>
      <w:pPr>
        <w:spacing w:after="200" w:line="480"/>
        <w:jc w:val="both"/>
      </w:pPr>
      <w:r>
        <w:rPr>
          <w:rFonts w:ascii="Times New Roman" w:cs="Times New Roman" w:eastAsia="Times New Roman" w:hAnsi="Times New Roman"/>
          <w:sz w:val="24"/>
          <w:szCs w:val="24"/>
        </w:rPr>
        <w:t xml:space="preserve">This monitoring capability was formally deployed as part of the Production Deployment sprint and carried into ongoing operations through the Post-Launch Support and Monitoring phase (Chapter 3.3, Sprint 14), which established 24/7 monitoring and a support ticketing system for the maintenance period following go-live.</w:t>
      </w:r>
    </w:p>
    <w:p>
      <w:pPr>
        <w:spacing w:after="120" w:before="200"/>
      </w:pPr>
      <w:r>
        <w:rPr>
          <w:rFonts w:ascii="Times New Roman" w:cs="Times New Roman" w:eastAsia="Times New Roman" w:hAnsi="Times New Roman"/>
          <w:b/>
          <w:bCs/>
          <w:sz w:val="24"/>
          <w:szCs w:val="24"/>
        </w:rPr>
        <w:t xml:space="preserve">10. APIs and Integration Points</w:t>
      </w:r>
    </w:p>
    <w:p>
      <w:pPr>
        <w:spacing w:after="200" w:line="480"/>
        <w:jc w:val="both"/>
      </w:pPr>
      <w:r>
        <w:rPr>
          <w:rFonts w:ascii="Times New Roman" w:cs="Times New Roman" w:eastAsia="Times New Roman" w:hAnsi="Times New Roman"/>
          <w:sz w:val="24"/>
          <w:szCs w:val="24"/>
        </w:rPr>
        <w:t xml:space="preserve">External and cross-system communication is handled through a custom-built RESTful API Gateway using standard HTTP methods and token-based (Bearer API-key) authentication, as described in Chapter 8.1. Internally, this same gateway serves as the single entry point for the Presentation Layer's requests to the six Core Microservices, performing authentication, SSL enforcement, request routing, protocol translation, request aggregation, and audit logging (Chapter 6.1, Figure 14).</w:t>
      </w:r>
    </w:p>
    <w:p>
      <w:pPr>
        <w:spacing w:after="200" w:line="480"/>
        <w:jc w:val="both"/>
      </w:pPr>
      <w:r>
        <w:rPr>
          <w:rFonts w:ascii="Times New Roman" w:cs="Times New Roman" w:eastAsia="Times New Roman" w:hAnsi="Times New Roman"/>
          <w:sz w:val="24"/>
          <w:szCs w:val="24"/>
        </w:rPr>
        <w:t xml:space="preserve">The externally-facing Integration API v1 (Chapter 12.2, Table 33) exposes calendar, session, and deadline data, and supports outbound schedule synchronization to the connected LGU 2 systems described in Appendix A.2. Integration testing specifically validated Agenda–Deadline integration, Document Analysis output integration, and cross-service synchronization within the expected propagation window (Chapter 10.4), while Bearer API-key validation and scoped permission checks were strengthened after an unauthorized-access defect was found at the discovery endpoints during testing (BUG-10, Chapter 11.3, Table 32).</w:t>
      </w:r>
    </w:p>
    <w:p>
      <w:pPr>
        <w:spacing w:after="120" w:before="200"/>
      </w:pPr>
      <w:r>
        <w:rPr>
          <w:rFonts w:ascii="Times New Roman" w:cs="Times New Roman" w:eastAsia="Times New Roman" w:hAnsi="Times New Roman"/>
          <w:b/>
          <w:bCs/>
          <w:sz w:val="24"/>
          <w:szCs w:val="24"/>
        </w:rPr>
        <w:t xml:space="preserve">11. User Documentation</w:t>
      </w:r>
    </w:p>
    <w:p>
      <w:pPr>
        <w:spacing w:after="200" w:line="480"/>
        <w:jc w:val="both"/>
      </w:pPr>
      <w:r>
        <w:rPr>
          <w:rFonts w:ascii="Times New Roman" w:cs="Times New Roman" w:eastAsia="Times New Roman" w:hAnsi="Times New Roman"/>
          <w:sz w:val="24"/>
          <w:szCs w:val="24"/>
        </w:rPr>
        <w:t xml:space="preserve">User-facing documentation was produced as a formal deliverable of the User Acceptance Testing and User Training and Documentation sprints (Chapter 3.3, Sprint 13–14). Deliverables included a completed user manual, administrator and end-user training sessions, video tutorials, published help documentation, FAQ documentation, and established support desk procedures — all completed prior to production go-live and sign-off from stakeholders.</w:t>
      </w:r>
    </w:p>
    <w:p>
      <w:pPr>
        <w:spacing w:after="200" w:line="480"/>
        <w:jc w:val="both"/>
      </w:pPr>
      <w:r>
        <w:rPr>
          <w:rFonts w:ascii="Times New Roman" w:cs="Times New Roman" w:eastAsia="Times New Roman" w:hAnsi="Times New Roman"/>
          <w:sz w:val="24"/>
          <w:szCs w:val="24"/>
        </w:rPr>
        <w:t xml:space="preserve">This documentation is intended to support the four primary user roles of the system — Staff, Admin, Superadmin, and public Users — matching the role-based views and permissions described in Chapters 6.1 and Appendix A.7.</w:t>
      </w:r>
    </w:p>
    <w:p>
      <w:pPr>
        <w:spacing w:after="120" w:before="200"/>
      </w:pPr>
      <w:r>
        <w:rPr>
          <w:rFonts w:ascii="Times New Roman" w:cs="Times New Roman" w:eastAsia="Times New Roman" w:hAnsi="Times New Roman"/>
          <w:b/>
          <w:bCs/>
          <w:sz w:val="24"/>
          <w:szCs w:val="24"/>
        </w:rPr>
        <w:t xml:space="preserve">12. Known Issues and Troubleshooting</w:t>
      </w:r>
    </w:p>
    <w:p>
      <w:pPr>
        <w:spacing w:after="200" w:line="480"/>
        <w:jc w:val="both"/>
      </w:pPr>
      <w:r>
        <w:rPr>
          <w:rFonts w:ascii="Times New Roman" w:cs="Times New Roman" w:eastAsia="Times New Roman" w:hAnsi="Times New Roman"/>
          <w:sz w:val="24"/>
          <w:szCs w:val="24"/>
        </w:rPr>
        <w:t xml:space="preserve">Fifteen defects were identified and resolved during integration and system testing prior to deployment, ranging in severity from Low to Critical; the complete log, including root cause and resolution, is documented in Table 32 (Chapter 11.3). Representative examples include duplicate session records from double-clicked form submissions (BUG-01, resolved via idempotency tokens and a server-side create lock), missing overlap warnings during drag-and-reschedule of calendar sessions (BUG-02, resolved by adding a same-day conflict confirmation dialog), and unstable AI classification labels triggered by large or special-character filenames (BUG-13, resolved through filename sanitization and admin-reclassify support). As of the current release, all logged defects carry a Resolved status.</w:t>
      </w:r>
    </w:p>
    <w:p>
      <w:pPr>
        <w:spacing w:after="200" w:line="480"/>
        <w:jc w:val="both"/>
      </w:pPr>
      <w:r>
        <w:rPr>
          <w:rFonts w:ascii="Times New Roman" w:cs="Times New Roman" w:eastAsia="Times New Roman" w:hAnsi="Times New Roman"/>
          <w:sz w:val="24"/>
          <w:szCs w:val="24"/>
        </w:rPr>
        <w:t xml:space="preserve">Beyond individual defects, two scope-level limitations are acknowledged as known constraints rather than fixable bugs, consistent with Chapters 1.2 and 12.4: LACS does not yet connect directly to PCMS, LRMS, or LAS (identified as a direction for future work in Chapter 13.3), and requirements validation relied primarily on a single key informant, which the team noted may have limited the breadth of edge-case requirements surfaced during initial gathering.</w:t>
      </w:r>
    </w:p>
    <w:p>
      <w:pPr>
        <w:spacing w:after="120" w:before="200"/>
      </w:pPr>
      <w:r>
        <w:rPr>
          <w:rFonts w:ascii="Times New Roman" w:cs="Times New Roman" w:eastAsia="Times New Roman" w:hAnsi="Times New Roman"/>
          <w:b/>
          <w:bCs/>
          <w:sz w:val="24"/>
          <w:szCs w:val="24"/>
        </w:rPr>
        <w:t xml:space="preserve">13. Version Control and Source Code Repository</w:t>
      </w:r>
    </w:p>
    <w:p>
      <w:pPr>
        <w:spacing w:after="200" w:line="480"/>
        <w:jc w:val="both"/>
      </w:pPr>
      <w:r>
        <w:rPr>
          <w:rFonts w:ascii="Times New Roman" w:cs="Times New Roman" w:eastAsia="Times New Roman" w:hAnsi="Times New Roman"/>
          <w:sz w:val="24"/>
          <w:szCs w:val="24"/>
        </w:rPr>
        <w:t xml:space="preserve">Source code for LACS is version-controlled using a GitHub repository (Chapter 8.2, Table 29), which developers commit changes to throughout each sprint. Each commit to the repository automatically triggers the CI/CD pipeline described in Chapter 3.6 (Figure 9): an automated build and test process runs to verify system stability and catch integration errors before any change is promoted toward deployment.</w:t>
      </w:r>
    </w:p>
    <w:p>
      <w:pPr>
        <w:spacing w:after="200" w:line="480"/>
        <w:jc w:val="both"/>
      </w:pPr>
      <w:r>
        <w:rPr>
          <w:rFonts w:ascii="Times New Roman" w:cs="Times New Roman" w:eastAsia="Times New Roman" w:hAnsi="Times New Roman"/>
          <w:sz w:val="24"/>
          <w:szCs w:val="24"/>
        </w:rPr>
        <w:t xml:space="preserve">[Project-specific repository link and branch-naming/branching-strategy details are not specified in the main manuscript — insert the actual repository URL and workflow here, or reference Appendix B.5 where the link is separately provided.]</w:t>
      </w:r>
    </w:p>
    <w:p>
      <w:pPr>
        <w:spacing w:after="120" w:before="200"/>
      </w:pPr>
      <w:r>
        <w:rPr>
          <w:rFonts w:ascii="Times New Roman" w:cs="Times New Roman" w:eastAsia="Times New Roman" w:hAnsi="Times New Roman"/>
          <w:b/>
          <w:bCs/>
          <w:sz w:val="24"/>
          <w:szCs w:val="24"/>
        </w:rPr>
        <w:t xml:space="preserve">14. DevOps and Continuous Integration/Continuous Deployment (CI/CD)</w:t>
      </w:r>
    </w:p>
    <w:p>
      <w:pPr>
        <w:spacing w:after="200" w:line="480"/>
        <w:jc w:val="both"/>
      </w:pPr>
      <w:r>
        <w:rPr>
          <w:rFonts w:ascii="Times New Roman" w:cs="Times New Roman" w:eastAsia="Times New Roman" w:hAnsi="Times New Roman"/>
          <w:sz w:val="24"/>
          <w:szCs w:val="24"/>
        </w:rPr>
        <w:t xml:space="preserve">The CI/CD pipeline (Chapter 3.6, Figure 9) automates building, testing, and deploying system updates so that improvements can be delivered rapidly and without disrupting ongoing legislative operations. Once a commit passes automated build and test validation, the system is automatically deployed to the cloud environment. Infrastructure as Code (IaC), shown in Figure 10, is used to provision and configure infrastructure in a consistent, repeatable manner rather than through manual setup.</w:t>
      </w:r>
    </w:p>
    <w:p>
      <w:pPr>
        <w:spacing w:after="200" w:line="480"/>
        <w:jc w:val="both"/>
      </w:pPr>
      <w:r>
        <w:rPr>
          <w:rFonts w:ascii="Times New Roman" w:cs="Times New Roman" w:eastAsia="Times New Roman" w:hAnsi="Times New Roman"/>
          <w:sz w:val="24"/>
          <w:szCs w:val="24"/>
        </w:rPr>
        <w:t xml:space="preserve">This automation is paired with the Monitoring and Alerting architecture (Figure 11, Appendix A.9) so that any instability introduced by a deployment is detected quickly. The formal move from development into production followed the dedicated Production Deployment sprint (Chapter 3.3, Sprint 14), which validated the production environment, SSL certificates, database migration, backups, monitoring tools, and a tested rollback plan before go-live.</w:t>
      </w:r>
    </w:p>
    <w:p>
      <w:pPr>
        <w:spacing w:after="120" w:before="200"/>
      </w:pPr>
      <w:r>
        <w:rPr>
          <w:rFonts w:ascii="Times New Roman" w:cs="Times New Roman" w:eastAsia="Times New Roman" w:hAnsi="Times New Roman"/>
          <w:b/>
          <w:bCs/>
          <w:sz w:val="24"/>
          <w:szCs w:val="24"/>
        </w:rPr>
        <w:t xml:space="preserve">15. Licensing and Open Source Libraries</w:t>
      </w:r>
    </w:p>
    <w:p>
      <w:pPr>
        <w:spacing w:after="200" w:line="480"/>
        <w:jc w:val="both"/>
      </w:pPr>
      <w:r>
        <w:rPr>
          <w:rFonts w:ascii="Times New Roman" w:cs="Times New Roman" w:eastAsia="Times New Roman" w:hAnsi="Times New Roman"/>
          <w:sz w:val="24"/>
          <w:szCs w:val="24"/>
        </w:rPr>
        <w:t xml:space="preserve">LACS was built primarily on open-source and freely-licensed technologies: PHP, HTML, and JavaScript on the front end; Node.js and PHP on the back end; MySQL as the database engine; and scikit-learn for the AI-classification and summarization component (Chapter 8.1). The Reports &amp; Analytics dashboard uses Chart.js for its visualizations (Chapter 12.2, Table 33). Development tooling — Visual Studio Code, the GitHub repository, and GitHub Actions — is likewise built on freely available platforms (Chapter 8.2, Table 29).</w:t>
      </w:r>
    </w:p>
    <w:p>
      <w:pPr>
        <w:spacing w:after="200" w:line="480"/>
        <w:jc w:val="both"/>
      </w:pPr>
      <w:r>
        <w:rPr>
          <w:rFonts w:ascii="Times New Roman" w:cs="Times New Roman" w:eastAsia="Times New Roman" w:hAnsi="Times New Roman"/>
          <w:sz w:val="24"/>
          <w:szCs w:val="24"/>
        </w:rPr>
        <w:t xml:space="preserve">[A complete, itemized list of third-party library names, versions, and their specific open-source licenses (e.g., MIT, Apache 2.0, GPL) is not enumerated in the main manuscript. For submission, the research team should attach the actual dependency/license manifest — e.g., a package.json or composer.json license export — here.]</w:t>
      </w:r>
    </w:p>
    <w:p>
      <w:pPr>
        <w:spacing w:after="120" w:before="200"/>
      </w:pPr>
      <w:r>
        <w:rPr>
          <w:rFonts w:ascii="Times New Roman" w:cs="Times New Roman" w:eastAsia="Times New Roman" w:hAnsi="Times New Roman"/>
          <w:b/>
          <w:bCs/>
          <w:sz w:val="24"/>
          <w:szCs w:val="24"/>
        </w:rPr>
        <w:t xml:space="preserve">16. Performance Metrics and Monitoring</w:t>
      </w:r>
    </w:p>
    <w:p>
      <w:pPr>
        <w:spacing w:after="200" w:line="480"/>
        <w:jc w:val="both"/>
      </w:pPr>
      <w:r>
        <w:rPr>
          <w:rFonts w:ascii="Times New Roman" w:cs="Times New Roman" w:eastAsia="Times New Roman" w:hAnsi="Times New Roman"/>
          <w:sz w:val="24"/>
          <w:szCs w:val="24"/>
        </w:rPr>
        <w:t xml:space="preserve">System performance visibility is provided by the Monitoring and Alerting architecture described in Chapter 3.6 (Figure 11) and Chapter 8.3, which collects metrics and logs from every microservice in real time and triggers alerts when thresholds such as elevated response time or error rate are exceeded. Because each microservice can be scaled independently, the computationally heavier Document Analysis/AI-Classification service can be scaled on its own without over-provisioning the lighter, higher-frequency services such as Calendar Management (Chapter 8.3).</w:t>
      </w:r>
    </w:p>
    <w:p>
      <w:pPr>
        <w:spacing w:after="200" w:line="480"/>
        <w:jc w:val="both"/>
      </w:pPr>
      <w:r>
        <w:rPr>
          <w:rFonts w:ascii="Times New Roman" w:cs="Times New Roman" w:eastAsia="Times New Roman" w:hAnsi="Times New Roman"/>
          <w:sz w:val="24"/>
          <w:szCs w:val="24"/>
        </w:rPr>
        <w:t xml:space="preserve">Expected system load is bounded by the scale of a single LGU legislative office: a moderate number of concurrent internal users (Staff, Admin, Committee/Legislative Members) and a larger, read-mostly volume of public users accessing transparency features — favoring read-optimized scaling on public endpoints and write-optimized handling on internal transactional endpoints such as agenda creation and deadline updates (Chapter 8.3). At the feature level, the Reports &amp; Analytics dashboard (Chapter 12.2, Table 33) surfaces session and completion metrics through Chart.js visualizations, giving Admin and Superadmin users direct visibility into operational performance alongside the underlying infrastructure-level monitoring.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2026-07-27T11:58:10.688Z</dcterms:created>
  <dcterms:modified xsi:type="dcterms:W3CDTF">2026-07-27T11:58:10.703Z</dcterms:modified>
</cp:coreProperties>
</file>

<file path=docProps/custom.xml><?xml version="1.0" encoding="utf-8"?>
<Properties xmlns="http://schemas.openxmlformats.org/officeDocument/2006/custom-properties" xmlns:vt="http://schemas.openxmlformats.org/officeDocument/2006/docPropsVTypes"/>
</file>